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445770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640" w:right="1280" w:hanging="326"/>
        <w:spacing w:after="0" w:line="262" w:lineRule="auto"/>
        <w:tabs>
          <w:tab w:leader="none" w:pos="6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8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20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000-30941</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AXCELIS TECHNOLOGIES,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34-1818596</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108 Cherry Hill Drive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Beverly, Massachusetts 01915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(978) 787-4000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ACLS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300" w:firstLine="23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7" w:lineRule="exact"/>
        <w:rPr>
          <w:sz w:val="24"/>
          <w:szCs w:val="24"/>
          <w:color w:val="auto"/>
        </w:rPr>
      </w:pPr>
    </w:p>
    <w:p>
      <w:pPr>
        <w:ind w:right="40" w:firstLine="23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6" w:lineRule="exact"/>
        <w:rPr>
          <w:sz w:val="24"/>
          <w:szCs w:val="24"/>
          <w:color w:val="auto"/>
        </w:rPr>
      </w:pPr>
    </w:p>
    <w:p>
      <w:pPr>
        <w:jc w:val="both"/>
        <w:ind w:right="180" w:firstLine="23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27" w:lineRule="exact"/>
        <w:rPr>
          <w:sz w:val="24"/>
          <w:szCs w:val="24"/>
          <w:color w:val="auto"/>
        </w:rPr>
      </w:pPr>
    </w:p>
    <w:p>
      <w:pPr>
        <w:ind w:left="1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6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880" w:space="720"/>
            <w:col w:w="1960" w:space="100"/>
            <w:col w:w="1580"/>
          </w:cols>
          <w:pgMar w:left="840" w:top="661" w:right="819" w:bottom="1440" w:gutter="0" w:footer="0" w:header="0"/>
          <w:type w:val="continuous"/>
        </w:sectPr>
      </w:pPr>
    </w:p>
    <w:p>
      <w:pPr>
        <w:ind w:right="220" w:firstLine="233"/>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220" w:right="860" w:hanging="3"/>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5, 2026, there were 30,733,897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420370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43180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20" w:type="dxa"/>
            <w:vAlign w:val="bottom"/>
            <w:gridSpan w:val="10"/>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8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52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Financial Statements (Unaudited)</w:t>
            </w:r>
          </w:p>
        </w:tc>
        <w:tc>
          <w:tcPr>
            <w:tcW w:w="48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three months ended March 31, 2026 and 2025</w:t>
            </w:r>
          </w:p>
        </w:tc>
        <w:tc>
          <w:tcPr>
            <w:tcW w:w="1220" w:type="dxa"/>
            <w:vAlign w:val="bottom"/>
            <w:gridSpan w:val="6"/>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three months ended March 31, 2026 and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Consolidated Balance Sheets as of March 31, 2026 and December 31, 2025</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for the three months ended March 31, 2026 and 2025</w:t>
            </w:r>
          </w:p>
        </w:tc>
        <w:tc>
          <w:tcPr>
            <w:tcW w:w="480" w:type="dxa"/>
            <w:vAlign w:val="bottom"/>
            <w:gridSpan w:val="3"/>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three months ended March 31, 2026 and 2025</w:t>
            </w:r>
          </w:p>
        </w:tc>
        <w:tc>
          <w:tcPr>
            <w:tcW w:w="1160" w:type="dxa"/>
            <w:vAlign w:val="bottom"/>
            <w:gridSpan w:val="5"/>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840" w:type="dxa"/>
            <w:vAlign w:val="bottom"/>
            <w:gridSpan w:val="9"/>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Overview</w:t>
            </w:r>
          </w:p>
        </w:tc>
        <w:tc>
          <w:tcPr>
            <w:tcW w:w="1080" w:type="dxa"/>
            <w:vAlign w:val="bottom"/>
            <w:gridSpan w:val="4"/>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Critical Accounting Estimates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Results of Operations</w:t>
            </w:r>
          </w:p>
        </w:tc>
        <w:tc>
          <w:tcPr>
            <w:tcW w:w="600" w:type="dxa"/>
            <w:vAlign w:val="bottom"/>
            <w:tcBorders>
              <w:top w:val="single" w:sz="8" w:color="0000EE"/>
            </w:tcBorders>
            <w:gridSpan w:val="4"/>
          </w:tcPr>
          <w:p>
            <w:pPr>
              <w:spacing w:after="0"/>
              <w:rPr>
                <w:sz w:val="19"/>
                <w:szCs w:val="19"/>
                <w:color w:val="auto"/>
              </w:rPr>
            </w:pPr>
          </w:p>
        </w:tc>
        <w:tc>
          <w:tcPr>
            <w:tcW w:w="5740" w:type="dxa"/>
            <w:vAlign w:val="bottom"/>
            <w:gridSpan w:val="14"/>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5580" w:type="dxa"/>
            <w:vAlign w:val="bottom"/>
            <w:gridSpan w:val="13"/>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20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Legal Proceedings</w:t>
            </w:r>
          </w:p>
        </w:tc>
        <w:tc>
          <w:tcPr>
            <w:tcW w:w="5820" w:type="dxa"/>
            <w:vAlign w:val="bottom"/>
            <w:gridSpan w:val="15"/>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Item 1A.</w:t>
            </w: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Unregistered Sales of Equity Securities, Use of Proceeds, and Issuer Purchases of Equity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100" w:type="dxa"/>
            <w:vAlign w:val="bottom"/>
            <w:gridSpan w:val="9"/>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46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5.</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46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6.</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360" w:type="dxa"/>
            <w:vAlign w:val="bottom"/>
            <w:gridSpan w:val="13"/>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80" w:type="dxa"/>
            <w:vAlign w:val="bottom"/>
            <w:vMerge w:val="restart"/>
          </w:tcPr>
          <w:p>
            <w:pPr>
              <w:ind w:left="52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gridSpan w:val="2"/>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188,008</w:t>
            </w:r>
          </w:p>
        </w:tc>
        <w:tc>
          <w:tcPr>
            <w:tcW w:w="860" w:type="dxa"/>
            <w:vAlign w:val="bottom"/>
            <w:gridSpan w:val="2"/>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198,956</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192,563</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118,375</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103,795</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26,761</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72,631</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income</w:t>
            </w: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3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6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30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3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30,723</w:t>
            </w:r>
          </w:p>
        </w:tc>
        <w:tc>
          <w:tcPr>
            <w:tcW w:w="3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of common stock</w:t>
            </w: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30,980</w:t>
            </w:r>
          </w:p>
        </w:tc>
        <w:tc>
          <w:tcPr>
            <w:tcW w:w="3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32,335</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8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actuarial net gain and other adjustments from pension plan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(losses) gains on available-for-sale investments</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20" w:type="dxa"/>
            <w:vAlign w:val="bottom"/>
            <w:shd w:val="clear" w:color="auto" w:fill="CCEEFF"/>
          </w:tcPr>
          <w:p>
            <w:pPr>
              <w:ind w:left="4160"/>
              <w:spacing w:after="0" w:line="19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1,374,544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30,733 shares issued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March 31, 2026; 30,717 shares issued and outstanding at December 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1,034,677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1,374,544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5" w:name="page6"/>
    <w:bookmarkEnd w:id="5"/>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3520" w:type="dxa"/>
            <w:vAlign w:val="bottom"/>
          </w:tcPr>
          <w:p>
            <w:pPr>
              <w:ind w:left="33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500" w:type="dxa"/>
            <w:vAlign w:val="bottom"/>
          </w:tcPr>
          <w:p>
            <w:pPr>
              <w:jc w:val="right"/>
              <w:ind w:right="1"/>
              <w:spacing w:after="0" w:line="15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3"/>
                <w:szCs w:val="13"/>
                <w:color w:val="auto"/>
              </w:rPr>
            </w:pPr>
          </w:p>
        </w:tc>
        <w:tc>
          <w:tcPr>
            <w:tcW w:w="6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260" w:type="dxa"/>
            <w:vAlign w:val="bottom"/>
            <w:gridSpan w:val="3"/>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gridSpan w:val="3"/>
          </w:tcPr>
          <w:p>
            <w:pPr>
              <w:jc w:val="right"/>
              <w:ind w:right="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61"/>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3"/>
                <w:szCs w:val="13"/>
                <w:color w:val="auto"/>
              </w:rPr>
            </w:pPr>
          </w:p>
        </w:tc>
        <w:tc>
          <w:tcPr>
            <w:tcW w:w="240" w:type="dxa"/>
            <w:vAlign w:val="bottom"/>
            <w:gridSpan w:val="3"/>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548,654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470,318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1,012,790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Unrealized gains on available-for-sale investments</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 units,</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shares withheld</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32,129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547,020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485,673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1,027,238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6"/>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Borders>
              <w:bottom w:val="single" w:sz="8" w:color="auto"/>
            </w:tcBorders>
            <w:gridSpan w:val="6"/>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520" w:type="dxa"/>
            <w:vAlign w:val="bottom"/>
          </w:tcPr>
          <w:p>
            <w:pPr>
              <w:ind w:left="34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700" w:type="dxa"/>
            <w:vAlign w:val="bottom"/>
            <w:gridSpan w:val="5"/>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40" w:type="dxa"/>
            <w:vAlign w:val="bottom"/>
          </w:tcPr>
          <w:p>
            <w:pPr>
              <w:spacing w:after="0"/>
              <w:rPr>
                <w:sz w:val="12"/>
                <w:szCs w:val="12"/>
                <w:color w:val="auto"/>
              </w:rPr>
            </w:pPr>
          </w:p>
        </w:tc>
        <w:tc>
          <w:tcPr>
            <w:tcW w:w="2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533,309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503,539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3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losses on available-for-sale</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6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30,733</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537,185</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512,753</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1,044,643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360045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320"/>
          </w:cols>
          <w:pgMar w:left="1280" w:top="513" w:right="1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80" w:type="dxa"/>
            <w:vAlign w:val="bottom"/>
            <w:vMerge w:val="restart"/>
          </w:tcPr>
          <w:p>
            <w:pPr>
              <w:ind w:left="67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9"/>
              <w:spacing w:after="0" w:line="145"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3"/>
          </w:tcPr>
          <w:p>
            <w:pPr>
              <w:jc w:val="right"/>
              <w:ind w:right="64"/>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19"/>
              <w:spacing w:after="0" w:line="145"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320" w:type="dxa"/>
            <w:vAlign w:val="bottom"/>
            <w:gridSpan w:val="3"/>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discounts and premiums on short-term and long-term investments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currency loss (gain) on foreign denominated transactions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Mark-to-market adjustment on forward exchange contracts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38,586</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 taxes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Expenditures for property, plant and equipment and capitalized software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short-term and long-term investments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(252,495)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Maturities and sales of short-term investments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151,896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297,924</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settlement on restricted stock grants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Principal payments on finance lease obligation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60,446</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156,078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161,457</w:t>
            </w:r>
          </w:p>
        </w:tc>
        <w:tc>
          <w:tcPr>
            <w:tcW w:w="200" w:type="dxa"/>
            <w:vAlign w:val="bottom"/>
            <w:gridSpan w:val="2"/>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191,510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balance sheet at December 31, 2025 has been derived from the audited consolidated financial statements at that date but does not include all the information and footnotes required by generally accepted accounting principles for complete financial statements. As of March 31, 2026, there have been no material changes in the Company’s significant accounting policies. For further information, refer to the consolidated financial statements and footnotes thereto included in the Company’s Annual Report on Form 10-K for the year ended December 31, 2025 (the “2025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Stock-Based Compensation</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as amended (the “2012 Equity Plan”), which permits the issuance of options, restricted stock, restricted stock units (“RSUs”) and performance awards to selected employees, directors, and consultants of the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2012 Equity Plan is more fully described in Note 13 to the consolidated financial statements in our 2025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13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recognized stock-based compensation expense of $4.9 million for both the three-month periods ended March 31, 2026 and 2025. These amounts include compensation expense related to RSUs.</w:t>
      </w:r>
    </w:p>
    <w:p>
      <w:pPr>
        <w:spacing w:after="0" w:line="9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the three-month periods ended March 31, 2026 and 2025, we issued 16,000 and 38,459 shares of common stock, respectively, upon vesting of RSUs granted under the 2012 Equity Plan. In both the three-month periods ended March 31, 2026 and 2025, we received no proceeds in connection with purchases under the 2020 Employee Stock Purchase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Leases</w:t>
      </w:r>
    </w:p>
    <w:p>
      <w:pPr>
        <w:spacing w:after="0" w:line="94"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for the use of a specific physical space or a specific physical item.</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recognize operating lease obligations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sheets;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by one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4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27,943</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28,927</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Finance lease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leased assets</w:t>
            </w:r>
          </w:p>
        </w:tc>
        <w:tc>
          <w:tcPr>
            <w:tcW w:w="34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41,778</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43,081</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80" w:type="dxa"/>
            <w:vAlign w:val="bottom"/>
            <w:gridSpan w:val="2"/>
            <w:vMerge w:val="continue"/>
          </w:tcPr>
          <w:p>
            <w:pPr>
              <w:spacing w:after="0"/>
              <w:rPr>
                <w:sz w:val="14"/>
                <w:szCs w:val="14"/>
                <w:color w:val="auto"/>
              </w:rPr>
            </w:pPr>
          </w:p>
        </w:tc>
        <w:tc>
          <w:tcPr>
            <w:tcW w:w="3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480" w:type="dxa"/>
            <w:vAlign w:val="bottom"/>
            <w:shd w:val="clear" w:color="auto" w:fill="CCEEFF"/>
          </w:tcPr>
          <w:p>
            <w:pPr>
              <w:ind w:left="172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2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vMerge w:val="continue"/>
            <w:shd w:val="clear" w:color="auto" w:fill="CCEEFF"/>
          </w:tcPr>
          <w:p>
            <w:pPr>
              <w:spacing w:after="0"/>
              <w:rPr>
                <w:sz w:val="14"/>
                <w:szCs w:val="14"/>
                <w:color w:val="auto"/>
              </w:rPr>
            </w:pPr>
          </w:p>
        </w:tc>
        <w:tc>
          <w:tcPr>
            <w:tcW w:w="34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lease obligation</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4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23,897</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Finance lease obligation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70,504</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71,801</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60"/>
        <w:spacing w:after="0" w:line="241" w:lineRule="auto"/>
        <w:rPr>
          <w:sz w:val="20"/>
          <w:szCs w:val="20"/>
          <w:color w:val="auto"/>
        </w:rPr>
      </w:pPr>
      <w:r>
        <w:rPr>
          <w:rFonts w:ascii="Times New Roman" w:cs="Times New Roman" w:eastAsia="Times New Roman" w:hAnsi="Times New Roman"/>
          <w:sz w:val="14"/>
          <w:szCs w:val="14"/>
          <w:color w:val="auto"/>
        </w:rPr>
        <w:t>*As of March 31, 2026, finance lease assets are recorded net of accumulated depreciation of $47.8 million and include $0.5 million of prepaid financing costs. As of December 31, 2025, finance lease assets are recorded net of accumulated depreciation of $47.7 million and include $0.5 million of prepaid financing costs.</w:t>
      </w:r>
    </w:p>
    <w:p>
      <w:pPr>
        <w:spacing w:after="0" w:line="181"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Our operating lease office locations support local selling and servicing functions. Our Axcelis Asia Operations Center facility in South Korea is used to manufacture our products for Asia-based customers. We lease a logistics and flex manufacturing center in Beverly, Massachusetts to support our principal product manufacturing operations at our corporate headquarters. Operating lease expense and depreciation and interest expense relating to our finance lease obligation are recognized within our Consolidated Statements of Operations for the three months ended March 31, 2026 and 2025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gridSpan w:val="2"/>
            <w:vMerge w:val="continue"/>
          </w:tcPr>
          <w:p>
            <w:pPr>
              <w:spacing w:after="0"/>
              <w:rPr>
                <w:sz w:val="17"/>
                <w:szCs w:val="17"/>
                <w:color w:val="auto"/>
              </w:rPr>
            </w:pPr>
          </w:p>
        </w:tc>
        <w:tc>
          <w:tcPr>
            <w:tcW w:w="396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39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Cost of revenue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96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9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96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9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80" w:type="dxa"/>
            <w:vAlign w:val="bottom"/>
            <w:gridSpan w:val="2"/>
            <w:vMerge w:val="continue"/>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60" w:type="dxa"/>
            <w:vAlign w:val="bottom"/>
            <w:shd w:val="clear" w:color="auto" w:fill="CCEEFF"/>
          </w:tcPr>
          <w:p>
            <w:pPr>
              <w:spacing w:after="0"/>
              <w:rPr>
                <w:sz w:val="10"/>
                <w:szCs w:val="10"/>
                <w:color w:val="auto"/>
              </w:rPr>
            </w:pPr>
          </w:p>
        </w:tc>
        <w:tc>
          <w:tcPr>
            <w:tcW w:w="3960" w:type="dxa"/>
            <w:vAlign w:val="bottom"/>
            <w:shd w:val="clear" w:color="auto" w:fill="CCEEFF"/>
          </w:tcPr>
          <w:p>
            <w:pPr>
              <w:ind w:left="1400"/>
              <w:spacing w:after="0" w:line="126" w:lineRule="exact"/>
              <w:rPr>
                <w:sz w:val="20"/>
                <w:szCs w:val="20"/>
                <w:color w:val="auto"/>
              </w:rPr>
            </w:pPr>
            <w:r>
              <w:rPr>
                <w:rFonts w:ascii="Times New Roman" w:cs="Times New Roman" w:eastAsia="Times New Roman" w:hAnsi="Times New Roman"/>
                <w:sz w:val="14"/>
                <w:szCs w:val="14"/>
                <w:color w:val="auto"/>
              </w:rPr>
              <w:t>Cost of revenue, Research and</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3960" w:type="dxa"/>
            <w:vAlign w:val="bottom"/>
            <w:shd w:val="clear" w:color="auto" w:fill="CCEEFF"/>
          </w:tcPr>
          <w:p>
            <w:pPr>
              <w:ind w:left="1400"/>
              <w:spacing w:after="0" w:line="149" w:lineRule="exact"/>
              <w:rPr>
                <w:sz w:val="20"/>
                <w:szCs w:val="20"/>
                <w:color w:val="auto"/>
              </w:rPr>
            </w:pPr>
            <w:r>
              <w:rPr>
                <w:rFonts w:ascii="Times New Roman" w:cs="Times New Roman" w:eastAsia="Times New Roman" w:hAnsi="Times New Roman"/>
                <w:sz w:val="14"/>
                <w:szCs w:val="14"/>
                <w:color w:val="auto"/>
              </w:rPr>
              <w:t>development, Sales and marketing and</w:t>
            </w:r>
          </w:p>
        </w:tc>
        <w:tc>
          <w:tcPr>
            <w:tcW w:w="2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vMerge w:val="continue"/>
            <w:shd w:val="clear" w:color="auto" w:fill="CCEEFF"/>
          </w:tcPr>
          <w:p>
            <w:pPr>
              <w:spacing w:after="0"/>
              <w:rPr>
                <w:sz w:val="14"/>
                <w:szCs w:val="14"/>
                <w:color w:val="auto"/>
              </w:rPr>
            </w:pPr>
          </w:p>
        </w:tc>
        <w:tc>
          <w:tcPr>
            <w:tcW w:w="39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96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39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39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180" w:firstLine="8"/>
        <w:spacing w:after="0" w:line="26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 services, sales and marketing and general and administrative expense also includes short-term lease and variable lease costs of approximately $0.7 million and $0.6 million for the three months ended March 31, 2026 and 2025, respectively.</w:t>
      </w:r>
    </w:p>
    <w:p>
      <w:pPr>
        <w:spacing w:after="0" w:line="16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lease of our corporate headquarters, shown below under finance leases, had an original lease term of 22 years, beginning in January 2015 and expiring in January 2037, with renewal options. All other locations are treated as operating leases, with lease terms ranging from one to 16 years. The tables below reflect the minimum cash outflow regarding our current lease obligations as well as the weighted-average remaining lease term and weighted-average discount rates used in our calculation of our lease obligations and right-of-use assets as of March 31, 2026: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6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42,456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20,217</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(39,797)</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41,958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does not include options to renew lease terms that are not reasonably certain of being exercised.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22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9"/>
        </w:trPr>
        <w:tc>
          <w:tcPr>
            <w:tcW w:w="7480" w:type="dxa"/>
            <w:vAlign w:val="bottom"/>
            <w:gridSpan w:val="2"/>
            <w:vMerge w:val="continue"/>
          </w:tcPr>
          <w:p>
            <w:pPr>
              <w:spacing w:after="0"/>
              <w:rPr>
                <w:sz w:val="17"/>
                <w:szCs w:val="17"/>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220" w:type="dxa"/>
            <w:vAlign w:val="bottom"/>
          </w:tcPr>
          <w:p>
            <w:pPr>
              <w:spacing w:after="0"/>
              <w:rPr>
                <w:sz w:val="18"/>
                <w:szCs w:val="18"/>
                <w:color w:val="auto"/>
              </w:rPr>
            </w:pP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18"/>
                <w:szCs w:val="18"/>
                <w:color w:val="auto"/>
              </w:rPr>
            </w:pP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three months ended March 31, 2026 and 2025, respectively: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6460" w:type="dxa"/>
            <w:vAlign w:val="bottom"/>
            <w:gridSpan w:val="2"/>
            <w:vMerge w:val="continue"/>
          </w:tcPr>
          <w:p>
            <w:pPr>
              <w:spacing w:after="0"/>
              <w:rPr>
                <w:sz w:val="15"/>
                <w:szCs w:val="15"/>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3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2,777</w:t>
            </w:r>
          </w:p>
        </w:tc>
        <w:tc>
          <w:tcPr>
            <w:tcW w:w="5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categories used by management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9"/>
        </w:trPr>
        <w:tc>
          <w:tcPr>
            <w:tcW w:w="5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7"/>
                <w:szCs w:val="17"/>
                <w:color w:val="auto"/>
              </w:rPr>
            </w:pPr>
          </w:p>
        </w:tc>
      </w:tr>
      <w:tr>
        <w:trPr>
          <w:trHeight w:val="196"/>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126,326</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137,609</w:t>
            </w:r>
          </w:p>
        </w:tc>
        <w:tc>
          <w:tcPr>
            <w:tcW w:w="160" w:type="dxa"/>
            <w:vAlign w:val="bottom"/>
            <w:shd w:val="clear" w:color="auto" w:fill="CCEEFF"/>
          </w:tcPr>
          <w:p>
            <w:pPr>
              <w:spacing w:after="0"/>
              <w:rPr>
                <w:sz w:val="17"/>
                <w:szCs w:val="17"/>
                <w:color w:val="auto"/>
              </w:rPr>
            </w:pPr>
          </w:p>
        </w:tc>
      </w:tr>
      <w:tr>
        <w:trPr>
          <w:trHeight w:val="202"/>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72,630</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54,954</w:t>
            </w:r>
          </w:p>
        </w:tc>
        <w:tc>
          <w:tcPr>
            <w:tcW w:w="160" w:type="dxa"/>
            <w:vAlign w:val="bottom"/>
            <w:tcBorders>
              <w:bottom w:val="single" w:sz="8" w:color="CCEEFF"/>
            </w:tcBorders>
          </w:tcPr>
          <w:p>
            <w:pPr>
              <w:spacing w:after="0"/>
              <w:rPr>
                <w:sz w:val="17"/>
                <w:szCs w:val="17"/>
                <w:color w:val="auto"/>
              </w:rPr>
            </w:pPr>
          </w:p>
        </w:tc>
      </w:tr>
      <w:tr>
        <w:trPr>
          <w:trHeight w:val="19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198,956</w:t>
            </w: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192,563</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80"/>
          </w:cols>
          <w:pgMar w:left="1380" w:top="513" w:right="1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9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22,767</w:t>
            </w:r>
          </w:p>
        </w:tc>
        <w:tc>
          <w:tcPr>
            <w:tcW w:w="2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40,525</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144,418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134,426</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7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17,612</w:t>
            </w:r>
          </w:p>
        </w:tc>
        <w:tc>
          <w:tcPr>
            <w:tcW w:w="120" w:type="dxa"/>
            <w:vAlign w:val="bottom"/>
            <w:shd w:val="clear" w:color="auto" w:fill="CCEEFF"/>
          </w:tcPr>
          <w:p>
            <w:pPr>
              <w:spacing w:after="0"/>
              <w:rPr>
                <w:sz w:val="17"/>
                <w:szCs w:val="17"/>
                <w:color w:val="auto"/>
              </w:rPr>
            </w:pPr>
          </w:p>
        </w:tc>
      </w:tr>
      <w:tr>
        <w:trPr>
          <w:trHeight w:val="19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720" w:type="dxa"/>
            <w:vAlign w:val="bottom"/>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198,956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192,563</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4"/>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108,939</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sheets and include payments received in advance of system sales as well as deferral of revenue from systems sales for installation and other future performance obligations. Contract liabilities are recognized as revenue upon the fulfillment of performance obligations.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25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108,939</w:t>
            </w: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138,174</w:t>
            </w:r>
          </w:p>
        </w:tc>
        <w:tc>
          <w:tcPr>
            <w:tcW w:w="1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adjustments *</w:t>
            </w:r>
          </w:p>
        </w:tc>
        <w:tc>
          <w:tcPr>
            <w:tcW w:w="2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23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(25,209)</w:t>
            </w:r>
          </w:p>
        </w:tc>
        <w:tc>
          <w:tcPr>
            <w:tcW w:w="140" w:type="dxa"/>
            <w:vAlign w:val="bottom"/>
            <w:tcBorders>
              <w:bottom w:val="single" w:sz="8" w:color="CCEEFF"/>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2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139,324</w:t>
            </w: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8" w:lineRule="exact"/>
        <w:rPr>
          <w:sz w:val="20"/>
          <w:szCs w:val="20"/>
          <w:color w:val="auto"/>
        </w:rPr>
      </w:pPr>
    </w:p>
    <w:p>
      <w:pPr>
        <w:ind w:right="540" w:firstLine="5"/>
        <w:spacing w:after="0" w:line="261" w:lineRule="auto"/>
        <w:tabs>
          <w:tab w:leader="none" w:pos="1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 to contracts with customers are assessed to determine if amounts paid by customers represent deferred revenue or liabilities payable to customers and such amounts are accordingly reclassified pursuant to our revenue recognition policy and ASC 606.</w:t>
      </w:r>
    </w:p>
    <w:p>
      <w:pPr>
        <w:spacing w:after="0" w:line="10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system transactions have either (1) payment terms of 90% due upon shipment of the system and 10% due upon acceptance or (2) a pre-shipment deposit ranging from 20% to 60%, with the remainder due upon shipment, less 10% due at acceptance. Aftermarket transaction payment terms typically provide that payment is due either within 30 or 60 days after the service is provided or parts delivered.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Receivables and Allowances for Credit Losses</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94"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maintain an allowance for credit losses, which represents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w:t>
      </w:r>
    </w:p>
    <w:p>
      <w:pPr>
        <w:sectPr>
          <w:pgSz w:w="11900" w:h="16838" w:orient="portrait"/>
          <w:cols w:equalWidth="0" w:num="1">
            <w:col w:w="9160"/>
          </w:cols>
          <w:pgMar w:left="1380" w:top="513" w:right="1359" w:bottom="1440" w:gutter="0" w:footer="0" w:header="0"/>
        </w:sect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60"/>
          </w:cols>
          <w:pgMar w:left="1380" w:top="513" w:right="1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trade restrictions, estimates for supportable forecasts, when appropriate, and credit risk characteristics.</w:t>
      </w:r>
    </w:p>
    <w:p>
      <w:pPr>
        <w:spacing w:after="0" w:line="11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spacing w:after="0" w:line="10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recorded $0.1 million of bad debt expense for the three-month period ended March 31, 2026. We did not incur any credit losses or recoveries for the three-month period ended March 31, 2025. As of both March 31, 2026 and March 31, 2025, we had no allowance for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Computation of Net Earnings per Share</w:t>
      </w:r>
    </w:p>
    <w:p>
      <w:pPr>
        <w:spacing w:after="0" w:line="16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vesting of RSUs had been issued, calculated using the treasury stock method.</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earnings per share are as follows:</w:t>
      </w:r>
    </w:p>
    <w:p>
      <w:pPr>
        <w:spacing w:after="0" w:line="23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58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20" w:type="dxa"/>
            <w:vAlign w:val="bottom"/>
            <w:gridSpan w:val="5"/>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(in thousands, except per share</w:t>
            </w:r>
          </w:p>
        </w:tc>
        <w:tc>
          <w:tcPr>
            <w:tcW w:w="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w:t>
            </w:r>
          </w:p>
        </w:tc>
        <w:tc>
          <w:tcPr>
            <w:tcW w:w="4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used in computing basic income per share</w:t>
            </w: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RSUs</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 average shares of common stock used in computing diluted net income per share</w:t>
            </w:r>
          </w:p>
        </w:tc>
        <w:tc>
          <w:tcPr>
            <w:tcW w:w="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30,980</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32,335</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 per share</w:t>
            </w: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Diluted weighted average shares of common stock outstanding does not include 15,643 and 325,364 common equivalent shares issuable with respect to outstanding equity awards for the three-month periods ended March 31, 2026 and 2025, respectively,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Accumulated Other Comprehensive Loss</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by component, for the three months ended March 31, 2026: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540" w:type="dxa"/>
            <w:vAlign w:val="bottom"/>
            <w:gridSpan w:val="2"/>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6"/>
                <w:szCs w:val="16"/>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(losses) on</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4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4"/>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(2,657)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 and reclassifications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(4,913)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(5,326)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Cash, cash equivalents and restricted cash</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balances on hand, cash equivalents, which include short-term investments having a maturity of 90 days or less at time of purchase, and restricted cash reported within the consolidated balance sheets to the total of the amounts shown in the statement of cash flows: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28"/>
        </w:trPr>
        <w:tc>
          <w:tcPr>
            <w:tcW w:w="5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150,829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145,451</w:t>
            </w:r>
          </w:p>
        </w:tc>
        <w:tc>
          <w:tcPr>
            <w:tcW w:w="120" w:type="dxa"/>
            <w:vAlign w:val="bottom"/>
            <w:shd w:val="clear" w:color="auto" w:fill="CCEEFF"/>
          </w:tcPr>
          <w:p>
            <w:pPr>
              <w:spacing w:after="0"/>
              <w:rPr>
                <w:sz w:val="18"/>
                <w:szCs w:val="18"/>
                <w:color w:val="auto"/>
              </w:rPr>
            </w:pPr>
          </w:p>
        </w:tc>
      </w:tr>
      <w:tr>
        <w:trPr>
          <w:trHeight w:val="21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10,627</w:t>
            </w:r>
          </w:p>
        </w:tc>
        <w:tc>
          <w:tcPr>
            <w:tcW w:w="120" w:type="dxa"/>
            <w:vAlign w:val="bottom"/>
            <w:tcBorders>
              <w:bottom w:val="single" w:sz="8" w:color="CCEEFF"/>
            </w:tcBorders>
          </w:tcPr>
          <w:p>
            <w:pPr>
              <w:spacing w:after="0"/>
              <w:rPr>
                <w:sz w:val="18"/>
                <w:szCs w:val="18"/>
                <w:color w:val="auto"/>
              </w:rPr>
            </w:pPr>
          </w:p>
        </w:tc>
      </w:tr>
      <w:tr>
        <w:trPr>
          <w:trHeight w:val="199"/>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161,457</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156,078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we had $10.6 million in restricted cash representing the total of (i) a $5.9 million cash collateralized letter of credit serving as a security deposit for our headquarters lease in Beverly, Massachusetts, (ii) a $3.9 million letter of credit for customs purposes, (iii) a $0.7 million cash collateralized letter of credit relating to workers’ compensation insurance and (iv) a $0.1 million deposit relating to customs activity. See Note 12 for further discussion on the $5.9 million cash collateralized letter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Inventories,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26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tcPr>
          <w:p>
            <w:pPr>
              <w:spacing w:after="0"/>
              <w:rPr>
                <w:sz w:val="13"/>
                <w:szCs w:val="13"/>
                <w:color w:val="auto"/>
              </w:rPr>
            </w:pPr>
          </w:p>
        </w:tc>
        <w:tc>
          <w:tcPr>
            <w:tcW w:w="86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3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265,737</w:t>
            </w:r>
          </w:p>
        </w:tc>
        <w:tc>
          <w:tcPr>
            <w:tcW w:w="520" w:type="dxa"/>
            <w:vAlign w:val="bottom"/>
            <w:gridSpan w:val="4"/>
            <w:shd w:val="clear" w:color="auto" w:fill="CCEEFF"/>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259,039</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2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18,210</w:t>
            </w: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260" w:type="dxa"/>
            <w:vAlign w:val="bottom"/>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326,052</w:t>
            </w:r>
          </w:p>
        </w:tc>
        <w:tc>
          <w:tcPr>
            <w:tcW w:w="200" w:type="dxa"/>
            <w:vAlign w:val="bottom"/>
            <w:gridSpan w:val="2"/>
          </w:tcPr>
          <w:p>
            <w:pPr>
              <w:spacing w:after="0"/>
              <w:rPr>
                <w:sz w:val="17"/>
                <w:szCs w:val="17"/>
                <w:color w:val="auto"/>
              </w:rPr>
            </w:pPr>
          </w:p>
        </w:tc>
        <w:tc>
          <w:tcPr>
            <w:tcW w:w="320" w:type="dxa"/>
            <w:vAlign w:val="bottom"/>
            <w:gridSpan w:val="2"/>
          </w:tcPr>
          <w:p>
            <w:pPr>
              <w:jc w:val="right"/>
              <w:ind w:right="18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Product Warranty</w:t>
      </w:r>
    </w:p>
    <w:p>
      <w:pPr>
        <w:spacing w:after="0" w:line="162" w:lineRule="exact"/>
        <w:rPr>
          <w:sz w:val="20"/>
          <w:szCs w:val="20"/>
          <w:color w:val="auto"/>
        </w:rPr>
      </w:pPr>
    </w:p>
    <w:p>
      <w:pPr>
        <w:ind w:right="380" w:firstLine="648"/>
        <w:spacing w:after="0" w:line="312" w:lineRule="auto"/>
        <w:rPr>
          <w:sz w:val="20"/>
          <w:szCs w:val="20"/>
          <w:color w:val="auto"/>
        </w:rPr>
      </w:pPr>
      <w:r>
        <w:rPr>
          <w:rFonts w:ascii="Times New Roman" w:cs="Times New Roman" w:eastAsia="Times New Roman" w:hAnsi="Times New Roman"/>
          <w:sz w:val="17"/>
          <w:szCs w:val="17"/>
          <w:color w:val="auto"/>
        </w:rPr>
        <w:t>We generally offer a one-year warranty for all of our systems, the terms and conditions of which vary depending upon the product sold. For all systems sold, we accrue a liability for the estimated cost of standard warranty at the time of</w:t>
      </w:r>
    </w:p>
    <w:p>
      <w:pPr>
        <w:sectPr>
          <w:pgSz w:w="11900" w:h="16838" w:orient="portrait"/>
          <w:cols w:equalWidth="0" w:num="1">
            <w:col w:w="9140"/>
          </w:cols>
          <w:pgMar w:left="1380" w:top="513" w:right="137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system shipment and, if applicable, defer the portion of systems revenue attributable to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standard product warranty liability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0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4"/>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(end of period)</w:t>
            </w: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11,405</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13,654</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9,314</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 (within other long-term liabilities)</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11,405</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13,654</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Hierarchy</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applies to assets or liabilities for which there are quoted prices in active markets for identical assets or liabilities.</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1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Fair Value Measurements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 Investments that have a maturity of greater than one year are included within long-term investments in the consolidated balance sheets.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assets which are measured at fair value by level within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80" w:type="dxa"/>
            <w:vAlign w:val="bottom"/>
            <w:gridSpan w:val="2"/>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$ 115,195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115,195</w:t>
            </w:r>
          </w:p>
        </w:tc>
        <w:tc>
          <w:tcPr>
            <w:tcW w:w="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215,771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215,771</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investments (U.S. Government Securities and Agency</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203,339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203,339</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$ 534,305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80" w:type="dxa"/>
            <w:vAlign w:val="bottom"/>
            <w:gridSpan w:val="2"/>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10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93,348</w:t>
            </w:r>
          </w:p>
        </w:tc>
        <w:tc>
          <w:tcPr>
            <w:tcW w:w="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1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228,802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228,802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investments (U.S. Government Securities and Agency</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182,396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182,396</w:t>
            </w: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$ 504,546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9100" w:type="dxa"/>
            <w:vAlign w:val="bottom"/>
            <w:gridSpan w:val="16"/>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investments as of March 31,</w:t>
            </w:r>
          </w:p>
        </w:tc>
      </w:tr>
      <w:tr>
        <w:trPr>
          <w:trHeight w:val="223"/>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5100" w:type="dxa"/>
            <w:vAlign w:val="bottom"/>
          </w:tcPr>
          <w:p>
            <w:pPr>
              <w:ind w:left="49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5"/>
                <w:szCs w:val="15"/>
                <w:color w:val="auto"/>
              </w:rPr>
            </w:pP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5"/>
          </w:tcPr>
          <w:p>
            <w:pPr>
              <w:ind w:left="460"/>
              <w:spacing w:after="0" w:line="129"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within one year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330,966</w:t>
            </w:r>
          </w:p>
        </w:tc>
      </w:tr>
      <w:tr>
        <w:trPr>
          <w:trHeight w:val="216"/>
        </w:trPr>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Due after one year through two years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203,773</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203,339</w:t>
            </w:r>
          </w:p>
        </w:tc>
      </w:tr>
      <w:tr>
        <w:trPr>
          <w:trHeight w:val="209"/>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534,719</w:t>
            </w:r>
          </w:p>
        </w:tc>
        <w:tc>
          <w:tcPr>
            <w:tcW w:w="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534,305</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Financial Instruments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forward currency exchange contracts and other current assets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Forward Currency Exchange Contracts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enter into forward currency exchange contracts to minimize the impact of foreign currency fluctuations on our earnings and cash flows. These contracts have month-to-month settlement dates. Any gains or losses on these contracts are reported within Other, net in our Consolidated Statement of Operations. Any open contracts at period end that have settlement dates within one month after the reported period end are marked-to-market and the valuation adjustments related to these open contracts are recorded in the current asset or current liability account. Any unrealized gain or loss on the open contracts is recognized and recorded within Other, net in our Consolidated Statement of Operations. These contracts are measured at fair value using observable market inputs such as forward currency exchange rates and our counterparties’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credit risks. Based on these inputs, the derivative instruments are classified within Level 2 of the valuation hierarchy. At March 31, 2026, the recognized unrealized loss on these forward exchange contracts was approximately $0.5 million. Based on our continued ability to trade and enter into forward contracts, we consider the markets for our fair value instruments to be active. We evaluated the credit risk associated with the counterparties to these derivative instruments and determined that as of March 31, 2026, such credit risks have not had an adverse impact on the fair value of these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Financing Arrangements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finance lease under generally accepted accounting principles and, as such, we have recorded a finance lease obligation of $42.0 million as of March 31, 2026. The associated lease payments include both an interest component and payment of principal, with the remaining liability being extinguished at the end of the original lease term. As of March 31, 2026, we had a security deposit of $5.9 million related to this lease in the form of a cash collateralized letter of credit, which is classified as long-term restricted cash on our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was $1.4 million for the three months ended March 31, 2026, compared to $4.5 million for the three months ended March 31, 2025. The $3.1 million decrease was primarily due to the decrease in pre-tax book income. The reported effective tax rate (“ETR”) for the three months ended March 31, 2026 was 13.3% compared to 13.6% for the three months ended March 31, 2025. The ETR for the three months ended March 31, 2026 was less than the U.S. statutory rate of 21% primarily attributable to the Foreign Derived Intangible Income deduction and Federal research and development tax credits.</w:t>
      </w:r>
    </w:p>
    <w:p>
      <w:pPr>
        <w:spacing w:after="0" w:line="18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July 4, 2025, legislation known as the One Big Beautiful Bill Act (OBBBA) was signed into law. The OBBBA includes significant provisions, such as the permanent extension of certain expiring provisions of the Tax Cuts and Jobs Act. The legislation has multiple effective dates, with certain provisions effective in 2025 and others being implemented through 2027. The impacts of the portions of the OBBBA that have come into effect are reflected in our results for the quarter ended March 31, 2026. We will continue to evaluate the full impact of these legislative changes as additional guidance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Concentration of Risk</w:t>
      </w:r>
    </w:p>
    <w:p>
      <w:pPr>
        <w:spacing w:after="0" w:line="10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three customers accounted for 19.8%, 13.7%, and 10.7% of total revenue, respectively. For the three months ended March 31, 2025, two customers accounted for 15.3% and 15.2% of total revenue, respectively.</w:t>
      </w:r>
    </w:p>
    <w:p>
      <w:pPr>
        <w:spacing w:after="0" w:line="176"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At March 31, 2026, four customers accounted for 14.6%, 11.1%, 10.7%, and 10.5% of accounts receivable, respectively. At December 31, 2025, three customers accounted for 14.7%, 13.5%, and 10.3% of accounts receivable,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 Repurchase</w:t>
      </w:r>
    </w:p>
    <w:p>
      <w:pPr>
        <w:spacing w:after="0" w:line="13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March 2025, our Board of Directors approved an additional funding of $100 million for our stock repurchase program. This approval brings the current outstanding repurchase authorization to $215 million, with $110 million available for future stock repurchases as of March 31, 2026. During the three months ended March 31, 2026, no shares of common stock were repurchased. The timing and actual number of any additional shares to be repurchased under this program will depend on various factors including price, corporate and regulatory requirements, alternative investment opportunities and other market conditions.</w:t>
      </w:r>
    </w:p>
    <w:p>
      <w:pPr>
        <w:spacing w:after="0" w:line="6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Repurchased shares are accounted for when the transaction is settled and returned to the status of authorized but unissued shares. Accordingly, on our balance sheet, the repurchase price is deducted from common stock par value and from additional paid-in capital for the excess over par value. If additional paid-in capital has been exhausted, the excess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over par value is deducted from retained earnings. Direct costs incurred to acquire the shares are included in the total cost of the shares.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Litigation</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Indemnifications</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w:t>
      </w:r>
    </w:p>
    <w:p>
      <w:pPr>
        <w:spacing w:after="0" w:line="135"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chief operating decision maker (“CODM”) is our chief executive officer, who assesses financial performance for the Company and decides how to allocate resources based on consolidated net income. Segment asset information is provided to the CODM but it is not used to allocate resources.</w:t>
      </w:r>
    </w:p>
    <w:p>
      <w:pPr>
        <w:spacing w:after="0" w:line="15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months ended March 31, 2026 and 2025: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4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198,956</w:t>
            </w:r>
          </w:p>
        </w:tc>
        <w:tc>
          <w:tcPr>
            <w:tcW w:w="9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192,563</w:t>
            </w:r>
          </w:p>
        </w:tc>
        <w:tc>
          <w:tcPr>
            <w:tcW w:w="34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103,795</w:t>
            </w:r>
          </w:p>
        </w:tc>
        <w:tc>
          <w:tcPr>
            <w:tcW w:w="34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3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34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26,761</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3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3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3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340" w:type="dxa"/>
            <w:vAlign w:val="bottom"/>
            <w:tcBorders>
              <w:bottom w:val="single" w:sz="8" w:color="CCEEFF"/>
            </w:tcBorders>
          </w:tcPr>
          <w:p>
            <w:pPr>
              <w:spacing w:after="0"/>
              <w:rPr>
                <w:sz w:val="18"/>
                <w:szCs w:val="18"/>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340" w:type="dxa"/>
            <w:vAlign w:val="bottom"/>
            <w:shd w:val="clear" w:color="auto" w:fill="CCEEFF"/>
          </w:tcPr>
          <w:p>
            <w:pPr>
              <w:spacing w:after="0"/>
              <w:rPr>
                <w:sz w:val="18"/>
                <w:szCs w:val="18"/>
                <w:color w:val="auto"/>
              </w:rPr>
            </w:pPr>
          </w:p>
        </w:tc>
      </w:tr>
      <w:tr>
        <w:trPr>
          <w:trHeight w:val="210"/>
        </w:trPr>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profit or loss Adjustments and reconciling items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r>
      <w:tr>
        <w:trPr>
          <w:trHeight w:val="209"/>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above table includes depreciation expense and amortization expense of $4.4 million and $4.3 million for the three month periods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Recent Accounting Guidance</w:t>
      </w:r>
    </w:p>
    <w:p>
      <w:pPr>
        <w:spacing w:after="0" w:line="10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2024-03, Income Statement—Reporting Comprehensive Income—Expense Disaggregation Disclosures (Subtopic 220-40): Disaggregation of Income Statement Expenses (“ASU 2024-03”). ASU 2024-03 is intended to enhance the disclosures for expenses for all public entities in accordance with ASC Topic 220, Income Statement-Reporting Comprehensive Income. ASU 2024-03 addresses investor requests for more detailed information about expenses, specifically cost of sales and selling, general, and administrative expenses. ASU 2024-03 requires a public entity to disclose the amounts of (a) purchases of inventory, (b) employee compensation, (c) depreciation, (d) intangible asset amortization, and (e) depreciation,</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depletion, and amortization recognized as part of oil- and gas-producing activities (or other amounts of depletion expense) included in each relevant expense caption presented on the face of the income statement as well as a qualitative description of the amounts remaining in the relevant expense captions that are not separately disaggregated quantitatively. ASU 2024-03 also requires a public entity to disclose the total amount of selling expenses and the entity’s definition of selling expenses. ASU 2024-03 is effective for fiscal years beginning after December 15, 2026, and interim periods within fiscal years beginning after December 15, 2027. Early adoption is permitted. A public entity should apply ASU 2024-03 either prospectively to financial statements issued for reporting periods after the effective date of this ASU or retrospectively to all prior periods presented in the financial statements. The Company is currently evaluating the impact of ASU 2024-03 on its future consolidated financial statements and related disclosures.</w:t>
      </w:r>
    </w:p>
    <w:p>
      <w:pPr>
        <w:spacing w:after="0" w:line="18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2025-06, </w:t>
      </w:r>
      <w:r>
        <w:rPr>
          <w:rFonts w:ascii="Times New Roman" w:cs="Times New Roman" w:eastAsia="Times New Roman" w:hAnsi="Times New Roman"/>
          <w:sz w:val="18"/>
          <w:szCs w:val="18"/>
          <w:i w:val="1"/>
          <w:iCs w:val="1"/>
          <w:color w:val="auto"/>
        </w:rPr>
        <w:t>Intangibles – Goodwill and Other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Internal-Use Software (Subtopic 350-40): Targeted Improvements to the Accounting for Internal-Use Software </w:t>
      </w:r>
      <w:r>
        <w:rPr>
          <w:rFonts w:ascii="Times New Roman" w:cs="Times New Roman" w:eastAsia="Times New Roman" w:hAnsi="Times New Roman"/>
          <w:sz w:val="18"/>
          <w:szCs w:val="18"/>
          <w:color w:val="auto"/>
        </w:rPr>
        <w:t>(“ASU 2025-06”). ASU 2025-06 requires companies to start capitalizing eligible software costs when management has authorized and committed to funding the software project, and it is probable that the project will be completed and the software will be used to perform the function intended. The guidance is effective for annual reporting periods beginning after December 15, 2027, and interim reporting periods within those annual reporting periods. Early adoption is permitted and may be applied using a prospective, retrospective or modified transition approach. The Company is currently evaluating the impact of ASU 2025-06 on its future consolidated financial statements and related disclosures.</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2025-07</w:t>
      </w:r>
      <w:r>
        <w:rPr>
          <w:rFonts w:ascii="Times New Roman" w:cs="Times New Roman" w:eastAsia="Times New Roman" w:hAnsi="Times New Roman"/>
          <w:sz w:val="18"/>
          <w:szCs w:val="18"/>
          <w:i w:val="1"/>
          <w:iCs w:val="1"/>
          <w:color w:val="auto"/>
        </w:rPr>
        <w:t>, Derivatives and Hedging (Topic 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Revenue from Contracts with Customers (Topic 606) – 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(“ASU 2025-07”). ASU 2025-07 applies to all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periods within those annual reporting periods. Early adoption is permitted. The Company is currently evaluating the impact of ASU 2025-07 on its future consolidated financial statements and related disclosures.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Accounting Standards Update 2025-11</w:t>
      </w:r>
      <w:r>
        <w:rPr>
          <w:rFonts w:ascii="Times New Roman" w:cs="Times New Roman" w:eastAsia="Times New Roman" w:hAnsi="Times New Roman"/>
          <w:sz w:val="18"/>
          <w:szCs w:val="18"/>
          <w:i w:val="1"/>
          <w:iCs w:val="1"/>
          <w:color w:val="auto"/>
        </w:rPr>
        <w:t>, Interim Reporting (Topic 270)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Narrow-Scope Improvements </w:t>
      </w:r>
      <w:r>
        <w:rPr>
          <w:rFonts w:ascii="Times New Roman" w:cs="Times New Roman" w:eastAsia="Times New Roman" w:hAnsi="Times New Roman"/>
          <w:sz w:val="18"/>
          <w:szCs w:val="18"/>
          <w:color w:val="auto"/>
        </w:rPr>
        <w:t>(“ASU 2025-11”). ASU 2025-11 applies to all entities that provide interim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notes in accordance with generally accepted accounting principles. The new guidance improves the navigability of the required interim disclosures, clarifies when that guidance is applicable and provides additional guidance on what disclosures should be provided in interim reporting periods. ASU 2025-11 also adds a principle that requires entities to disclose events since the end of the last annual reporting period that have a material impact on the entity. ASU 2025-11 is effective for interim and annual reporting periods beginning after December 15, 2027. Early adoption is permitted. The Company is currently evaluating the impact of ASU 2025-11 on its future consolidated financial statements and related disclosures.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Merger</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the Company, Victory Merger Sub, Inc., a Delaware corporation and a wholly-owned subsidiary of the Company (“Merger Sub”), and Veeco Instruments Inc., a Delaware corporation (“Veeco”), entered into an Agreement and Plan of Merger (the “Merger Agreement”). Pursuant to the Merger Agreement, and subject to the satisfaction or waiver of the conditions specified therein, Merger Sub shall be merged with and into Veeco (the “Merger”), with Veeco surviving as a wholly-owned subsidiary of the Company.</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of common stock, par value $0.01 per share, of Veeco, issued and outstanding immediately prior to the Effective Time (other than shares that are owned by the Company, Veeco or Merger Sub or any wholly owned subsidiary of the Company, Veeco or Merger Sub) will be converted into the right to receive 0.3575 newly issued shares of Company common stock (the “Company Common Stock”) (the “Common Stock Merger Consideration”). No fractional shares of the Company will be issued in the Merger, and Veeco</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stockholders will receive cash in lieu of fractional shares as part of the merger consideration, as specified in the Merger Agreement.</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Merger Agreement may be terminated upon the mutual written consent of Axcelis and Veeco. In addition, either Axcelis or Veeco may terminate the Merger Agreement in certain circumstances, including if (a) certain governmental entities have issued a final and non-appealable governmental order or enacted a law prohibiting the Merger or making the closing of the Merger illegal, (b) the Merger is not consummated by September 30, 2026, subject to successive automatic extensions until as late as June 30, 2027 if the only remaining conditions to be satisfied are regulatory approvals, (c) the other party is in breach of the Merger Agreement in a manner that would result in a failure of an applicable closing condition (subject to the applicable cure period set forth in the Merger Agreement) or (d) the other party’s board of directors has changed its recommendation with respect to the Merger.</w:t>
      </w:r>
    </w:p>
    <w:p>
      <w:pPr>
        <w:spacing w:after="0" w:line="23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 Merger Agreement is terminated by a party following a recommendation change of the board of directors of the other party, the non-terminating party will be required to pay the other party the following termination fee: (i) if the non-terminating party is Axcelis, a termination fee of $108.7 million; and (ii) if the non-terminating party is Veeco, a termination fee of $77.5 million. Each party may also be required to pay such termination fee if such party enters into a competing proposal within twelve months of termination of the Merger Agreement under certain circumstances. In addition, if the Merger Agreement is terminated by a party due to the other party’s breach of the Merger Agreement that would result in a failure of an applicable closing condition (subject to the applicable cure period set forth in the Merger Agreement), then the non-terminating party will be required to pay a fixed expense reimbursement amount of $15.0 million.</w:t>
      </w:r>
    </w:p>
    <w:p>
      <w:pPr>
        <w:spacing w:after="0" w:line="23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At a special meeting of stockholders held on February 6, 2026, Axcelis stockholders approved the issuance of shares of Company Common Stock in connection with the Merger.</w:t>
      </w:r>
    </w:p>
    <w:p>
      <w:pPr>
        <w:spacing w:after="0" w:line="18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completion of the Merger remains subject to other customary closing conditions, including the final pending regulatory approval from the State Administration for Market Regulation of the People’s Republic of China. Axcelis and Veeco continue to expect that the Merger will be completed in the second half of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others discussed elsewhere in this Quarterly Report on Form 10-Q.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72.9% of total revenue for the three months ended March 31, 2026.</w:t>
      </w:r>
    </w:p>
    <w:p>
      <w:pPr>
        <w:spacing w:after="0" w:line="192"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Sales of our systems in the first three months of 2026 were down compared to the same period in the prior year, as customers have moderated the pace of investments into mature process node technologies. During the three months ended March 31, 2026, the overall mature process segment represented 68% of our shipped systems revenue, with the remainder represented by 32% of shipments to dynamic random-access memory (“DRAM”) applications. Of the mature process segment, power device shipments comprised 35% of total systems revenue with the general mature segment representing 33%, which includes image sensor applications.</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September 30, 2025, the Company, Victory Merger Sub, Inc., a Delaware corporation and a wholly-owned subsidiary of the Company (“Merger Sub”), and Veeco Instruments Inc., a Delaware corporation (“Veeco”), entered into an Agreement and Plan of Merger (the “Merger Agreement”). Pursuant to the Merger Agreement, and subject to the satisfaction or waiver of the conditions specified therein, Merger Sub shall be merged with and into Veeco (the “Merger”), with Veeco surviving as a wholly-owned subsidiary of the Company. For further information regarding the Merger, see Note 19 to the consolidated financial statements included in this report. On February 6, 2026, Axcelis held a special meeting of stockholders at which the Company Stock Issuance was approved. The completion of the Merger remains subject to other customary closing conditions, including the final pending regulatory approval from the State Administration for Market Regulation of the People’s Republic of China. Axcelis and Veeco continue to expect that the Merger will be completed in the second half of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included herein and in our 2025 Form 10-K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right="340" w:firstLine="648"/>
        <w:spacing w:after="0" w:line="266" w:lineRule="auto"/>
        <w:rPr>
          <w:sz w:val="20"/>
          <w:szCs w:val="20"/>
          <w:color w:val="auto"/>
        </w:rPr>
      </w:pPr>
      <w:r>
        <w:rPr>
          <w:rFonts w:ascii="Times New Roman" w:cs="Times New Roman" w:eastAsia="Times New Roman" w:hAnsi="Times New Roman"/>
          <w:sz w:val="18"/>
          <w:szCs w:val="18"/>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2025 Form 10-K.</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20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vMerge w:val="restart"/>
          </w:tcPr>
          <w:p>
            <w:pPr>
              <w:ind w:left="6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gridSpan w:val="4"/>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2"/>
        </w:trPr>
        <w:tc>
          <w:tcPr>
            <w:tcW w:w="6580" w:type="dxa"/>
            <w:vAlign w:val="bottom"/>
            <w:vMerge w:val="continue"/>
          </w:tcPr>
          <w:p>
            <w:pPr>
              <w:spacing w:after="0"/>
              <w:rPr>
                <w:sz w:val="12"/>
                <w:szCs w:val="12"/>
                <w:color w:val="auto"/>
              </w:rPr>
            </w:pPr>
          </w:p>
        </w:tc>
        <w:tc>
          <w:tcPr>
            <w:tcW w:w="880" w:type="dxa"/>
            <w:vAlign w:val="bottom"/>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1160" w:type="dxa"/>
            <w:vAlign w:val="bottom"/>
            <w:gridSpan w:val="3"/>
          </w:tcPr>
          <w:p>
            <w:pPr>
              <w:jc w:val="right"/>
              <w:ind w:right="68"/>
              <w:spacing w:after="0"/>
              <w:rPr>
                <w:sz w:val="20"/>
                <w:szCs w:val="20"/>
                <w:color w:val="auto"/>
              </w:rPr>
            </w:pPr>
            <w:r>
              <w:rPr>
                <w:rFonts w:ascii="Times New Roman" w:cs="Times New Roman" w:eastAsia="Times New Roman" w:hAnsi="Times New Roman"/>
                <w:sz w:val="16"/>
                <w:szCs w:val="16"/>
                <w:color w:val="auto"/>
              </w:rPr>
              <w:t>94.5 %</w:t>
            </w:r>
          </w:p>
        </w:tc>
        <w:tc>
          <w:tcPr>
            <w:tcW w:w="240" w:type="dxa"/>
            <w:vAlign w:val="bottom"/>
          </w:tcPr>
          <w:p>
            <w:pPr>
              <w:spacing w:after="0"/>
              <w:rPr>
                <w:sz w:val="18"/>
                <w:szCs w:val="18"/>
                <w:color w:val="auto"/>
              </w:rPr>
            </w:pPr>
          </w:p>
        </w:tc>
        <w:tc>
          <w:tcPr>
            <w:tcW w:w="114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color w:val="auto"/>
              </w:rPr>
              <w:t>94.9 %</w:t>
            </w: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income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w w:val="89"/>
              </w:rPr>
              <w:t>%</w:t>
            </w: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50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product and services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5"/>
                <w:szCs w:val="15"/>
                <w:color w:val="auto"/>
              </w:rPr>
            </w:pPr>
          </w:p>
        </w:tc>
        <w:tc>
          <w:tcPr>
            <w:tcW w:w="680" w:type="dxa"/>
            <w:vAlign w:val="bottom"/>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7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60" w:type="dxa"/>
            <w:vAlign w:val="bottom"/>
            <w:gridSpan w:val="5"/>
          </w:tcPr>
          <w:p>
            <w:pPr>
              <w:jc w:val="right"/>
              <w:ind w:right="222"/>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140" w:type="dxa"/>
            <w:vAlign w:val="bottom"/>
            <w:gridSpan w:val="2"/>
          </w:tcPr>
          <w:p>
            <w:pPr>
              <w:ind w:left="19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6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$ 188,008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$ 182,824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2.8 %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94.5 %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94.9 %</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12.4 %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5.5 %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5.1 %</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040" w:type="dxa"/>
            <w:vAlign w:val="bottom"/>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$ 198,956</w:t>
            </w:r>
          </w:p>
        </w:tc>
        <w:tc>
          <w:tcPr>
            <w:tcW w:w="2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$ 192,563</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 xml:space="preserve">3.3 </w:t>
            </w: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-847725</wp:posOffset>
            </wp:positionV>
            <wp:extent cx="57861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left="20" w:right="540" w:firstLine="648"/>
        <w:spacing w:after="0" w:line="282" w:lineRule="auto"/>
        <w:rPr>
          <w:sz w:val="20"/>
          <w:szCs w:val="20"/>
          <w:color w:val="auto"/>
        </w:rPr>
      </w:pPr>
      <w:r>
        <w:rPr>
          <w:rFonts w:ascii="Times New Roman" w:cs="Times New Roman" w:eastAsia="Times New Roman" w:hAnsi="Times New Roman"/>
          <w:sz w:val="18"/>
          <w:szCs w:val="18"/>
          <w:color w:val="auto"/>
        </w:rPr>
        <w:t>Product revenue, which includes systems sales, sales of spare parts, product upgrades and used systems, was $188.0 million, or 94.5% of revenue, during the three months ended March 31, 2026, compared with $182.8 million, or</w:t>
      </w:r>
    </w:p>
    <w:p>
      <w:pPr>
        <w:sectPr>
          <w:pgSz w:w="11900" w:h="16838" w:orient="portrait"/>
          <w:cols w:equalWidth="0" w:num="1">
            <w:col w:w="9160"/>
          </w:cols>
          <w:pgMar w:left="1360" w:top="513" w:right="137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60"/>
          </w:cols>
          <w:pgMar w:left="1360" w:top="513" w:right="137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94.9% of revenue, for the three months ended March 31, 2025. The $5.2 million increase in product revenue for the three-month period ended March 31, 2026, in comparison to the same period in 2025, was primarily driven by an increase in Aftermarket sales, offset partially by a customer settlement of $4.9 million.</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revenue includes payments received in advance of system sales as well as deferral of revenue from systems sales for installation and other future performance obligations. The total amount of deferred revenue at March 31, 2026 and December 31, 2025 was $109.6 million and $109.0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$10.9 million, or 5.5% of revenue, for the three months ended March 31, 2026, compared with $9.7 million, or 5.1% of revenue, for the three months ended March 31, 2025.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regularly disaggregates revenue in the following categories, which it finds relevant and useful:</w:t>
      </w:r>
    </w:p>
    <w:p>
      <w:pPr>
        <w:spacing w:after="0" w:line="162" w:lineRule="exact"/>
        <w:rPr>
          <w:sz w:val="20"/>
          <w:szCs w:val="20"/>
          <w:color w:val="auto"/>
        </w:rPr>
      </w:pPr>
    </w:p>
    <w:p>
      <w:pPr>
        <w:ind w:left="1320" w:hanging="316"/>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Aftermarket revenues, in which “Aftermarket” is:</w:t>
      </w:r>
    </w:p>
    <w:p>
      <w:pPr>
        <w:spacing w:after="0" w:line="27" w:lineRule="exact"/>
        <w:rPr>
          <w:rFonts w:ascii="Times New Roman" w:cs="Times New Roman" w:eastAsia="Times New Roman" w:hAnsi="Times New Roman"/>
          <w:sz w:val="18"/>
          <w:szCs w:val="18"/>
          <w:color w:val="auto"/>
        </w:rPr>
      </w:pPr>
    </w:p>
    <w:p>
      <w:pPr>
        <w:ind w:left="1980" w:right="420" w:hanging="328"/>
        <w:spacing w:after="0" w:line="250" w:lineRule="auto"/>
        <w:tabs>
          <w:tab w:leader="none" w:pos="1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which is the labor component of Aftermarket revenues;</w:t>
      </w:r>
    </w:p>
    <w:p>
      <w:pPr>
        <w:spacing w:after="0" w:line="207"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(Aftermarket purchases reflect current fab utilization as opposed to Systems purchases which reflect capital investment decisions by our customers, which have differing economic drivers);</w:t>
      </w:r>
    </w:p>
    <w:p>
      <w:pPr>
        <w:spacing w:after="0" w:line="162" w:lineRule="exact"/>
        <w:rPr>
          <w:sz w:val="20"/>
          <w:szCs w:val="20"/>
          <w:color w:val="auto"/>
        </w:rPr>
      </w:pPr>
    </w:p>
    <w:p>
      <w:pPr>
        <w:ind w:left="1320" w:right="40" w:hanging="316"/>
        <w:spacing w:after="0" w:line="282"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320" w:hanging="316"/>
        <w:spacing w:after="0" w:line="261"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advanced logic.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Aftermarket and Systems Revenue</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Included in total revenue of $199.0 million during the three months ended March 31, 2026 is revenue from our Aftermarket business of $72.6 million, compared with $55.0 million of Aftermarket revenue for the three months ended March 31, 2025. Aftermarket revenue fluctuates from period to period primarily based on capacity utilization at customers’ manufacturing facilities, which affects the sale of spare parts and demand for equipment service. Aftermarket revenue can also fluctuate from period to period based on the demand for system upgrades or used equipment. The remaining $126.4 million of revenue for the three months ended March 31, 2026 was systems revenue, compared with $137.6 million of systems revenue for the three months ended March 31, 2025. Systems revenue fluctuates from period to period based on our customers’ capital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 gross margin: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8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4"/>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48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8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88,324</w:t>
            </w:r>
          </w:p>
        </w:tc>
        <w:tc>
          <w:tcPr>
            <w:tcW w:w="76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8"/>
              </w:rPr>
              <w:t>(6,051)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(6.9)</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i w:val="1"/>
                <w:iCs w:val="1"/>
                <w:color w:val="auto"/>
              </w:rPr>
              <w:t>43.8 %</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i w:val="1"/>
                <w:iCs w:val="1"/>
                <w:color w:val="auto"/>
              </w:rPr>
              <w:t>48.3 %</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8"/>
              </w:rPr>
              <w:t>(2,136)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(481.1)</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i w:val="1"/>
                <w:iCs w:val="1"/>
                <w:color w:val="auto"/>
              </w:rPr>
              <w:t>(15.5)%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i w:val="1"/>
                <w:iCs w:val="1"/>
                <w:color w:val="auto"/>
              </w:rPr>
              <w:t>4.6 %</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80,581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88,768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8"/>
              </w:rPr>
              <w:t>(8,187)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(9.2)</w:t>
            </w:r>
            <w:r>
              <w:rPr>
                <w:rFonts w:ascii="Times New Roman" w:cs="Times New Roman" w:eastAsia="Times New Roman" w:hAnsi="Times New Roman"/>
                <w:sz w:val="16"/>
                <w:szCs w:val="16"/>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40.5</w:t>
            </w: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46.1</w:t>
            </w:r>
          </w:p>
        </w:tc>
        <w:tc>
          <w:tcPr>
            <w:tcW w:w="2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-1120140</wp:posOffset>
            </wp:positionV>
            <wp:extent cx="57861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Gross margin from product revenue was 43.8% for the three months ended March 31, 2026, compared to 48.3% for the three months ended March 31, 2025. The decrease in gross margin resulted from a less favorable mix of system shipments.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Gross margin from services revenue was (15.5)% for the three months ended March 31, 2026, compared to 4.6% for the three months ended March 31, 2025. The decrease in gross margin is attributable to changes in the mix of service contracts. Occasionally, we experience negative gross margin on service revenue as contract costs can vary significantly from one period to another based on customer demand.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vMerge w:val="continue"/>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3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28,516</w:t>
            </w:r>
          </w:p>
        </w:tc>
        <w:tc>
          <w:tcPr>
            <w:tcW w:w="2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27,128</w:t>
            </w:r>
          </w:p>
        </w:tc>
        <w:tc>
          <w:tcPr>
            <w:tcW w:w="2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660" w:type="dxa"/>
            <w:vAlign w:val="bottom"/>
            <w:gridSpan w:val="2"/>
            <w:shd w:val="clear" w:color="auto" w:fill="CCEEFF"/>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5.1 </w:t>
            </w:r>
            <w:r>
              <w:rPr>
                <w:rFonts w:ascii="Times New Roman" w:cs="Times New Roman" w:eastAsia="Times New Roman" w:hAnsi="Times New Roman"/>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14.3 %</w:t>
            </w:r>
          </w:p>
        </w:tc>
        <w:tc>
          <w:tcPr>
            <w:tcW w:w="4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14.1 %</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17,354</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15,124</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14.7 </w:t>
            </w: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8.7 %</w:t>
            </w:r>
          </w:p>
        </w:tc>
        <w:tc>
          <w:tcPr>
            <w:tcW w:w="4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7.9 %</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26,761</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17,357</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9,404</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54.2 </w:t>
            </w: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13.5 %</w:t>
            </w:r>
          </w:p>
        </w:tc>
        <w:tc>
          <w:tcPr>
            <w:tcW w:w="4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9.0 %</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72,631</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59,609</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13,022</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21.8 </w:t>
            </w: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w:t>
            </w: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5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36.5</w:t>
            </w:r>
          </w:p>
        </w:tc>
        <w:tc>
          <w:tcPr>
            <w:tcW w:w="2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31.0</w:t>
            </w:r>
          </w:p>
        </w:tc>
        <w:tc>
          <w:tcPr>
            <w:tcW w:w="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Our operating expenses consist primarily of personnel costs, including wages,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5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Personnel costs are our largest expense, representing $35.7 million, or 49.2%, of our total operating expenses for the three months ended March 31, 2026, compared to $35.4 million, or 59.4%, of our total operating expenses for the three months ended March 31, 2025. The slightly higher personnel costs for the three months ended March 31, 2026 are primarily due to increases in salary and benefits expenses, partially offset by a decrease in separation program expenses.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60"/>
          </w:cols>
          <w:pgMar w:left="1380" w:top="513" w:right="1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3"/>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i w:val="1"/>
                <w:iCs w:val="1"/>
                <w:color w:val="auto"/>
              </w:rPr>
              <w:t xml:space="preserve">5.1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3"/>
          </w:tcPr>
          <w:p>
            <w:pPr>
              <w:jc w:val="center"/>
              <w:ind w:left="44"/>
              <w:spacing w:after="0"/>
              <w:rPr>
                <w:sz w:val="20"/>
                <w:szCs w:val="20"/>
                <w:color w:val="auto"/>
              </w:rPr>
            </w:pPr>
            <w:r>
              <w:rPr>
                <w:rFonts w:ascii="Times New Roman" w:cs="Times New Roman" w:eastAsia="Times New Roman" w:hAnsi="Times New Roman"/>
                <w:sz w:val="16"/>
                <w:szCs w:val="16"/>
                <w:color w:val="auto"/>
              </w:rPr>
              <w:t>28,516  ​​​$</w:t>
            </w:r>
          </w:p>
        </w:tc>
        <w:tc>
          <w:tcPr>
            <w:tcW w:w="16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27,128  ​​​   $</w:t>
            </w: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1,388  ​​​</w:t>
            </w: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14.3 %</w:t>
            </w:r>
          </w:p>
        </w:tc>
        <w:tc>
          <w:tcPr>
            <w:tcW w:w="28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i w:val="1"/>
                <w:iCs w:val="1"/>
                <w:color w:val="auto"/>
              </w:rPr>
              <w:t>14.1 %</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-271145</wp:posOffset>
            </wp:positionV>
            <wp:extent cx="57861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86120" cy="137160"/>
                    </a:xfrm>
                    <a:prstGeom prst="rect">
                      <a:avLst/>
                    </a:prstGeom>
                    <a:noFill/>
                  </pic:spPr>
                </pic:pic>
              </a:graphicData>
            </a:graphic>
          </wp:anchor>
        </w:drawing>
      </w:r>
    </w:p>
    <w:p>
      <w:pPr>
        <w:spacing w:after="0" w:line="18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solve customers’ high value, high impact, ion implantation challenges.</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$28.5 million during the three months ended March 31, 2026, an increase of $1.4 million, or 5.1%, compared with $27.1 million during the three months ended March 31, 2025. The increase is primarily due to higher personnel costs and an increase in consulting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2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vMerge w:val="continue"/>
          </w:tcPr>
          <w:p>
            <w:pPr>
              <w:spacing w:after="0"/>
              <w:rPr>
                <w:sz w:val="11"/>
                <w:szCs w:val="11"/>
                <w:color w:val="auto"/>
              </w:rPr>
            </w:pPr>
          </w:p>
        </w:tc>
        <w:tc>
          <w:tcPr>
            <w:tcW w:w="860" w:type="dxa"/>
            <w:vAlign w:val="bottom"/>
            <w:gridSpan w:val="2"/>
          </w:tcPr>
          <w:p>
            <w:pPr>
              <w:jc w:val="right"/>
              <w:ind w:right="206"/>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760" w:type="dxa"/>
            <w:vAlign w:val="bottom"/>
            <w:gridSpan w:val="4"/>
            <w:shd w:val="clear" w:color="auto" w:fill="CCEEFF"/>
          </w:tcPr>
          <w:p>
            <w:pPr>
              <w:ind w:left="1320"/>
              <w:spacing w:after="0"/>
              <w:rPr>
                <w:sz w:val="20"/>
                <w:szCs w:val="20"/>
                <w:color w:val="auto"/>
              </w:rPr>
            </w:pPr>
            <w:r>
              <w:rPr>
                <w:rFonts w:ascii="Times New Roman" w:cs="Times New Roman" w:eastAsia="Times New Roman" w:hAnsi="Times New Roman"/>
                <w:sz w:val="16"/>
                <w:szCs w:val="16"/>
                <w:color w:val="auto"/>
              </w:rPr>
              <w:t>​​​ $   17,354  ​​​ $</w:t>
            </w:r>
          </w:p>
        </w:tc>
        <w:tc>
          <w:tcPr>
            <w:tcW w:w="1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15,124  ​​​ $</w:t>
            </w:r>
          </w:p>
        </w:tc>
        <w:tc>
          <w:tcPr>
            <w:tcW w:w="10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2,230  ​​​</w:t>
            </w:r>
          </w:p>
        </w:tc>
        <w:tc>
          <w:tcPr>
            <w:tcW w:w="12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 xml:space="preserve">14.7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5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8.7 %</w:t>
            </w:r>
          </w:p>
        </w:tc>
        <w:tc>
          <w:tcPr>
            <w:tcW w:w="220" w:type="dxa"/>
            <w:vAlign w:val="bottom"/>
          </w:tcPr>
          <w:p>
            <w:pPr>
              <w:spacing w:after="0"/>
              <w:rPr>
                <w:sz w:val="18"/>
                <w:szCs w:val="18"/>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i w:val="1"/>
                <w:iCs w:val="1"/>
                <w:color w:val="auto"/>
              </w:rPr>
              <w:t>7.9 %</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$17.4 million during the three months ended March 31, 2026, an increase of $2.2 million, or 14.7%, compared with $15.1 million during the three months ended March 31, 2025. The increase is primarily due to higher personnel expenses and an increase in freight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9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r>
      <w:tr>
        <w:trPr>
          <w:trHeight w:val="142"/>
        </w:trPr>
        <w:tc>
          <w:tcPr>
            <w:tcW w:w="2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r>
      <w:tr>
        <w:trPr>
          <w:trHeight w:val="128"/>
        </w:trPr>
        <w:tc>
          <w:tcPr>
            <w:tcW w:w="29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860" w:type="dxa"/>
            <w:vAlign w:val="bottom"/>
            <w:gridSpan w:val="2"/>
          </w:tcPr>
          <w:p>
            <w:pPr>
              <w:jc w:val="right"/>
              <w:ind w:right="246"/>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26,761  ​​​ $</w:t>
            </w:r>
          </w:p>
        </w:tc>
        <w:tc>
          <w:tcPr>
            <w:tcW w:w="1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17,357  ​​​ $</w:t>
            </w:r>
          </w:p>
        </w:tc>
        <w:tc>
          <w:tcPr>
            <w:tcW w:w="1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9,404  ​​​</w:t>
            </w:r>
          </w:p>
        </w:tc>
        <w:tc>
          <w:tcPr>
            <w:tcW w:w="12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i w:val="1"/>
                <w:iCs w:val="1"/>
                <w:color w:val="auto"/>
              </w:rPr>
              <w:t xml:space="preserve">54.2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7"/>
                <w:szCs w:val="17"/>
                <w:color w:val="auto"/>
              </w:rPr>
              <w:t>​​​</w:t>
            </w:r>
          </w:p>
        </w:tc>
      </w:tr>
      <w:tr>
        <w:trPr>
          <w:trHeight w:val="212"/>
        </w:trPr>
        <w:tc>
          <w:tcPr>
            <w:tcW w:w="29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13.5 %</w:t>
            </w: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9.0 %</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0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$26.8 million during the three months ended March 31, 2026, an increase of $9.4 million, or 54.2%, compared with $17.4 million during the three months ended March 31, 2025. The increase is primarily due to an increase in Merger related professional fees.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3"/>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06"/>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0" w:type="dxa"/>
            <w:vAlign w:val="bottom"/>
          </w:tcPr>
          <w:p>
            <w:pPr>
              <w:spacing w:after="0"/>
              <w:rPr>
                <w:sz w:val="12"/>
                <w:szCs w:val="12"/>
                <w:color w:val="auto"/>
              </w:rPr>
            </w:pPr>
          </w:p>
        </w:tc>
      </w:tr>
      <w:tr>
        <w:trPr>
          <w:trHeight w:val="129"/>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(31.8)</w:t>
            </w:r>
            <w:r>
              <w:rPr>
                <w:rFonts w:ascii="Times New Roman" w:cs="Times New Roman" w:eastAsia="Times New Roman" w:hAnsi="Times New Roman"/>
                <w:sz w:val="16"/>
                <w:szCs w:val="16"/>
                <w:color w:val="auto"/>
              </w:rPr>
              <w:t>%</w:t>
            </w:r>
          </w:p>
        </w:tc>
      </w:tr>
      <w:tr>
        <w:trPr>
          <w:trHeight w:val="212"/>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1.4 %</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r>
    </w:tbl>
    <w:p>
      <w:pPr>
        <w:spacing w:after="0" w:line="10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both fluctuations of the U.S. dollar against local currencies of the countries in which we operate and forward currency exchange contracts.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was $2.7 million for the three months ended March 31, 2026, compared with other income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 million for the three months ended March 31, 2025. The $1.3 million decrease in other income (expense) compared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prior year period was primarily due to a decrease in interest income of $1.1 million and an increase in net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losses of $0.1 million. Net foreign exchange losses for the three months ended March 31, 2026 includes $1.7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gains related to forward currency exchange contracts, offset by foreign exchange losses of $2.2 million. Net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losses for the three months ended March 31, 2025 includes foreign exchange losses of $1.2 million from 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exchange contracts, partially offset by foreign exchange gains of $0.8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4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4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0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2"/>
                <w:szCs w:val="12"/>
                <w:color w:val="auto"/>
              </w:rPr>
            </w:pPr>
          </w:p>
        </w:tc>
      </w:tr>
      <w:tr>
        <w:trPr>
          <w:trHeight w:val="129"/>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(3,094)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i w:val="1"/>
                <w:iCs w:val="1"/>
                <w:color w:val="auto"/>
              </w:rPr>
              <w:t>(68.7)</w:t>
            </w:r>
            <w:r>
              <w:rPr>
                <w:rFonts w:ascii="Times New Roman" w:cs="Times New Roman" w:eastAsia="Times New Roman" w:hAnsi="Times New Roman"/>
                <w:sz w:val="16"/>
                <w:szCs w:val="16"/>
                <w:color w:val="auto"/>
              </w:rPr>
              <w:t>%</w:t>
            </w:r>
          </w:p>
        </w:tc>
      </w:tr>
      <w:tr>
        <w:trPr>
          <w:trHeight w:val="212"/>
        </w:trPr>
        <w:tc>
          <w:tcPr>
            <w:tcW w:w="402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0.7 %</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2.3 %</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1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was $1.4 million for the three months ended March 31, 2026, compared to $4.5 million for the three months ended March 31, 2025. The $3.1 million decrease was primarily due to the decrease in pre-tax book income. The reported effective tax rate for the three months ended March 31, 2026 was 13.3% compared to 13.6% for the three months ended March 31, 2025. The effective tax rate for the three months ended March 31, 2026 was less than the U.S. statutory rate of 21% primarily attributable to the Foreign Derived Intangible Income deduction and Federal research and development tax credits.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At March 31, 2026, we had $150.8 million in unrestricted cash and cash equivalents, $215.8 million in short-term investments and $203.3 million in long-term investments, in addition to $10.6 million in restricted cash. Management believes that maintaining a strong cash balance is necessary to fund a continuing ramp in our business which can require significant cash investment to meet sudden demand. Additionally, we are using cash to repurchase shares as part of our stock repurchase program and are considering both organic and inorganic opportunities to drive future growth, for which cash resources will be necessary.</w:t>
      </w:r>
    </w:p>
    <w:p>
      <w:pPr>
        <w:spacing w:after="0" w:line="9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the rate of sales of our products, and others relate to the uncertainties of global economic conditions, including tariff programs implemented in countries in which we operate as well as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spacing w:after="0" w:line="93"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we generated $18.1 million and $39.8 million, respectively, of cash related to operating activities.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Investing activities for the three months ended March 31, 2026 resulted in a cash usage of $10.6 million, $1.8 million of which was used for capital expenditures and $160.7 million of which was used to purchase short-term and long-term investments, partially offset by $151.9 million related to maturities and sales of short-term investments. Investing activities for the three months ended March 31, 2025 resulted in cash generated of $40.5 million, $5.0 million of which was used for capital expenditures and $252.5 million of which was used to purchase short-term investments, offset by $297.9 million related to maturities and sales of short-term investments.</w:t>
      </w:r>
    </w:p>
    <w:p>
      <w:pPr>
        <w:spacing w:after="0" w:line="93"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Financing activities for the three months ended March 31, 2026 resulted in a cash usage of $1.4 million. During the first three months of 2026, (i) $1.0 million was used for payments to government tax authorities for income tax withholding on employee compensation arising from the vesting of RSUs, where units are withheld by us to cover taxes, and (ii) $0.4 million was used to reduce the liability under the finance lease of our corporate headquarters. In comparison, financing activities for the three months ended March 31, 2025 resulted in cash usage of $20.1 million, of which (i) $18.2 million related to the repurchase of our common stock (ii) $1.6 million related to payments made to government tax authorities for income tax withholding on employee compensation arising from the vesting of RSUs, and (iii) $0.3 million relating to the reduction of our finance lease liability.</w:t>
      </w:r>
    </w:p>
    <w:p>
      <w:pPr>
        <w:spacing w:after="0" w:line="1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we had a security deposit of $5.9 million related to the lease of our corporate headquarters in the form of a cash collateralized letter of credit, which is classified as long-term restricted cash on our balance sheet.</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and cash equivalents will be sufficient to satisfy our anticipated cash requirements for the short- and long-term.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Significant commitments and contingencies at March 31, 2026 are consistent with those discussed in Item 7, “Management’s Discussion and Analysis of Financial Condition and Results of Operations,” and Note 16 to the consolidated financial statements included in our 2025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5" w:lineRule="exact"/>
        <w:rPr>
          <w:sz w:val="20"/>
          <w:szCs w:val="20"/>
          <w:color w:val="auto"/>
        </w:rPr>
      </w:pPr>
    </w:p>
    <w:p>
      <w:pPr>
        <w:jc w:val="both"/>
        <w:ind w:right="640" w:firstLine="648"/>
        <w:spacing w:after="0" w:line="312" w:lineRule="auto"/>
        <w:rPr>
          <w:sz w:val="20"/>
          <w:szCs w:val="20"/>
          <w:color w:val="auto"/>
        </w:rPr>
      </w:pPr>
      <w:r>
        <w:rPr>
          <w:rFonts w:ascii="Times New Roman" w:cs="Times New Roman" w:eastAsia="Times New Roman" w:hAnsi="Times New Roman"/>
          <w:sz w:val="17"/>
          <w:szCs w:val="17"/>
          <w:color w:val="auto"/>
        </w:rPr>
        <w:t>As of March 31, 2026, there have been no material changes to the quantitative information about market risk disclosed in Item 7A, “Quantitative and Qualitative Disclosures about Market Risk” included in our 2025 Form 10-K.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3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19"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1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there have been no material changes to the risk factors described in Item 1A, “Risk Factors” included in our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43" w:lineRule="exact"/>
        <w:rPr>
          <w:sz w:val="20"/>
          <w:szCs w:val="20"/>
          <w:color w:val="auto"/>
        </w:rPr>
      </w:pPr>
    </w:p>
    <w:p>
      <w:pPr>
        <w:ind w:right="99" w:firstLine="648"/>
        <w:spacing w:after="0" w:line="255" w:lineRule="auto"/>
        <w:rPr>
          <w:sz w:val="20"/>
          <w:szCs w:val="20"/>
          <w:color w:val="auto"/>
        </w:rPr>
      </w:pPr>
      <w:r>
        <w:rPr>
          <w:rFonts w:ascii="Times New Roman" w:cs="Times New Roman" w:eastAsia="Times New Roman" w:hAnsi="Times New Roman"/>
          <w:sz w:val="18"/>
          <w:szCs w:val="18"/>
          <w:color w:val="auto"/>
        </w:rPr>
        <w:t>In February 2022, our Board of Directors authorized a share repurchase program for up to $100 million of the Company’s common stock. This program was announced on March 1, 2022. In August 2023, our Board of Directors approved additional funding of $200 million for our stock repurchase program, to be available upon the full utilization of the $100 million repurchase funding approved in February 2022. In March 2025, we announced that the Board of Directors approved an additional funding of $100 million for share repurchases. The Company’s share repurchase program does not have an expiration date. For the three months ended March 31, 2026, we did not have any repurchase activity. The aaproximate value of shares that may yet be repurchased as of March 31, 2026 is $110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99" w:firstLine="648"/>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adopted, modified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7"/>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7940" w:type="dxa"/>
            <w:vAlign w:val="bottom"/>
            <w:gridSpan w:val="13"/>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Restated Certificate of Incorporation of the Company filed November 2, 2017. Incorporated by reference to</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Exhibit 3.1 of the Company’s Form 10-Q filed with the Commission on November 3, 2017.</w:t>
              </w:r>
            </w:hyperlink>
          </w:p>
        </w:tc>
        <w:tc>
          <w:tcPr>
            <w:tcW w:w="114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4"/>
                <w:szCs w:val="24"/>
                <w:color w:val="auto"/>
              </w:rPr>
            </w:pPr>
          </w:p>
        </w:tc>
        <w:tc>
          <w:tcPr>
            <w:tcW w:w="7940" w:type="dxa"/>
            <w:vAlign w:val="bottom"/>
            <w:gridSpan w:val="13"/>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the Restated Certificate of Incorporation of the Company filed May 9, 2024.</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Incorporated by reference to Exhibit 3.1 of the Company’s Form 8-K filed with the Commission on May 9,</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hyperlink>
          </w:p>
        </w:tc>
        <w:tc>
          <w:tcPr>
            <w:tcW w:w="20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80" w:type="dxa"/>
            <w:vAlign w:val="bottom"/>
          </w:tcPr>
          <w:p>
            <w:pPr>
              <w:spacing w:after="0"/>
              <w:rPr>
                <w:sz w:val="24"/>
                <w:szCs w:val="24"/>
                <w:color w:val="auto"/>
              </w:rPr>
            </w:pPr>
          </w:p>
        </w:tc>
        <w:tc>
          <w:tcPr>
            <w:tcW w:w="7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Bylaws of the Company, as amended as of May 11, 2022. Incorporated by reference to Exhibit 3.2 of the</w:t>
              </w:r>
            </w:hyperlink>
          </w:p>
        </w:tc>
        <w:tc>
          <w:tcPr>
            <w:tcW w:w="340" w:type="dxa"/>
            <w:vAlign w:val="bottom"/>
            <w:gridSpan w:val="4"/>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Company’s Form 8-K filed with the Commision on May 11, 2022.</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under Exchange Act Rule 13a-14(a)/15d-14(a) (Section 302</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dated May 8, 2026.</w:t>
            </w:r>
          </w:p>
        </w:tc>
        <w:tc>
          <w:tcPr>
            <w:tcW w:w="4280" w:type="dxa"/>
            <w:vAlign w:val="bottom"/>
            <w:tcBorders>
              <w:top w:val="single" w:sz="8" w:color="0000EE"/>
            </w:tcBorders>
            <w:gridSpan w:val="8"/>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80" w:type="dxa"/>
            <w:vAlign w:val="bottom"/>
          </w:tcPr>
          <w:p>
            <w:pPr>
              <w:spacing w:after="0"/>
              <w:rPr>
                <w:sz w:val="24"/>
                <w:szCs w:val="24"/>
                <w:color w:val="auto"/>
              </w:rPr>
            </w:pPr>
          </w:p>
        </w:tc>
        <w:tc>
          <w:tcPr>
            <w:tcW w:w="7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w:t>
            </w: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dated May 8, 2026.</w:t>
            </w: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Section 1350 of Chapter 63 of title 18 of the</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United States Code (Section 906 of the Sarbanes-Oxley Act), dated May 8, 2026.</w:t>
            </w:r>
          </w:p>
        </w:tc>
        <w:tc>
          <w:tcPr>
            <w:tcW w:w="1600" w:type="dxa"/>
            <w:vAlign w:val="bottom"/>
            <w:tcBorders>
              <w:top w:val="single" w:sz="8" w:color="0000EE"/>
            </w:tcBorders>
            <w:gridSpan w:val="3"/>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7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1350 of Chapter 63 of title 18 of the</w:t>
            </w:r>
          </w:p>
        </w:tc>
        <w:tc>
          <w:tcPr>
            <w:tcW w:w="520" w:type="dxa"/>
            <w:vAlign w:val="bottom"/>
            <w:gridSpan w:val="6"/>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United States Code (Section 906 of the Sarbanes-Oxley Act), dated May 8, 2026.</w:t>
            </w:r>
          </w:p>
        </w:tc>
        <w:tc>
          <w:tcPr>
            <w:tcW w:w="2080" w:type="dxa"/>
            <w:vAlign w:val="bottom"/>
            <w:gridSpan w:val="8"/>
          </w:tcPr>
          <w:p>
            <w:pPr>
              <w:spacing w:after="0"/>
              <w:rPr>
                <w:sz w:val="17"/>
                <w:szCs w:val="17"/>
                <w:color w:val="auto"/>
              </w:rPr>
            </w:pPr>
          </w:p>
        </w:tc>
      </w:tr>
    </w:tbl>
    <w:p>
      <w:pPr>
        <w:spacing w:after="0" w:line="225" w:lineRule="exact"/>
        <w:rPr>
          <w:sz w:val="20"/>
          <w:szCs w:val="20"/>
          <w:color w:val="auto"/>
        </w:rPr>
      </w:pPr>
    </w:p>
    <w:p>
      <w:pPr>
        <w:ind w:left="1180" w:right="120" w:hanging="899"/>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Form 10-Q for the quarter ended March 31, 2026, formatted in inline eXtensible Business Reporting Language (iXBRL): (i) Consolidated Statements of Operations,</w:t>
      </w:r>
    </w:p>
    <w:p>
      <w:pPr>
        <w:ind w:left="1180" w:right="100" w:hanging="1"/>
        <w:spacing w:after="0" w:line="290" w:lineRule="auto"/>
        <w:tabs>
          <w:tab w:leader="none" w:pos="144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Comprehensive Income, (iii) Consolidated Balance Sheets, (iv) Consolidated Statements of Cash Flows and (v) Notes to Consolidated Financial Statements (Unaudited). Filed herewith.</w:t>
      </w:r>
    </w:p>
    <w:p>
      <w:pPr>
        <w:spacing w:after="0" w:line="157" w:lineRule="exact"/>
        <w:rPr>
          <w:sz w:val="20"/>
          <w:szCs w:val="20"/>
          <w:color w:val="auto"/>
        </w:rPr>
      </w:pPr>
    </w:p>
    <w:p>
      <w:pPr>
        <w:ind w:left="28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iXBRL and contained in 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480" w:firstLine="5"/>
        <w:spacing w:after="0" w:line="260"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DATED: May 8, 2026</w:t>
      </w:r>
      <w:r>
        <w:rPr>
          <w:sz w:val="20"/>
          <w:szCs w:val="20"/>
          <w:color w:val="auto"/>
        </w:rPr>
        <w:tab/>
      </w:r>
      <w:r>
        <w:rPr>
          <w:rFonts w:ascii="Times New Roman" w:cs="Times New Roman" w:eastAsia="Times New Roman" w:hAnsi="Times New Roman"/>
          <w:sz w:val="18"/>
          <w:szCs w:val="18"/>
          <w:color w:val="auto"/>
        </w:rPr>
        <w:t>By:  /s/ DAVID RYZHIK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26035</wp:posOffset>
            </wp:positionV>
            <wp:extent cx="2640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Ryzhik</w:t>
      </w:r>
    </w:p>
    <w:p>
      <w:pPr>
        <w:spacing w:after="0" w:line="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Senior Vice President and Interim Chief Financial</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Russell J. Low, certify that:</w:t>
      </w:r>
    </w:p>
    <w:p>
      <w:pPr>
        <w:spacing w:after="0" w:line="225" w:lineRule="exact"/>
        <w:rPr>
          <w:sz w:val="20"/>
          <w:szCs w:val="20"/>
          <w:color w:val="auto"/>
        </w:rPr>
      </w:pPr>
    </w:p>
    <w:p>
      <w:pPr>
        <w:ind w:left="540" w:hanging="490"/>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25" w:lineRule="exact"/>
        <w:rPr>
          <w:rFonts w:ascii="Times New Roman" w:cs="Times New Roman" w:eastAsia="Times New Roman" w:hAnsi="Times New Roman"/>
          <w:sz w:val="18"/>
          <w:szCs w:val="18"/>
          <w:color w:val="auto"/>
        </w:rPr>
      </w:pPr>
    </w:p>
    <w:p>
      <w:pPr>
        <w:ind w:left="540" w:right="459" w:hanging="490"/>
        <w:spacing w:after="0" w:line="258"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060" w:right="159" w:hanging="495"/>
        <w:spacing w:after="0" w:line="258"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060" w:right="79" w:hanging="495"/>
        <w:spacing w:after="0" w:line="261"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David Ryzhik, certify that:</w:t>
      </w:r>
    </w:p>
    <w:p>
      <w:pPr>
        <w:spacing w:after="0" w:line="225" w:lineRule="exact"/>
        <w:rPr>
          <w:sz w:val="20"/>
          <w:szCs w:val="20"/>
          <w:color w:val="auto"/>
        </w:rPr>
      </w:pPr>
    </w:p>
    <w:p>
      <w:pPr>
        <w:ind w:left="540" w:hanging="490"/>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25" w:lineRule="exact"/>
        <w:rPr>
          <w:rFonts w:ascii="Times New Roman" w:cs="Times New Roman" w:eastAsia="Times New Roman" w:hAnsi="Times New Roman"/>
          <w:sz w:val="18"/>
          <w:szCs w:val="18"/>
          <w:color w:val="auto"/>
        </w:rPr>
      </w:pPr>
    </w:p>
    <w:p>
      <w:pPr>
        <w:ind w:left="540" w:right="459" w:hanging="490"/>
        <w:spacing w:after="0" w:line="258"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060" w:right="159" w:hanging="495"/>
        <w:spacing w:after="0" w:line="258" w:lineRule="auto"/>
        <w:tabs>
          <w:tab w:leader="none" w:pos="10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060" w:right="79" w:hanging="495"/>
        <w:spacing w:after="0" w:line="261" w:lineRule="auto"/>
        <w:tabs>
          <w:tab w:leader="none" w:pos="10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7"/>
          <w:szCs w:val="17"/>
          <w:color w:val="auto"/>
        </w:rPr>
        <w:t>/s/ DAVID RYZHIK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Ryzhik,</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Senior Vice President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5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8, 2026.</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Axcelis</w:t>
      </w:r>
    </w:p>
    <w:p>
      <w:pPr>
        <w:ind w:left="450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11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8, 2026.</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DAVID RYZHIK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Ryzhik</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Senior Vice President and Interim Chief Financial Officer of</w:t>
      </w:r>
    </w:p>
    <w:p>
      <w:pPr>
        <w:ind w:left="450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upperLetter"/>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Roman"/>
      <w:start w:val="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3" Type="http://schemas.openxmlformats.org/officeDocument/2006/relationships/hyperlink" Target="http://www.sec.gov/Archives/edgar/data/1113232/000155837017008078/acls-20170930ex31a83feb6.htm" TargetMode="External"/><Relationship Id="rId44" Type="http://schemas.openxmlformats.org/officeDocument/2006/relationships/hyperlink" Target="https://www.sec.gov/Archives/edgar/data/1113232/000110465924059307/tm2413500d1_ex3-1.htm" TargetMode="External"/><Relationship Id="rId45" Type="http://schemas.openxmlformats.org/officeDocument/2006/relationships/hyperlink" Target="https://www.sec.gov/Archives/edgar/data/1113232/000110465922058781/tm221376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2026-05-08T11:23:29Z</dcterms:created>
  <dcterms:modified xsi:type="dcterms:W3CDTF">2026-05-08T11:23:29Z</dcterms:modified>
</cp:coreProperties>
</file>