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7272020" cy="42875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8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490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5060" w:type="dxa"/>
            <w:vAlign w:val="bottom"/>
            <w:vMerge w:val="restart"/>
          </w:tcPr>
          <w:p>
            <w:pPr>
              <w:ind w:left="4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 COMMISSION</w:t>
      </w:r>
    </w:p>
    <w:p>
      <w:pPr>
        <w:sectPr>
          <w:pgSz w:w="11900" w:h="16838" w:orient="portrait"/>
          <w:cols w:equalWidth="0" w:num="1">
            <w:col w:w="11440"/>
          </w:cols>
          <w:pgMar w:left="220" w:top="226" w:right="239" w:bottom="429" w:gutter="0" w:footer="0" w:header="0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" w:hanging="4"/>
        <w:spacing w:after="0" w:line="232" w:lineRule="auto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b w:val="1"/>
          <w:bCs w:val="1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] Check this box if no longer subject to Section 16. Form 4 or Form 5 obligations may continue. See Instruction 1(b).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[ ] Form 3 Holdings Reported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[ ] Form 4 Transactions Reported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36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ANNUAL STATEMENT OF CHANGES IN BENEFICIAL OWNERSHIP</w:t>
            </w:r>
          </w:p>
        </w:tc>
        <w:tc>
          <w:tcPr>
            <w:tcW w:w="1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 3235-0362</w:t>
            </w:r>
          </w:p>
        </w:tc>
      </w:tr>
      <w:tr>
        <w:trPr>
          <w:trHeight w:val="12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Expires: January 31, 2005</w:t>
            </w:r>
          </w:p>
        </w:tc>
      </w:tr>
      <w:tr>
        <w:trPr>
          <w:trHeight w:val="149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</w:tr>
      <w:tr>
        <w:trPr>
          <w:trHeight w:val="162"/>
        </w:trPr>
        <w:tc>
          <w:tcPr>
            <w:tcW w:w="636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1934, Section 17(a) of the Public Utility</w:t>
            </w:r>
          </w:p>
        </w:tc>
        <w:tc>
          <w:tcPr>
            <w:tcW w:w="1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hours per response. . . . . 1.0</w:t>
            </w:r>
          </w:p>
        </w:tc>
      </w:tr>
      <w:tr>
        <w:trPr>
          <w:trHeight w:val="162"/>
        </w:trPr>
        <w:tc>
          <w:tcPr>
            <w:tcW w:w="636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Holding Company Act of 1935 or Section 30(f) of the Investment Company Act of 1940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80"/>
            <w:col w:w="8820"/>
          </w:cols>
          <w:pgMar w:left="220" w:top="226" w:right="239" w:bottom="429" w:gutter="0" w:footer="0" w:header="0"/>
          <w:type w:val="continuous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Issuer Name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Statement for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Tooker, Gary L.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Month/Year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8"/>
          </w:tcPr>
          <w:p>
            <w:pPr>
              <w:jc w:val="center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(Check all applicable)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Axcelis Technologies, Inc.</w:t>
            </w: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12/2002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X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2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c/o Axcelis Technologies, Inc.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ACLS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 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55 Cherry Hill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I.R.S. Identification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If Amendment,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 of Original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Beverly,  MA  01915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(Month/Year)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10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7. Individual or Joint/Group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jc w:val="center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  <w:bottom w:val="single" w:sz="8" w:color="2C2C2C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808080"/>
              <w:bottom w:val="single" w:sz="8" w:color="2C2C2C"/>
            </w:tcBorders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808080"/>
            </w:tcBorders>
            <w:gridSpan w:val="2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Table I - Non-Derivative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  <w:bottom w:val="single" w:sz="8" w:color="2C2C2C"/>
            </w:tcBorders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2.Transaction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2A. Deemed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8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7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8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8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11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11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 (I)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11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32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A/D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Price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7157085</wp:posOffset>
            </wp:positionH>
            <wp:positionV relativeFrom="paragraph">
              <wp:posOffset>-29210</wp:posOffset>
            </wp:positionV>
            <wp:extent cx="3429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90805</wp:posOffset>
            </wp:positionH>
            <wp:positionV relativeFrom="paragraph">
              <wp:posOffset>-29210</wp:posOffset>
            </wp:positionV>
            <wp:extent cx="3429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272020" cy="299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177165</wp:posOffset>
            </wp:positionV>
            <wp:extent cx="7272020" cy="231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1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Conver-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Exercisable(DE)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Date(ED)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 End of Year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 (I)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   or   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   /   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  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2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$10.58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07/01/2002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15,000 A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12/29/2002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$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07/01/2012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 xml:space="preserve">stock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/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 xml:space="preserve"> 15,000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buy)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195580</wp:posOffset>
            </wp:positionV>
            <wp:extent cx="7259320" cy="240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9320" cy="24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9690" cy="2400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>(1) Granted pursuant to the Axcelis Technologies, Inc. 2000 Stock Plan.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By:</w:t>
            </w:r>
          </w:p>
        </w:tc>
        <w:tc>
          <w:tcPr>
            <w:tcW w:w="6380" w:type="dxa"/>
            <w:vAlign w:val="bottom"/>
            <w:gridSpan w:val="3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Date:</w:t>
            </w:r>
          </w:p>
        </w:tc>
      </w:tr>
      <w:tr>
        <w:trPr>
          <w:trHeight w:val="244"/>
        </w:trPr>
        <w:tc>
          <w:tcPr>
            <w:tcW w:w="4960" w:type="dxa"/>
            <w:vAlign w:val="bottom"/>
            <w:gridSpan w:val="2"/>
          </w:tcPr>
          <w:p>
            <w:pPr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/s/ Lynnette C. Fallon</w:t>
            </w:r>
          </w:p>
        </w:tc>
        <w:tc>
          <w:tcPr>
            <w:tcW w:w="6380" w:type="dxa"/>
            <w:vAlign w:val="bottom"/>
            <w:gridSpan w:val="3"/>
          </w:tcPr>
          <w:p>
            <w:pPr>
              <w:ind w:left="186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02/03/2003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Attorney-in-fact for Gary L. Tooker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SEC 2270 (09-02)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 If the form is filed by more than one reporting person, see Instruction 4(b)(v).</w:t>
      </w:r>
    </w:p>
    <w:p>
      <w:pPr>
        <w:ind w:left="60" w:right="4660" w:firstLine="9"/>
        <w:spacing w:after="0" w:line="221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Intentional misstatements or omissions of facts constitute Federal Criminal Violations See 18 U.S.C. 1001 and 15 U.S.C. 78ff(a).</w:t>
      </w:r>
    </w:p>
    <w:p>
      <w:pPr>
        <w:ind w:left="60" w:right="5260"/>
        <w:spacing w:after="0" w:line="221" w:lineRule="auto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 File three copies of this Form, one of which must be manually signed. If space is insufficient, see Instruction 6 for procedure.</w:t>
      </w:r>
    </w:p>
    <w:p>
      <w:pPr>
        <w:ind w:left="60" w:right="5520"/>
        <w:spacing w:after="0" w:line="231" w:lineRule="auto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Potential persons who are to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20" w:top="226" w:right="239" w:bottom="4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2019-12-17T11:25:15Z</dcterms:created>
  <dcterms:modified xsi:type="dcterms:W3CDTF">2019-12-17T11:25:15Z</dcterms:modified>
</cp:coreProperties>
</file>