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 xml:space="preserve">Date of Report (Date of earliest event reported): </w:t>
      </w:r>
      <w:r>
        <w:rPr>
          <w:rFonts w:ascii="Times New Roman" w:cs="Times New Roman" w:eastAsia="Times New Roman" w:hAnsi="Times New Roman"/>
          <w:sz w:val="19"/>
          <w:szCs w:val="19"/>
          <w:b w:val="1"/>
          <w:bCs w:val="1"/>
          <w:color w:val="auto"/>
        </w:rPr>
        <w:t>May 9, 2024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Axcelis Technologies, Inc.</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ectPr>
          <w:pgSz w:w="11900" w:h="16838" w:orient="portrait"/>
          <w:cols w:equalWidth="0" w:num="1">
            <w:col w:w="11240"/>
          </w:cols>
          <w:pgMar w:left="320" w:top="693" w:right="339" w:bottom="1440" w:gutter="0" w:footer="0" w:header="0"/>
        </w:sectPr>
      </w:pPr>
    </w:p>
    <w:p>
      <w:pPr>
        <w:spacing w:after="0" w:line="194"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000-30941</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34-1818596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693" w:right="339" w:bottom="1440" w:gutter="0" w:footer="0" w:header="0"/>
          <w:type w:val="continuous"/>
        </w:sectPr>
      </w:pPr>
    </w:p>
    <w:p>
      <w:pPr>
        <w:spacing w:after="0" w:line="3"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108 Cherry Hill Drive, Beverly, Massachusetts</w:t>
      </w:r>
    </w:p>
    <w:p>
      <w:pPr>
        <w:spacing w:after="0" w:line="43"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1900"/>
        <w:spacing w:after="0"/>
        <w:rPr>
          <w:sz w:val="20"/>
          <w:szCs w:val="20"/>
          <w:color w:val="auto"/>
        </w:rPr>
      </w:pPr>
      <w:r>
        <w:rPr>
          <w:rFonts w:ascii="Times New Roman" w:cs="Times New Roman" w:eastAsia="Times New Roman" w:hAnsi="Times New Roman"/>
          <w:sz w:val="18"/>
          <w:szCs w:val="18"/>
          <w:b w:val="1"/>
          <w:bCs w:val="1"/>
          <w:color w:val="auto"/>
        </w:rPr>
        <w:t>01915</w:t>
      </w:r>
    </w:p>
    <w:p>
      <w:pPr>
        <w:spacing w:after="0" w:line="31"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820" w:space="720"/>
            <w:col w:w="2700"/>
          </w:cols>
          <w:pgMar w:left="320" w:top="693"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(978) 787-4000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32"/>
        </w:trPr>
        <w:tc>
          <w:tcPr>
            <w:tcW w:w="432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rPr>
              <w:t>Title of each class</w:t>
            </w:r>
          </w:p>
        </w:tc>
        <w:tc>
          <w:tcPr>
            <w:tcW w:w="22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Trading symbol(s)</w:t>
            </w:r>
          </w:p>
        </w:tc>
        <w:tc>
          <w:tcPr>
            <w:tcW w:w="47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$0.001 par value</w:t>
            </w:r>
          </w:p>
        </w:tc>
        <w:tc>
          <w:tcPr>
            <w:tcW w:w="2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ACLS</w:t>
            </w:r>
          </w:p>
        </w:tc>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3" w:right="339" w:bottom="1440" w:gutter="0" w:footer="0" w:header="0"/>
          <w:type w:val="continuous"/>
        </w:sectPr>
      </w:pPr>
    </w:p>
    <w:bookmarkStart w:id="1" w:name="page2"/>
    <w:bookmarkEnd w:id="1"/>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80" w:firstLine="8"/>
        <w:spacing w:after="0" w:line="255"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9, 2024, Axcelis Technologies, Inc. (the “Company”) held its previously announced annual meeting of stockholders (the “Annual Meeting”). Effective at the Annual Meeting, Mary G. Puma, who served as Executive Chairperson of the Company’s Board of Directors since May 11, 2023, resigned from that executive officer role concurrently with the end of her term on the Board of Directors. Ms. Puma was a named executive officer in the definitive proxy statement for the Annual Meeting (the “Proxy Statement”), which was filed with the Securities and Exchange Commission (the “Commission”) on March 29, 2024. Ms. Puma will continue to serve as an Executive Advisor to the Company in accordance with the Amended and Restated Employment Agreement between the Company and Ms. Puma, dated February 24, 2023, included as Exhibit 10.1 to the Company’s Current Report on Form 8-K filed with the Commission on April 18,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5.03  </w:t>
      </w:r>
      <w:r>
        <w:rPr>
          <w:rFonts w:ascii="Times New Roman" w:cs="Times New Roman" w:eastAsia="Times New Roman" w:hAnsi="Times New Roman"/>
          <w:sz w:val="18"/>
          <w:szCs w:val="18"/>
          <w:b w:val="1"/>
          <w:bCs w:val="1"/>
          <w:color w:val="454545"/>
        </w:rPr>
        <w:t>Amendments to Articles of Incorporation or Bylaws; Change in Fiscal Year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May 9, 2024, following receipt of stockholder approval at the Annual Meeting as reported in Item 5.07 below, the Company filed a certificate of amendment (the “Certificate of Amendment”) to its Restated Certificate of Incorporation (the "Charter"). As discussed further in the Proxy Statement, the Certificate of Amendment serves to update the director exculpation provision in the Charter to include certain of the Company’s senior corporate officers as permitted by Section 102(b)(7) of the Delaware General Corporation Law. The foregoing description of the Certificate of Amendment is qualified in its entirety by reference to Exhibit 3.1 hereto.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The Annual Meeting was held at the offices of the Company at 108 Cherry Hill Drive, Beverly, Massachusetts on May 9, 2024. Out of 32,602,657 shares of Common Stock (as of the record date of March 15, 2024) entitled to vote at the meeting, 28,436,131 shares, or 87.22%, were present in person or by proxy.</w:t>
      </w:r>
    </w:p>
    <w:p>
      <w:pPr>
        <w:spacing w:after="0" w:line="140" w:lineRule="exact"/>
        <w:rPr>
          <w:sz w:val="20"/>
          <w:szCs w:val="20"/>
          <w:color w:val="auto"/>
        </w:rPr>
      </w:pPr>
    </w:p>
    <w:p>
      <w:pPr>
        <w:ind w:left="660" w:right="2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Annual Meeting, each of the nine nominees for election as directors received the number of votes set forth opposite the nominee’s name, constituting a plurality of the votes cast, and therefore such nominee has been duly elected as a director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Number of Votes</w:t>
            </w:r>
          </w:p>
        </w:tc>
        <w:tc>
          <w:tcPr>
            <w:tcW w:w="14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Percentage of Total</w:t>
            </w:r>
          </w:p>
        </w:tc>
        <w:tc>
          <w:tcPr>
            <w:tcW w:w="0" w:type="dxa"/>
            <w:vAlign w:val="bottom"/>
          </w:tcPr>
          <w:p>
            <w:pPr>
              <w:spacing w:after="0"/>
              <w:rPr>
                <w:sz w:val="1"/>
                <w:szCs w:val="1"/>
                <w:color w:val="auto"/>
              </w:rPr>
            </w:pPr>
          </w:p>
        </w:tc>
      </w:tr>
      <w:tr>
        <w:trPr>
          <w:trHeight w:val="174"/>
        </w:trPr>
        <w:tc>
          <w:tcPr>
            <w:tcW w:w="16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Broker Non-</w:t>
            </w:r>
          </w:p>
        </w:tc>
        <w:tc>
          <w:tcPr>
            <w:tcW w:w="2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2060" w:type="dxa"/>
            <w:vAlign w:val="bottom"/>
            <w:gridSpan w:val="2"/>
          </w:tcPr>
          <w:p>
            <w:pPr>
              <w:jc w:val="center"/>
              <w:ind w:right="180"/>
              <w:spacing w:after="0" w:line="202" w:lineRule="exact"/>
              <w:rPr>
                <w:sz w:val="20"/>
                <w:szCs w:val="20"/>
                <w:color w:val="auto"/>
              </w:rPr>
            </w:pPr>
            <w:r>
              <w:rPr>
                <w:rFonts w:ascii="Times New Roman" w:cs="Times New Roman" w:eastAsia="Times New Roman" w:hAnsi="Times New Roman"/>
                <w:sz w:val="18"/>
                <w:szCs w:val="18"/>
                <w:b w:val="1"/>
                <w:bCs w:val="1"/>
                <w:color w:val="auto"/>
                <w:w w:val="95"/>
              </w:rPr>
              <w:t>Voted</w:t>
            </w:r>
          </w:p>
        </w:tc>
        <w:tc>
          <w:tcPr>
            <w:tcW w:w="0" w:type="dxa"/>
            <w:vAlign w:val="bottom"/>
          </w:tcPr>
          <w:p>
            <w:pPr>
              <w:spacing w:after="0"/>
              <w:rPr>
                <w:sz w:val="1"/>
                <w:szCs w:val="1"/>
                <w:color w:val="auto"/>
              </w:rPr>
            </w:pPr>
          </w:p>
        </w:tc>
      </w:tr>
      <w:tr>
        <w:trPr>
          <w:trHeight w:val="252"/>
        </w:trPr>
        <w:tc>
          <w:tcPr>
            <w:tcW w:w="4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Proposal to elect the following nominees as a director</w:t>
            </w:r>
          </w:p>
        </w:tc>
        <w:tc>
          <w:tcPr>
            <w:tcW w:w="12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For</w:t>
            </w:r>
          </w:p>
        </w:tc>
        <w:tc>
          <w:tcPr>
            <w:tcW w:w="22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220" w:type="dxa"/>
            <w:vAlign w:val="bottom"/>
            <w:tcBorders>
              <w:bottom w:val="single" w:sz="8" w:color="CCEEFF"/>
            </w:tcBorders>
          </w:tcPr>
          <w:p>
            <w:pPr>
              <w:spacing w:after="0"/>
              <w:rPr>
                <w:sz w:val="21"/>
                <w:szCs w:val="21"/>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Tzu-Yin Chiu</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22,278,399</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2,660,214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3,497,518</w:t>
            </w:r>
          </w:p>
        </w:tc>
        <w:tc>
          <w:tcPr>
            <w:tcW w:w="2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89.33%</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Gregory B. Graves</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24,345,519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593,094</w:t>
            </w:r>
          </w:p>
        </w:tc>
        <w:tc>
          <w:tcPr>
            <w:tcW w:w="20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3,497,518</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97.62%</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T. Kurtzweil</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24,462,793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475,820</w:t>
            </w: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3,497,518</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98.09%</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Russell J. Low</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24,243,242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695,371</w:t>
            </w:r>
          </w:p>
        </w:tc>
        <w:tc>
          <w:tcPr>
            <w:tcW w:w="20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3,497,518</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97.21%</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Jeanne Quirk</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23,861,266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1,077,347</w:t>
            </w: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3,497,518</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95.68%</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Necip Sayiner</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24,490,223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448,390</w:t>
            </w:r>
          </w:p>
        </w:tc>
        <w:tc>
          <w:tcPr>
            <w:tcW w:w="20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3,497,518</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98.20%</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w:t>
            </w:r>
          </w:p>
        </w:tc>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St. Dennis</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22,116,126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2,822,487</w:t>
            </w: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3,497,518</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88.68%</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Jorge Titinger</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21,978,838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2,959,775</w:t>
            </w:r>
          </w:p>
        </w:tc>
        <w:tc>
          <w:tcPr>
            <w:tcW w:w="20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3,497,518</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88.13%</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w:t>
            </w:r>
          </w:p>
        </w:tc>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Dipti Vachani</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24,435,030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503,583</w:t>
            </w: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3,497,518</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97.98%</w:t>
            </w:r>
          </w:p>
        </w:tc>
        <w:tc>
          <w:tcPr>
            <w:tcW w:w="0" w:type="dxa"/>
            <w:vAlign w:val="bottom"/>
          </w:tcPr>
          <w:p>
            <w:pPr>
              <w:spacing w:after="0"/>
              <w:rPr>
                <w:sz w:val="1"/>
                <w:szCs w:val="1"/>
                <w:color w:val="auto"/>
              </w:rPr>
            </w:pPr>
          </w:p>
        </w:tc>
      </w:tr>
      <w:tr>
        <w:trPr>
          <w:trHeight w:val="675"/>
        </w:trPr>
        <w:tc>
          <w:tcPr>
            <w:tcW w:w="16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both"/>
        <w:ind w:left="660" w:right="24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sets forth the tally of the votes cast on the proposal to ratify the appointment by the Board of Directors of Ernst &amp; Young LLP as independent auditors of the Company’s financial statements for the year ending December 31, 2024. A majority of the votes cast were voted in favor of the proposal, and therefore the appointment of auditors has been ratified by the stockholders:</w:t>
      </w:r>
    </w:p>
    <w:p>
      <w:pPr>
        <w:sectPr>
          <w:pgSz w:w="11900" w:h="16838" w:orient="portrait"/>
          <w:cols w:equalWidth="0" w:num="1">
            <w:col w:w="11220"/>
          </w:cols>
          <w:pgMar w:left="320" w:top="904" w:right="359" w:bottom="1440" w:gutter="0" w:footer="0" w:header="0"/>
        </w:sectPr>
      </w:pP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Proposal to ratify the appointment of Ernst &amp; Young LLP as independent auditors for the Company’s financial statements for the year ending December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Number of Votes</w:t>
            </w: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0" w:type="dxa"/>
            <w:vAlign w:val="bottom"/>
          </w:tcPr>
          <w:p>
            <w:pPr>
              <w:spacing w:after="0"/>
              <w:rPr>
                <w:sz w:val="1"/>
                <w:szCs w:val="1"/>
                <w:color w:val="auto"/>
              </w:rPr>
            </w:pPr>
          </w:p>
        </w:tc>
      </w:tr>
      <w:tr>
        <w:trPr>
          <w:trHeight w:val="187"/>
        </w:trPr>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center"/>
              <w:ind w:left="130"/>
              <w:spacing w:after="0" w:line="188" w:lineRule="exact"/>
              <w:rPr>
                <w:sz w:val="20"/>
                <w:szCs w:val="20"/>
                <w:color w:val="auto"/>
              </w:rPr>
            </w:pPr>
            <w:r>
              <w:rPr>
                <w:rFonts w:ascii="Times New Roman" w:cs="Times New Roman" w:eastAsia="Times New Roman" w:hAnsi="Times New Roman"/>
                <w:sz w:val="18"/>
                <w:szCs w:val="18"/>
                <w:b w:val="1"/>
                <w:bCs w:val="1"/>
                <w:color w:val="auto"/>
              </w:rPr>
              <w:t>Broker</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Total Voted</w:t>
            </w:r>
          </w:p>
        </w:tc>
        <w:tc>
          <w:tcPr>
            <w:tcW w:w="0" w:type="dxa"/>
            <w:vAlign w:val="bottom"/>
          </w:tcPr>
          <w:p>
            <w:pPr>
              <w:spacing w:after="0"/>
              <w:rPr>
                <w:sz w:val="1"/>
                <w:szCs w:val="1"/>
                <w:color w:val="auto"/>
              </w:rPr>
            </w:pPr>
          </w:p>
        </w:tc>
      </w:tr>
      <w:tr>
        <w:trPr>
          <w:trHeight w:val="238"/>
        </w:trPr>
        <w:tc>
          <w:tcPr>
            <w:tcW w:w="12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For</w:t>
            </w:r>
          </w:p>
        </w:tc>
        <w:tc>
          <w:tcPr>
            <w:tcW w:w="220" w:type="dxa"/>
            <w:vAlign w:val="bottom"/>
          </w:tcPr>
          <w:p>
            <w:pPr>
              <w:spacing w:after="0"/>
              <w:rPr>
                <w:sz w:val="20"/>
                <w:szCs w:val="20"/>
                <w:color w:val="auto"/>
              </w:rPr>
            </w:pPr>
          </w:p>
        </w:tc>
        <w:tc>
          <w:tcPr>
            <w:tcW w:w="12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Abstaining</w:t>
            </w: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2"/>
              </w:rPr>
              <w:t>Votes</w:t>
            </w:r>
          </w:p>
        </w:tc>
        <w:tc>
          <w:tcPr>
            <w:tcW w:w="2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8"/>
        </w:trPr>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27,288,970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1,110,956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36,205</w:t>
            </w:r>
          </w:p>
        </w:tc>
        <w:tc>
          <w:tcPr>
            <w:tcW w:w="1020" w:type="dxa"/>
            <w:vAlign w:val="bottom"/>
          </w:tcPr>
          <w:p>
            <w:pPr>
              <w:spacing w:after="0"/>
              <w:rPr>
                <w:sz w:val="24"/>
                <w:szCs w:val="24"/>
                <w:color w:val="auto"/>
              </w:rPr>
            </w:pP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w w:val="91"/>
              </w:rPr>
              <w:t> 96.09%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-556895</wp:posOffset>
            </wp:positionV>
            <wp:extent cx="7132320" cy="5575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57530"/>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3900" w:space="180"/>
            <w:col w:w="7140"/>
          </w:cols>
          <w:pgMar w:left="320" w:top="904" w:right="359" w:bottom="1440" w:gutter="0" w:footer="0" w:header="0"/>
          <w:type w:val="continuous"/>
        </w:sectPr>
      </w:pPr>
    </w:p>
    <w:p>
      <w:pPr>
        <w:ind w:left="660" w:right="4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sets forth the tally of the votes cast on the proposal to amend the Charter to reflect new Delaware law provisions limiting officer liability, as described under “Proposal 3” in the Proxy Statement. A majority of the shares outstanding were voted in favor of the proposal, and therefore the amendment has been approved by our stockholders. The Certificate of Amendment was filed with the Secretary of State of Delaware on May 9, 2024 following the Annual Meeting.</w:t>
      </w:r>
    </w:p>
    <w:p>
      <w:pPr>
        <w:sectPr>
          <w:pgSz w:w="11900" w:h="16838" w:orient="portrait"/>
          <w:cols w:equalWidth="0" w:num="1">
            <w:col w:w="11220"/>
          </w:cols>
          <w:pgMar w:left="320" w:top="904" w:right="359" w:bottom="1440" w:gutter="0" w:footer="0" w:header="0"/>
          <w:type w:val="continuous"/>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Proposal to amend the Company’s Restated Certificate of Incorporation to reflect new Delaware law provisions limiting officer liability.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Number of Votes</w:t>
            </w:r>
          </w:p>
        </w:tc>
        <w:tc>
          <w:tcPr>
            <w:tcW w:w="12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0" w:type="dxa"/>
            <w:vAlign w:val="bottom"/>
          </w:tcPr>
          <w:p>
            <w:pPr>
              <w:spacing w:after="0"/>
              <w:rPr>
                <w:sz w:val="1"/>
                <w:szCs w:val="1"/>
                <w:color w:val="auto"/>
              </w:rPr>
            </w:pPr>
          </w:p>
        </w:tc>
      </w:tr>
      <w:tr>
        <w:trPr>
          <w:trHeight w:val="187"/>
        </w:trPr>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Broker</w:t>
            </w: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0" w:type="dxa"/>
            <w:vAlign w:val="bottom"/>
          </w:tcPr>
          <w:p>
            <w:pPr>
              <w:spacing w:after="0"/>
              <w:rPr>
                <w:sz w:val="1"/>
                <w:szCs w:val="1"/>
                <w:color w:val="auto"/>
              </w:rPr>
            </w:pPr>
          </w:p>
        </w:tc>
      </w:tr>
      <w:tr>
        <w:trPr>
          <w:trHeight w:val="229"/>
        </w:trPr>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0" w:type="dxa"/>
            <w:vAlign w:val="bottom"/>
          </w:tcPr>
          <w:p>
            <w:pPr>
              <w:spacing w:after="0"/>
              <w:rPr>
                <w:sz w:val="1"/>
                <w:szCs w:val="1"/>
                <w:color w:val="auto"/>
              </w:rPr>
            </w:pPr>
          </w:p>
        </w:tc>
      </w:tr>
      <w:tr>
        <w:trPr>
          <w:trHeight w:val="238"/>
        </w:trPr>
        <w:tc>
          <w:tcPr>
            <w:tcW w:w="12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For</w:t>
            </w:r>
          </w:p>
        </w:tc>
        <w:tc>
          <w:tcPr>
            <w:tcW w:w="220" w:type="dxa"/>
            <w:vAlign w:val="bottom"/>
          </w:tcPr>
          <w:p>
            <w:pPr>
              <w:spacing w:after="0"/>
              <w:rPr>
                <w:sz w:val="20"/>
                <w:szCs w:val="20"/>
                <w:color w:val="auto"/>
              </w:rPr>
            </w:pPr>
          </w:p>
        </w:tc>
        <w:tc>
          <w:tcPr>
            <w:tcW w:w="12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Abstaining</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Votes</w:t>
            </w:r>
          </w:p>
        </w:tc>
        <w:tc>
          <w:tcPr>
            <w:tcW w:w="2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Voted For</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2"/>
        </w:trPr>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23,098,183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1,786,174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54,256</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3,497,518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-419735</wp:posOffset>
            </wp:positionV>
            <wp:extent cx="7132320" cy="420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2037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428625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3940" w:space="140"/>
            <w:col w:w="7140"/>
          </w:cols>
          <w:pgMar w:left="320" w:top="904" w:right="359" w:bottom="1440" w:gutter="0" w:footer="0" w:header="0"/>
          <w:type w:val="continuous"/>
        </w:sectPr>
      </w:pPr>
    </w:p>
    <w:bookmarkStart w:id="3" w:name="page4"/>
    <w:bookmarkEnd w:id="3"/>
    <w:p>
      <w:pPr>
        <w:ind w:left="660" w:right="10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sets forth the tally of the votes cast on the proposal that the stockholders of the Company advise the Board of Directors that they approve the compensation paid to the Company’s named executive officers for the year ended December 31, 2023, as described under “Executive Compensation” in the Proxy Statement. A majority of the votes cast were voted in favor of the proposal, and therefore such advisory vote has passed.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4</w:t>
            </w: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408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Number of Votes</w:t>
            </w:r>
          </w:p>
        </w:tc>
        <w:tc>
          <w:tcPr>
            <w:tcW w:w="12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0" w:type="dxa"/>
            <w:vAlign w:val="bottom"/>
          </w:tcPr>
          <w:p>
            <w:pPr>
              <w:spacing w:after="0"/>
              <w:rPr>
                <w:sz w:val="1"/>
                <w:szCs w:val="1"/>
                <w:color w:val="auto"/>
              </w:rPr>
            </w:pPr>
          </w:p>
        </w:tc>
      </w:tr>
      <w:tr>
        <w:trPr>
          <w:trHeight w:val="187"/>
        </w:trPr>
        <w:tc>
          <w:tcPr>
            <w:tcW w:w="4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Broker</w:t>
            </w:r>
          </w:p>
        </w:tc>
        <w:tc>
          <w:tcPr>
            <w:tcW w:w="2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 Total</w:t>
            </w:r>
          </w:p>
        </w:tc>
        <w:tc>
          <w:tcPr>
            <w:tcW w:w="0" w:type="dxa"/>
            <w:vAlign w:val="bottom"/>
          </w:tcPr>
          <w:p>
            <w:pPr>
              <w:spacing w:after="0"/>
              <w:rPr>
                <w:sz w:val="1"/>
                <w:szCs w:val="1"/>
                <w:color w:val="auto"/>
              </w:rPr>
            </w:pPr>
          </w:p>
        </w:tc>
      </w:tr>
      <w:tr>
        <w:trPr>
          <w:trHeight w:val="238"/>
        </w:trPr>
        <w:tc>
          <w:tcPr>
            <w:tcW w:w="4080" w:type="dxa"/>
            <w:vAlign w:val="bottom"/>
          </w:tcPr>
          <w:p>
            <w:pPr>
              <w:spacing w:after="0"/>
              <w:rPr>
                <w:sz w:val="20"/>
                <w:szCs w:val="20"/>
                <w:color w:val="auto"/>
              </w:rPr>
            </w:pPr>
          </w:p>
        </w:tc>
        <w:tc>
          <w:tcPr>
            <w:tcW w:w="14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For</w:t>
            </w:r>
          </w:p>
        </w:tc>
        <w:tc>
          <w:tcPr>
            <w:tcW w:w="14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Abstaining</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Voted For</w:t>
            </w:r>
          </w:p>
        </w:tc>
        <w:tc>
          <w:tcPr>
            <w:tcW w:w="0" w:type="dxa"/>
            <w:vAlign w:val="bottom"/>
          </w:tcPr>
          <w:p>
            <w:pPr>
              <w:spacing w:after="0"/>
              <w:rPr>
                <w:sz w:val="1"/>
                <w:szCs w:val="1"/>
                <w:color w:val="auto"/>
              </w:rPr>
            </w:pPr>
          </w:p>
        </w:tc>
      </w:tr>
      <w:tr>
        <w:trPr>
          <w:trHeight w:val="178"/>
        </w:trPr>
        <w:tc>
          <w:tcPr>
            <w:tcW w:w="408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Proposal that the stockholders of the Company advise</w:t>
            </w:r>
          </w:p>
        </w:tc>
        <w:tc>
          <w:tcPr>
            <w:tcW w:w="12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Board of Directors that they approve the</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paid to the Company’s named executive</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officers for the year ended December 31, 2023, as</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described under “Executive Compensation” in the</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Proxy Statement for the Annual Meeting.</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23,339,775</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1,538,281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60,557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3,497,518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93.82%</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9, 2024, following the Annual Meeting, the Board of Directors of the Company:</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the size of the Board of Directors at nine;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elected Jorge Titinger as the Non-Executive Chairperson of the Board of Directors;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Gregory B. Graves, Necip Sayiner, Jorge Titinger and Dipti Vachani to serve as the Compensation Committee of the Board of Directors, with Mr. Titinger designated as Chairperson thereof;</w:t>
      </w:r>
    </w:p>
    <w:p>
      <w:pPr>
        <w:spacing w:after="0" w:line="16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Gregory B. Graves, John T. Kurtzweil, and Jeanne Quirk to serve as the Audit Committee of the Board of Directors, with Mr. Kurtzweil designated as Chairperson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ind w:left="660" w:right="5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John T. Kurtzweil, Jeanne Quirk, and Thomas St. Dennis to serve as the Nominating and Governance Committee of the Board of Directors, with Ms. Quirk designated as Chairperson thereof; and</w:t>
      </w:r>
    </w:p>
    <w:p>
      <w:pPr>
        <w:spacing w:after="0" w:line="161"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Tzu-Yin Chiu, Necip Sayiner, Thomas St. Dennis, and Dipti Vachani to serve as the Technology and New Product Development Committee of the Board of Directors, with Mr. St. Dennis designated as Chairperson thereof.</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Such election and appointments are to serve until the next annual meeting of the Board of Directors and until such director’s successor has been elected and qualified, or until such director’s earlier death, resignation, or removal.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u w:val="single" w:color="auto"/>
          <w:color w:val="0000EE"/>
        </w:rPr>
        <w:t>3.1</w:t>
      </w:r>
      <w:r>
        <w:rPr>
          <w:sz w:val="20"/>
          <w:szCs w:val="20"/>
          <w:color w:val="auto"/>
        </w:rPr>
        <w:tab/>
      </w:r>
      <w:r>
        <w:rPr>
          <w:rFonts w:ascii="Times New Roman" w:cs="Times New Roman" w:eastAsia="Times New Roman" w:hAnsi="Times New Roman"/>
          <w:sz w:val="17"/>
          <w:szCs w:val="17"/>
          <w:u w:val="single" w:color="auto"/>
          <w:color w:val="0000EE"/>
        </w:rPr>
        <w:t>Certificate of Amendment to the Restated Certificate of Incorporation of the Company filed May 9, 2024. Filed herewith.</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Filed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 w:name="page6"/>
    <w:bookmarkEnd w:id="5"/>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7"/>
          <w:szCs w:val="17"/>
          <w:color w:val="auto"/>
        </w:rPr>
        <w:t>Axcelis Technologies,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Lynnette C. Fallon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Lynnette C. Fallon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Executive Vice President HR/Legal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40"/>
          </w:cols>
          <w:pgMar w:left="320" w:top="900" w:right="12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Conformed Copy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RESTATED 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hereby certified that:</w:t>
      </w:r>
    </w:p>
    <w:p>
      <w:pPr>
        <w:spacing w:after="0" w:line="225" w:lineRule="exact"/>
        <w:rPr>
          <w:sz w:val="20"/>
          <w:szCs w:val="20"/>
          <w:color w:val="auto"/>
        </w:rPr>
      </w:pPr>
    </w:p>
    <w:p>
      <w:pPr>
        <w:ind w:left="660" w:right="8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(hereinafter called the “Corporation”) is Axcelis Technologies, Inc. The name under which the Corporation was originally incorporated is Eaton Semiconductor Equipment Inc. The Corporation’s original Certificate of Incorporation was filed with the Secretary of State of the State of Delaware on December 21, 1995. A Restated Certificate of Incorporation was filed with the Secretary of State of the State of Delaware on November 2, 2017.</w:t>
      </w:r>
    </w:p>
    <w:p>
      <w:pPr>
        <w:spacing w:after="0" w:line="179"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Restated Certificate of Incorporation filed on November 2, 2017 is hereby amended to replace the existing heading of Article 10 and the existing Article 10.1 with the following:</w:t>
      </w:r>
    </w:p>
    <w:p>
      <w:pPr>
        <w:spacing w:after="0" w:line="162" w:lineRule="exact"/>
        <w:rPr>
          <w:sz w:val="20"/>
          <w:szCs w:val="20"/>
          <w:color w:val="auto"/>
        </w:rPr>
      </w:pPr>
    </w:p>
    <w:p>
      <w:pPr>
        <w:ind w:left="920" w:hanging="264"/>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Liability of Directors and Officers;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10.1. The personal liability of the directors and officers of the Corporation is hereby eliminated to the fullest extent permitted by Section 102(b)</w:t>
      </w:r>
    </w:p>
    <w:p>
      <w:pPr>
        <w:spacing w:after="0" w:line="27" w:lineRule="exact"/>
        <w:rPr>
          <w:sz w:val="20"/>
          <w:szCs w:val="20"/>
          <w:color w:val="auto"/>
        </w:rPr>
      </w:pPr>
    </w:p>
    <w:p>
      <w:pPr>
        <w:ind w:left="660"/>
        <w:spacing w:after="0" w:line="251" w:lineRule="auto"/>
        <w:rPr>
          <w:sz w:val="20"/>
          <w:szCs w:val="20"/>
          <w:color w:val="auto"/>
        </w:rPr>
      </w:pPr>
      <w:r>
        <w:rPr>
          <w:rFonts w:ascii="Times New Roman" w:cs="Times New Roman" w:eastAsia="Times New Roman" w:hAnsi="Times New Roman"/>
          <w:sz w:val="18"/>
          <w:szCs w:val="18"/>
          <w:color w:val="auto"/>
        </w:rPr>
        <w:t>(7) of the DGCL, as the same may be amended and supplemented. Without limiting the generality of the foregoing, no director or officer shall be personally liable to the Corporation (in the case of directors) or any of its stockholders (in the case of directors and officers) for monetary damages for breach of fiduciary duty as a director or officer, except for liability (i) for any breach of the director’s or officer’s duty of loyalty to the Corporation or its stockholders, (ii) for acts or omissions not in good faith or which involve intentional misconduct or a knowing violation of law, (iii) (in the case of directors) pursuant to Section 174 of the DGCL, or (iv) for any transaction from which the director or officer derived an improper personal benefit. No amendment to, repeal of or elimination of this provision shall apply to or have any effect on the liability or alleged liability of any director or officer of the Corporation for or its application with respect to any acts or omissions of such director or officer occurring prior to such amendment, repeal or elimination. If the DGCL is amended to permit further elimination or limitation of the personal liability of directors or officers, then the liability of a director or officer of the Corporation shall be eliminated or limited to the fullest extent permitted by the DGCL as so amended.</w:t>
      </w:r>
    </w:p>
    <w:p>
      <w:pPr>
        <w:spacing w:after="0" w:line="192" w:lineRule="exact"/>
        <w:rPr>
          <w:sz w:val="20"/>
          <w:szCs w:val="20"/>
          <w:color w:val="auto"/>
        </w:rPr>
      </w:pPr>
    </w:p>
    <w:p>
      <w:pPr>
        <w:ind w:left="660" w:right="5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to the Restated Certificate of Incorporation of the Corporation has been duly adopted in accordance with the provisions of Section 242 of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 w:name="page8"/>
    <w:bookmarkEnd w:id="7"/>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AXCELIS TECHNOLOGIES, INC. </w:t>
      </w:r>
      <w:r>
        <w:rPr>
          <w:rFonts w:ascii="Times New Roman" w:cs="Times New Roman" w:eastAsia="Times New Roman" w:hAnsi="Times New Roman"/>
          <w:sz w:val="18"/>
          <w:szCs w:val="18"/>
          <w:color w:val="auto"/>
        </w:rPr>
        <w:t>has caused this Certificate of Amendment to be signed by its duly authorized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day of May 9, 2024.</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Lynnette C. Fallon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Lynnette C. Fallon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EVP HR/Legal,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020"/>
      </w:cols>
      <w:pgMar w:left="320" w:top="90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2"/>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2"/>
    </w:lvl>
  </w:abstractNum>
  <w:abstractNum w:abstractNumId="4">
    <w:nsid w:val="7545E146"/>
    <w:multiLevelType w:val="hybridMultilevel"/>
    <w:lvl w:ilvl="0">
      <w:lvlJc w:val="left"/>
      <w:lvlText w:val="%1."/>
      <w:numFmt w:val="decimal"/>
      <w:start w:val="3"/>
    </w:lvl>
  </w:abstractNum>
  <w:abstractNum w:abstractNumId="5">
    <w:nsid w:val="515F007C"/>
    <w:multiLevelType w:val="hybridMultilevel"/>
    <w:lvl w:ilvl="0">
      <w:lvlJc w:val="left"/>
      <w:lvlText w:val="%1."/>
      <w:numFmt w:val="decimal"/>
      <w:start w:val="4"/>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0"/>
    </w:lvl>
  </w:abstractNum>
  <w:abstractNum w:abstractNumId="10">
    <w:nsid w:val="1F16E9E8"/>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2024-05-09T15:13:11Z</dcterms:created>
  <dcterms:modified xsi:type="dcterms:W3CDTF">2024-05-09T15:13:11Z</dcterms:modified>
</cp:coreProperties>
</file>