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40" w:right="1240" w:hanging="326"/>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4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0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00" w:type="dxa"/>
        <w:tblCellMar>
          <w:top w:w="0" w:type="dxa"/>
          <w:left w:w="0" w:type="dxa"/>
          <w:bottom w:w="0" w:type="dxa"/>
          <w:right w:w="0" w:type="dxa"/>
        </w:tblCellMar>
      </w:tblPr>
      <w:tr>
        <w:trPr>
          <w:trHeight w:val="238"/>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8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243"/>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830" w:type="dxa"/>
        <w:tblCellMar>
          <w:top w:w="0" w:type="dxa"/>
          <w:left w:w="0" w:type="dxa"/>
          <w:bottom w:w="0" w:type="dxa"/>
          <w:right w:w="0" w:type="dxa"/>
        </w:tblCellMar>
      </w:tblPr>
      <w:tr>
        <w:trPr>
          <w:trHeight w:val="211"/>
        </w:trPr>
        <w:tc>
          <w:tcPr>
            <w:tcW w:w="27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26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firstLine="23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43" w:lineRule="exact"/>
        <w:rPr>
          <w:sz w:val="24"/>
          <w:szCs w:val="24"/>
          <w:color w:val="auto"/>
        </w:rPr>
      </w:pPr>
    </w:p>
    <w:p>
      <w:pPr>
        <w:jc w:val="both"/>
        <w:ind w:right="14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00"/>
          </w:cols>
          <w:pgMar w:left="840" w:top="661" w:right="859" w:bottom="1440" w:gutter="0" w:footer="0" w:header="0"/>
        </w:sectPr>
      </w:pPr>
    </w:p>
    <w:p>
      <w:pPr>
        <w:spacing w:after="0" w:line="39" w:lineRule="exact"/>
        <w:rPr>
          <w:sz w:val="24"/>
          <w:szCs w:val="24"/>
          <w:color w:val="auto"/>
        </w:rPr>
      </w:pPr>
    </w:p>
    <w:p>
      <w:pPr>
        <w:ind w:left="1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sectPr>
          <w:pgSz w:w="11900" w:h="16838" w:orient="portrait"/>
          <w:cols w:equalWidth="0" w:num="3">
            <w:col w:w="5880" w:space="720"/>
            <w:col w:w="1960" w:space="80"/>
            <w:col w:w="1560"/>
          </w:cols>
          <w:pgMar w:left="840" w:top="661" w:right="859" w:bottom="1440" w:gutter="0" w:footer="0" w:header="0"/>
          <w:type w:val="continuous"/>
        </w:sectPr>
      </w:pPr>
    </w:p>
    <w:p>
      <w:pPr>
        <w:ind w:right="180" w:firstLine="233"/>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220" w:right="820" w:hanging="3"/>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2, 2022, there were 33,020,420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20" w:type="dxa"/>
            <w:vAlign w:val="bottom"/>
            <w:gridSpan w:val="10"/>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52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48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months ended March 31, 2022 and 2021</w:t>
            </w:r>
          </w:p>
        </w:tc>
        <w:tc>
          <w:tcPr>
            <w:tcW w:w="1220" w:type="dxa"/>
            <w:vAlign w:val="bottom"/>
            <w:gridSpan w:val="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three months ended March 31,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as of March 31, 2022 and December 31, 2021</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three months ended March 31, 2022 and 2021</w:t>
            </w:r>
          </w:p>
        </w:tc>
        <w:tc>
          <w:tcPr>
            <w:tcW w:w="480" w:type="dxa"/>
            <w:vAlign w:val="bottom"/>
            <w:gridSpan w:val="2"/>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2022 and 2021</w:t>
            </w:r>
          </w:p>
        </w:tc>
        <w:tc>
          <w:tcPr>
            <w:tcW w:w="116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84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Overview</w:t>
            </w:r>
          </w:p>
        </w:tc>
        <w:tc>
          <w:tcPr>
            <w:tcW w:w="108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740" w:type="dxa"/>
            <w:vAlign w:val="bottom"/>
            <w:gridSpan w:val="1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580" w:type="dxa"/>
            <w:vAlign w:val="bottom"/>
            <w:gridSpan w:val="1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820" w:type="dxa"/>
            <w:vAlign w:val="bottom"/>
            <w:gridSpan w:val="1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4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46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360" w:type="dxa"/>
            <w:vAlign w:val="bottom"/>
            <w:gridSpan w:val="13"/>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196,531</w:t>
            </w:r>
          </w:p>
        </w:tc>
        <w:tc>
          <w:tcPr>
            <w:tcW w:w="8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3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203,595</w:t>
            </w:r>
          </w:p>
        </w:tc>
        <w:tc>
          <w:tcPr>
            <w:tcW w:w="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132,776</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107,642</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3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113,829</w:t>
            </w:r>
          </w:p>
        </w:tc>
        <w:tc>
          <w:tcPr>
            <w:tcW w:w="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89,766</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3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40,843</w:t>
            </w:r>
          </w:p>
        </w:tc>
        <w:tc>
          <w:tcPr>
            <w:tcW w:w="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3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6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34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3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3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1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33,974</w:t>
            </w:r>
          </w:p>
        </w:tc>
        <w:tc>
          <w:tcPr>
            <w:tcW w:w="3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34,643</w:t>
            </w: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$ 41,614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 and other adjustments from pension plan, net of tax</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5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$ 40,437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34,331</w:t>
            </w:r>
          </w:p>
        </w:tc>
        <w:tc>
          <w:tcPr>
            <w:tcW w:w="10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782,196</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1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ind w:left="13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33,064 shares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at March 31, 2022; 33,240 shares issued and outstanding at December 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538,959</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782,196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7"/>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7"/>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10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570,102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(91,969)</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481,602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2021</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567,199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(81,656)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7"/>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gridSpan w:val="7"/>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559,883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1,765</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538,959</w:t>
            </w: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41,614</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2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189"/>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0" w:type="dxa"/>
            <w:vAlign w:val="bottom"/>
          </w:tcPr>
          <w:p>
            <w:pPr>
              <w:spacing w:after="0"/>
              <w:rPr>
                <w:sz w:val="1"/>
                <w:szCs w:val="1"/>
                <w:color w:val="auto"/>
              </w:rPr>
            </w:pPr>
          </w:p>
        </w:tc>
      </w:tr>
      <w:tr>
        <w:trPr>
          <w:trHeight w:val="205"/>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(5,127)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(14,873)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554,633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559,273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Expenditures for property, plant and equipment and capitalized software</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settlement on restricted stock grants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finance lease obligation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207,519</w:t>
            </w: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balance sheet at December 31, 2021 has been derived from the audited consolidated financial statements at that date but does not include all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Stock-Based Compensation</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an Internal Revenue Code Section 423 plan, which became effective on May 2, 2012, and permits the issuance of options, restricted stock, restricted stock units (“RSUs”) and performance awards to selected employees, directors and consultants of the Company.</w:t>
      </w:r>
    </w:p>
    <w:p>
      <w:pPr>
        <w:spacing w:after="0" w:line="180" w:lineRule="exact"/>
        <w:rPr>
          <w:sz w:val="20"/>
          <w:szCs w:val="20"/>
          <w:color w:val="auto"/>
        </w:rPr>
      </w:pPr>
    </w:p>
    <w:p>
      <w:pPr>
        <w:jc w:val="both"/>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Annual Report on Form 10-K for the year ended December 31, 2021.</w:t>
      </w:r>
    </w:p>
    <w:p>
      <w:pPr>
        <w:spacing w:after="0" w:line="162"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We recognized stock-based compensation expense of $2.7 million and $2.4 million for the three-month periods ended March 31, 2022 and 2021, respectively. These amounts include compensation expense related to RSUs and non-qualified stock options.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three-month periods ended March 31, 2022 and 2021, we issued 0.1 million and 0.3 million shares of common stock, respectively, upon stock option exercises and vesting of RSUs. In the three-month periods ended March 31, 2022 and 2021, we received proceeds of $0.5 million and $2.5 million, respectively, in connection with the exercise of stock options.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operating leases for office space, warehouse space, a manufacturing plant, computer and office equipment as well as vehicles used in our business operations. We have a finance lease as a result of the 2015 sale-leaseback of our corporate headquarters in Beverly, Massachusetts. All new agreements are reviewed to determine if they contain a lease component. A lease is a contract, or part of a contract, that conveys the right to control the use of identified property, plant or equipment over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one to five years. The exercise of lease renewal options is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assets *</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shd w:val="clear" w:color="auto" w:fill="CCEEFF"/>
          </w:tcPr>
          <w:p>
            <w:pPr>
              <w:ind w:left="170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vMerge w:val="continue"/>
            <w:shd w:val="clear" w:color="auto" w:fill="CCEEFF"/>
          </w:tcPr>
          <w:p>
            <w:pPr>
              <w:spacing w:after="0"/>
              <w:rPr>
                <w:sz w:val="14"/>
                <w:szCs w:val="14"/>
                <w:color w:val="auto"/>
              </w:rPr>
            </w:pP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46,128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6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$48.9 million and includes $0.6 million of prepaid financing costs as of March 31, 2022. Finance lease assets are recorded net of accumulated depreciation of $48.6 million and includes $0.7 million of prepaid financing costs as of December 31, 2021.</w:t>
      </w:r>
    </w:p>
    <w:p>
      <w:pPr>
        <w:spacing w:after="0" w:line="11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All of our operating lease office locations support selling and servicing functions. Our Axcelis Asia Operations Center facility in South Korea brings production capability closer to our Asia-based customers. Operating lease expense and depreciation and interest expense relating to our finance lease obligation are recognized within our consolidated statement of operations for the three months ended March 31, 2022 and 2021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4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3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Cost of revenue</w:t>
            </w: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50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gridSpan w:val="2"/>
            <w:vMerge w:val="continue"/>
          </w:tcPr>
          <w:p>
            <w:pPr>
              <w:spacing w:after="0"/>
              <w:rPr>
                <w:sz w:val="17"/>
                <w:szCs w:val="17"/>
                <w:color w:val="auto"/>
              </w:rPr>
            </w:pPr>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3400" w:type="dxa"/>
            <w:vAlign w:val="bottom"/>
            <w:shd w:val="clear" w:color="auto" w:fill="CCEEFF"/>
          </w:tcPr>
          <w:p>
            <w:pPr>
              <w:ind w:left="1160"/>
              <w:spacing w:after="0" w:line="126" w:lineRule="exact"/>
              <w:rPr>
                <w:sz w:val="20"/>
                <w:szCs w:val="20"/>
                <w:color w:val="auto"/>
              </w:rPr>
            </w:pPr>
            <w:r>
              <w:rPr>
                <w:rFonts w:ascii="Times New Roman" w:cs="Times New Roman" w:eastAsia="Times New Roman" w:hAnsi="Times New Roman"/>
                <w:sz w:val="14"/>
                <w:szCs w:val="14"/>
                <w:color w:val="auto"/>
              </w:rPr>
              <w:t>Cost of revenue, R&amp;D, Sales and</w:t>
            </w:r>
          </w:p>
        </w:tc>
        <w:tc>
          <w:tcPr>
            <w:tcW w:w="4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500" w:type="dxa"/>
            <w:vAlign w:val="bottom"/>
            <w:gridSpan w:val="2"/>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vMerge w:val="continue"/>
            <w:shd w:val="clear" w:color="auto" w:fill="CCEEFF"/>
          </w:tcPr>
          <w:p>
            <w:pPr>
              <w:spacing w:after="0"/>
              <w:rPr>
                <w:sz w:val="14"/>
                <w:szCs w:val="14"/>
                <w:color w:val="auto"/>
              </w:rPr>
            </w:pPr>
          </w:p>
        </w:tc>
        <w:tc>
          <w:tcPr>
            <w:tcW w:w="3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marketing and G&amp;A</w:t>
            </w:r>
          </w:p>
        </w:tc>
        <w:tc>
          <w:tcPr>
            <w:tcW w:w="4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4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500" w:type="dxa"/>
            <w:vAlign w:val="bottom"/>
            <w:gridSpan w:val="2"/>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0" w:firstLine="8"/>
        <w:spacing w:after="0" w:line="26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 and general and administrative expense also includes short-term lease and variable lease costs of approximately $0.5 million and $0.4 million for the three months ended March 31, 2022 and 2021, respectively.</w:t>
      </w:r>
    </w:p>
    <w:p>
      <w:pPr>
        <w:spacing w:after="0" w:line="16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ten years. The tables below reflect the minimum cash outflow regarding our current lease obligations as well as the weighted-average remaining lease term and weighted-average discount rates used in our calculation of our lease obligations and right-of-use assets as of March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67,793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9,573</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(49,642)</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56,443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26"/>
        </w:trPr>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payment of principal component. The table below shows our cash outflows, by lease type and related section of our statement of cash flows, as well as the non-cash amount capitalized on our balance sheet in relation to our operating lease right-of-use assets for the three months ending March 31, 2022 and 2021, respectively: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r>
      <w:tr>
        <w:trPr>
          <w:trHeight w:val="199"/>
        </w:trPr>
        <w:tc>
          <w:tcPr>
            <w:tcW w:w="6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151,801</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80,991</w:t>
            </w:r>
          </w:p>
        </w:tc>
      </w:tr>
      <w:tr>
        <w:trPr>
          <w:trHeight w:val="203"/>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51,794</w:t>
            </w:r>
          </w:p>
        </w:tc>
        <w:tc>
          <w:tcPr>
            <w:tcW w:w="1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51,785</w:t>
            </w:r>
          </w:p>
        </w:tc>
      </w:tr>
      <w:tr>
        <w:trPr>
          <w:trHeight w:val="196"/>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203,595</w:t>
            </w: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132,776</w:t>
            </w:r>
          </w:p>
        </w:tc>
      </w:tr>
      <w:tr>
        <w:trPr>
          <w:trHeight w:val="20"/>
        </w:trPr>
        <w:tc>
          <w:tcPr>
            <w:tcW w:w="6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4"/>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30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24,913</w:t>
            </w:r>
          </w:p>
        </w:tc>
        <w:tc>
          <w:tcPr>
            <w:tcW w:w="2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w:t>
            </w:r>
          </w:p>
        </w:tc>
      </w:tr>
      <w:tr>
        <w:trPr>
          <w:trHeight w:val="203"/>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103,391</w:t>
            </w: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7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19,877</w:t>
            </w:r>
          </w:p>
        </w:tc>
      </w:tr>
      <w:tr>
        <w:trPr>
          <w:trHeight w:val="196"/>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740" w:type="dxa"/>
            <w:vAlign w:val="bottom"/>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203,595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132,776</w:t>
            </w: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18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26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23,058</w:t>
            </w:r>
          </w:p>
        </w:tc>
      </w:tr>
      <w:tr>
        <w:trPr>
          <w:trHeight w:val="203"/>
        </w:trPr>
        <w:tc>
          <w:tcPr>
            <w:tcW w:w="20" w:type="dxa"/>
            <w:vAlign w:val="bottom"/>
          </w:tcPr>
          <w:p>
            <w:pPr>
              <w:spacing w:after="0"/>
              <w:rPr>
                <w:sz w:val="17"/>
                <w:szCs w:val="17"/>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11,264</w:t>
            </w: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2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(12,180)</w:t>
            </w:r>
          </w:p>
        </w:tc>
      </w:tr>
      <w:tr>
        <w:trPr>
          <w:trHeight w:val="196"/>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246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74,840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22,142</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system transactions have payment terms of 90% due upon shipment of the system and 10% due upon acceptance. Aftermarket transaction payment terms usually provide that payment is due either within 30 or 60 days after the service is provided or parts delivered.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 and Allowances for Credit Losses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Axcelis maintains an allowance for credit losses, which represent an estimate of expected losses over the remaining contractual life of our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our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Axcelis evaluates the credit risk of the customer when extending credit based on a combination of various financial and qualitative factors that may affect our customers’ ability to pay. These factors may include the customer’s financial condition, past payment experience, and credit bureau report, as well as the value of the underlying collateral.</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Management performs detailed reviews of Axcelis’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spacing w:after="0" w:line="18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of the allowances for credit losses related to trade receivables for the three months ended March 31,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8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r>
      <w:tr>
        <w:trPr>
          <w:trHeight w:val="185"/>
        </w:trPr>
        <w:tc>
          <w:tcPr>
            <w:tcW w:w="69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6"/>
                <w:szCs w:val="16"/>
                <w:color w:val="auto"/>
              </w:rPr>
            </w:pPr>
          </w:p>
        </w:tc>
      </w:tr>
      <w:tr>
        <w:trPr>
          <w:trHeight w:val="196"/>
        </w:trPr>
        <w:tc>
          <w:tcPr>
            <w:tcW w:w="69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r>
      <w:tr>
        <w:trPr>
          <w:trHeight w:val="183"/>
        </w:trPr>
        <w:tc>
          <w:tcPr>
            <w:tcW w:w="6940" w:type="dxa"/>
            <w:vAlign w:val="bottom"/>
          </w:tcPr>
          <w:p>
            <w:pPr>
              <w:spacing w:after="0"/>
              <w:rPr>
                <w:sz w:val="15"/>
                <w:szCs w:val="15"/>
                <w:color w:val="auto"/>
              </w:rPr>
            </w:pPr>
          </w:p>
        </w:tc>
        <w:tc>
          <w:tcPr>
            <w:tcW w:w="188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2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72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Charge-offs</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Recoveries</w:t>
            </w:r>
          </w:p>
        </w:tc>
        <w:tc>
          <w:tcPr>
            <w:tcW w:w="720" w:type="dxa"/>
            <w:vAlign w:val="bottom"/>
          </w:tcPr>
          <w:p>
            <w:pPr>
              <w:spacing w:after="0"/>
              <w:rPr>
                <w:sz w:val="18"/>
                <w:szCs w:val="18"/>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720" w:type="dxa"/>
            <w:vAlign w:val="bottom"/>
            <w:tcBorders>
              <w:top w:val="single" w:sz="8" w:color="auto"/>
              <w:bottom w:val="single" w:sz="8" w:color="auto"/>
            </w:tcBorders>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Computation of Net Earnings per Share</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3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060" w:type="dxa"/>
            <w:vAlign w:val="bottom"/>
          </w:tcPr>
          <w:p>
            <w:pPr>
              <w:spacing w:after="0"/>
              <w:rPr>
                <w:sz w:val="9"/>
                <w:szCs w:val="9"/>
                <w:color w:val="auto"/>
              </w:rPr>
            </w:pPr>
          </w:p>
        </w:tc>
        <w:tc>
          <w:tcPr>
            <w:tcW w:w="1900" w:type="dxa"/>
            <w:vAlign w:val="bottom"/>
            <w:gridSpan w:val="5"/>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 except per share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41,614</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used in computing basic income per share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options and RSUs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common shares used in computing diluted net income per share</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33,974</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per share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Diluted weighted average common shares outstanding does not include 4,706 and 1,429 common equivalent shares issuable with respect to outstanding equity awards for the three-month periods ended March 31, 2022 and 2021,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Income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income, net of tax, by component, for the three months ended March 31,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loss and pension reclassification</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2022</w:t>
            </w: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Cash, cash equivalents and restricted cash</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29"/>
        </w:trPr>
        <w:tc>
          <w:tcPr>
            <w:tcW w:w="5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297,141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294,923</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297,896</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295,680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we had $0.8 million in restricted cash representing the total of (i) cash collateral for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 million letter of credit relating to workers’ compensation insurance and (ii) a $0.1 million deposit relating to customs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3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140,138</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133,784</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43,164</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18,036</w:t>
            </w:r>
          </w:p>
        </w:tc>
        <w:tc>
          <w:tcPr>
            <w:tcW w:w="1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260" w:type="dxa"/>
            <w:vAlign w:val="bottom"/>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203,838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194,984</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Warranty</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3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(end of period)</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money market funds and short-term investments are included in cash and cash equivalents in the consolidated balance sheets.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assets by level within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left="304"/>
              <w:spacing w:after="0" w:line="129" w:lineRule="exact"/>
              <w:rPr>
                <w:sz w:val="20"/>
                <w:szCs w:val="20"/>
                <w:color w:val="auto"/>
              </w:rPr>
            </w:pPr>
            <w:r>
              <w:rPr>
                <w:rFonts w:ascii="Times New Roman" w:cs="Times New Roman" w:eastAsia="Times New Roman" w:hAnsi="Times New Roman"/>
                <w:sz w:val="14"/>
                <w:szCs w:val="14"/>
                <w:b w:val="1"/>
                <w:bCs w:val="1"/>
                <w:color w:val="auto"/>
                <w:w w:val="82"/>
              </w:rPr>
              <w:t>(in thousands)</w:t>
            </w:r>
          </w:p>
        </w:tc>
        <w:tc>
          <w:tcPr>
            <w:tcW w:w="2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 and Agency</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$ 264,892</w:t>
            </w: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264,892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35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left="304"/>
              <w:spacing w:after="0" w:line="129" w:lineRule="exact"/>
              <w:rPr>
                <w:sz w:val="20"/>
                <w:szCs w:val="20"/>
                <w:color w:val="auto"/>
              </w:rPr>
            </w:pPr>
            <w:r>
              <w:rPr>
                <w:rFonts w:ascii="Times New Roman" w:cs="Times New Roman" w:eastAsia="Times New Roman" w:hAnsi="Times New Roman"/>
                <w:sz w:val="14"/>
                <w:szCs w:val="14"/>
                <w:b w:val="1"/>
                <w:bCs w:val="1"/>
                <w:color w:val="auto"/>
                <w:w w:val="84"/>
              </w:rPr>
              <w:t>(in thousands)</w:t>
            </w:r>
          </w:p>
        </w:tc>
        <w:tc>
          <w:tcPr>
            <w:tcW w:w="6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 and Agency</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$ 261,090</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504"/>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261,090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Financing Arrangements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$47.2 million as of March 31, 2022.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reduces our availability under our credit facility, as described in the next paragraph.</w:t>
      </w:r>
    </w:p>
    <w:p>
      <w:pPr>
        <w:spacing w:after="0" w:line="18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March 31, 2022, we were in compliance with all covenant requirements of the Credit Agreement. As of such date, no borrowings had been made under the Credit Agreement, although a letter of credit for $5.9 million reduces the funds available for borrowing under the credit line. We entered into a First Amendment to the Credit Agreement with Silicon Valley Bank in March 2021 to (i) align the covenants with our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$4.3 million for the three months ended March 31, 2022, compared to $1.7 million for the three months ended March 31, 2021. The $2.6 million increase was primarily due to a $27.7 million increase in pretax income. During the three months ended March 31, 2022, an international tax audit commenced, and we have determined that it is not more likely than not that certain tax positions being examined by the tax authorities will be sustained.</w:t>
      </w:r>
    </w:p>
    <w:p>
      <w:pPr>
        <w:sectPr>
          <w:pgSz w:w="11900" w:h="16838" w:orient="portrait"/>
          <w:cols w:equalWidth="0" w:num="1">
            <w:col w:w="9120"/>
          </w:cols>
          <w:pgMar w:left="1380" w:top="513" w:right="13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9"/>
        <w:spacing w:after="0" w:line="282" w:lineRule="auto"/>
        <w:rPr>
          <w:sz w:val="20"/>
          <w:szCs w:val="20"/>
          <w:color w:val="auto"/>
        </w:rPr>
      </w:pPr>
      <w:r>
        <w:rPr>
          <w:rFonts w:ascii="Times New Roman" w:cs="Times New Roman" w:eastAsia="Times New Roman" w:hAnsi="Times New Roman"/>
          <w:sz w:val="18"/>
          <w:szCs w:val="18"/>
          <w:color w:val="auto"/>
        </w:rPr>
        <w:t>Therefore, we have recorded a liability of $0.7 million related to our estimated exposure as of March 31, 2022. We will assess this tax reserve in subsequent quarters until final settlement.</w:t>
      </w:r>
    </w:p>
    <w:p>
      <w:pPr>
        <w:spacing w:after="0" w:line="162" w:lineRule="exact"/>
        <w:rPr>
          <w:sz w:val="20"/>
          <w:szCs w:val="20"/>
          <w:color w:val="auto"/>
        </w:rPr>
      </w:pPr>
    </w:p>
    <w:p>
      <w:pPr>
        <w:ind w:right="59"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2022 was less than the U.S. statutory rate of 21% due to forecasted Foreign Derived Intangible Income (FDII), Federal research and development tax credits and a favorable discrete item related to equity compensation that reduces the annual tax rate. The effective tax rate for the three months ended March 31, 2021 was less than the U.S. statutory rate of 21% due to favorable discrete items related to equity compensation in the period and Federal research and development tax credits that reduce the annual tax rate.</w:t>
      </w:r>
    </w:p>
    <w:p>
      <w:pPr>
        <w:spacing w:after="0" w:line="183" w:lineRule="exact"/>
        <w:rPr>
          <w:sz w:val="20"/>
          <w:szCs w:val="20"/>
          <w:color w:val="auto"/>
        </w:rPr>
      </w:pPr>
    </w:p>
    <w:p>
      <w:pPr>
        <w:ind w:right="119"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$36.2 million and $35.5 million as of March 31, 2022 and December 31, 2021, respectively, reflect the net tax effect of temporary differences between the carrying amount of assets and liabilities for financial reporting purposes and the amounts used for income tax purposes, as well as the tax effect of carryforwards. We have recorded a $8.6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Concentration of Risk</w:t>
      </w:r>
    </w:p>
    <w:p>
      <w:pPr>
        <w:spacing w:after="0" w:line="229" w:lineRule="exact"/>
        <w:rPr>
          <w:sz w:val="20"/>
          <w:szCs w:val="20"/>
          <w:color w:val="auto"/>
        </w:rPr>
      </w:pPr>
    </w:p>
    <w:p>
      <w:pPr>
        <w:ind w:right="55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two customers accounted for 15.0% and 11.1% of total revenue, respectively. For the three months ended March 31, 2021, one customer accounted for 29.6% of total revenue.</w:t>
      </w:r>
    </w:p>
    <w:p>
      <w:pPr>
        <w:spacing w:after="0" w:line="162" w:lineRule="exact"/>
        <w:rPr>
          <w:sz w:val="20"/>
          <w:szCs w:val="20"/>
          <w:color w:val="auto"/>
        </w:rPr>
      </w:pPr>
    </w:p>
    <w:p>
      <w:pPr>
        <w:ind w:right="59" w:firstLine="648"/>
        <w:spacing w:after="0" w:line="282" w:lineRule="auto"/>
        <w:rPr>
          <w:sz w:val="20"/>
          <w:szCs w:val="20"/>
          <w:color w:val="auto"/>
        </w:rPr>
      </w:pPr>
      <w:r>
        <w:rPr>
          <w:rFonts w:ascii="Times New Roman" w:cs="Times New Roman" w:eastAsia="Times New Roman" w:hAnsi="Times New Roman"/>
          <w:sz w:val="18"/>
          <w:szCs w:val="18"/>
          <w:color w:val="auto"/>
        </w:rPr>
        <w:t>At March 31, 2022, three customers accounted for 19.1%, 16.6% and 10.3% of accounts receivable, respectively. At December 31, 2021, two customers accounted for 29.1% and 13.6% of accounts receivable,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 Repurchase</w:t>
      </w:r>
    </w:p>
    <w:p>
      <w:pPr>
        <w:spacing w:after="0" w:line="229" w:lineRule="exact"/>
        <w:rPr>
          <w:sz w:val="20"/>
          <w:szCs w:val="20"/>
          <w:color w:val="auto"/>
        </w:rPr>
      </w:pPr>
    </w:p>
    <w:p>
      <w:pPr>
        <w:ind w:right="99" w:firstLine="648"/>
        <w:spacing w:after="0" w:line="261" w:lineRule="auto"/>
        <w:rPr>
          <w:sz w:val="20"/>
          <w:szCs w:val="20"/>
          <w:color w:val="auto"/>
        </w:rPr>
      </w:pPr>
      <w:r>
        <w:rPr>
          <w:rFonts w:ascii="Times New Roman" w:cs="Times New Roman" w:eastAsia="Times New Roman" w:hAnsi="Times New Roman"/>
          <w:sz w:val="18"/>
          <w:szCs w:val="18"/>
          <w:color w:val="auto"/>
        </w:rPr>
        <w:t>In February 2022, our Board of Directors approved stock repurchases of up to $100 million of our common stock, beginning in March 2022. During March 2022, we purchased 0.3 million shares at an average cost of $70.41 per share. The timing and actual number of shares repurchased under this program will depend on various factors including price, corporate and regulatory requirements, alternative investment opportunities and other market conditions.</w:t>
      </w:r>
    </w:p>
    <w:p>
      <w:pPr>
        <w:spacing w:after="0" w:line="180" w:lineRule="exact"/>
        <w:rPr>
          <w:sz w:val="20"/>
          <w:szCs w:val="20"/>
          <w:color w:val="auto"/>
        </w:rPr>
      </w:pPr>
    </w:p>
    <w:p>
      <w:pPr>
        <w:ind w:right="99" w:firstLine="648"/>
        <w:spacing w:after="0" w:line="258" w:lineRule="auto"/>
        <w:rPr>
          <w:sz w:val="20"/>
          <w:szCs w:val="20"/>
          <w:color w:val="auto"/>
        </w:rPr>
      </w:pPr>
      <w:r>
        <w:rPr>
          <w:rFonts w:ascii="Times New Roman" w:cs="Times New Roman" w:eastAsia="Times New Roman" w:hAnsi="Times New Roman"/>
          <w:sz w:val="18"/>
          <w:szCs w:val="18"/>
          <w:color w:val="auto"/>
        </w:rPr>
        <w:t>Shares repurchased by us are accounted for when the transaction is settled. Shares repurchased are returned to the status of authorized but unissued shares. Accordingly, the repurchases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62" w:lineRule="exact"/>
        <w:rPr>
          <w:sz w:val="20"/>
          <w:szCs w:val="20"/>
          <w:color w:val="auto"/>
        </w:rPr>
      </w:pPr>
    </w:p>
    <w:p>
      <w:pPr>
        <w:ind w:right="119"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19"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ectPr>
          <w:pgSz w:w="11900" w:h="16838" w:orient="portrait"/>
          <w:cols w:equalWidth="0" w:num="1">
            <w:col w:w="9079"/>
          </w:cols>
          <w:pgMar w:left="138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28">
        <w:r>
          <w:rPr>
            <w:rFonts w:ascii="Times New Roman" w:cs="Times New Roman" w:eastAsia="Times New Roman" w:hAnsi="Times New Roman"/>
            <w:sz w:val="18"/>
            <w:szCs w:val="18"/>
            <w:i w:val="1"/>
            <w:iCs w:val="1"/>
            <w:color w:val="auto"/>
          </w:rPr>
          <w:t xml:space="preserve">Resources" below and under “Risk Factors” in Part I, Item 1A to our </w:t>
        </w:r>
        <w:r>
          <w:rPr>
            <w:rFonts w:ascii="Times New Roman" w:cs="Times New Roman" w:eastAsia="Times New Roman" w:hAnsi="Times New Roman"/>
            <w:sz w:val="18"/>
            <w:szCs w:val="18"/>
            <w:i w:val="1"/>
            <w:iCs w:val="1"/>
            <w:u w:val="single" w:color="auto"/>
            <w:color w:val="0000EE"/>
          </w:rPr>
          <w:t>annual report on Form 10-K for the year ended</w:t>
        </w:r>
      </w:hyperlink>
      <w:r>
        <w:rPr>
          <w:rFonts w:ascii="Times New Roman" w:cs="Times New Roman" w:eastAsia="Times New Roman" w:hAnsi="Times New Roman"/>
          <w:sz w:val="18"/>
          <w:szCs w:val="18"/>
          <w:i w:val="1"/>
          <w:iCs w:val="1"/>
          <w:color w:val="auto"/>
        </w:rPr>
        <w:t xml:space="preserve"> </w:t>
      </w:r>
      <w:hyperlink r:id="rId28">
        <w:r>
          <w:rPr>
            <w:rFonts w:ascii="Times New Roman" w:cs="Times New Roman" w:eastAsia="Times New Roman" w:hAnsi="Times New Roman"/>
            <w:sz w:val="18"/>
            <w:szCs w:val="18"/>
            <w:i w:val="1"/>
            <w:iCs w:val="1"/>
            <w:u w:val="single" w:color="auto"/>
            <w:color w:val="0000EE"/>
          </w:rPr>
          <w:t>December 31, 2021</w:t>
        </w:r>
        <w:r>
          <w:rPr>
            <w:rFonts w:ascii="Times New Roman" w:cs="Times New Roman" w:eastAsia="Times New Roman" w:hAnsi="Times New Roman"/>
            <w:sz w:val="18"/>
            <w:szCs w:val="18"/>
            <w:i w:val="1"/>
            <w:iCs w:val="1"/>
            <w:color w:val="000000"/>
          </w:rPr>
          <w:t xml:space="preserve">, which discussion is incorporated herein by reference. Readers are cautioned not to place undue </w:t>
        </w:r>
      </w:hyperlink>
      <w:r>
        <w:rPr>
          <w:rFonts w:ascii="Times New Roman" w:cs="Times New Roman" w:eastAsia="Times New Roman" w:hAnsi="Times New Roman"/>
          <w:sz w:val="18"/>
          <w:szCs w:val="18"/>
          <w:i w:val="1"/>
          <w:iCs w:val="1"/>
          <w:color w:val="0000EE"/>
        </w:rPr>
        <w:t xml:space="preserve">reliance </w:t>
      </w:r>
      <w:r>
        <w:rPr>
          <w:rFonts w:ascii="Times New Roman" w:cs="Times New Roman" w:eastAsia="Times New Roman" w:hAnsi="Times New Roman"/>
          <w:sz w:val="18"/>
          <w:szCs w:val="18"/>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69.8% of total revenue for the three months ended March 31, 2022.</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Axcelis and the rest of our industry, the first quarter of 2022 has been a continuation of the unprecedented demand for chips and the capital equipment required to produce them that characterized 2021. At the same time, supply chain challenges also continued during the quarter. Axcelis’ strong results in the first three months of 2022, demonstrate our ability to meet demand and manage supply chain difficulties. The growing mature process technology market continues to be an area of strength for Axcelis, with 81% of first quarter shipments going to mature foundry/logic customers.</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2020, the United States Commerce Department placed one of our major Chinese customers, Semiconductor Manufacturing International Corporation (“SMIC”), on the U.S. export controls Entity List. As a result of the Entity List classification, we are required to obtain export controls licenses for all U.S. shipments to this customer. Although we have received licenses as needed, export controls remain an evolving topic for the U.S. government and changes in this area could create delays in future shipments.</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Despite the many difficult logistical challenges brought on by trade tensions between the United States and China and COVID-19, we are continuing to work closely with our customers across market segments to provide them with the best ion implant solutions for their specific manufacturing challenges.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Annual Report on Form 10-K for the year ended December 31, 2021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5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2"/>
                <w:szCs w:val="12"/>
                <w:color w:val="auto"/>
              </w:rPr>
            </w:pPr>
          </w:p>
        </w:tc>
      </w:tr>
      <w:tr>
        <w:trPr>
          <w:trHeight w:val="19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96.5 %</w:t>
            </w:r>
          </w:p>
        </w:tc>
        <w:tc>
          <w:tcPr>
            <w:tcW w:w="13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95.4 %</w:t>
            </w: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500" w:type="dxa"/>
            <w:vAlign w:val="bottom"/>
            <w:shd w:val="clear" w:color="auto" w:fill="CCEEFF"/>
          </w:tcPr>
          <w:p>
            <w:pPr>
              <w:spacing w:after="0"/>
              <w:rPr>
                <w:sz w:val="19"/>
                <w:szCs w:val="19"/>
                <w:color w:val="auto"/>
              </w:rPr>
            </w:pPr>
          </w:p>
        </w:tc>
      </w:tr>
      <w:tr>
        <w:trPr>
          <w:trHeight w:val="196"/>
        </w:trPr>
        <w:tc>
          <w:tcPr>
            <w:tcW w:w="6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00" w:type="dxa"/>
            <w:vAlign w:val="bottom"/>
          </w:tcPr>
          <w:p>
            <w:pPr>
              <w:spacing w:after="0"/>
              <w:rPr>
                <w:sz w:val="17"/>
                <w:szCs w:val="17"/>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500" w:type="dxa"/>
            <w:vAlign w:val="bottom"/>
          </w:tcPr>
          <w:p>
            <w:pPr>
              <w:spacing w:after="0"/>
              <w:rPr>
                <w:sz w:val="18"/>
                <w:szCs w:val="18"/>
                <w:color w:val="auto"/>
              </w:rPr>
            </w:pP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500" w:type="dxa"/>
            <w:vAlign w:val="bottom"/>
            <w:shd w:val="clear" w:color="auto" w:fill="CCEEFF"/>
          </w:tcPr>
          <w:p>
            <w:pPr>
              <w:spacing w:after="0"/>
              <w:rPr>
                <w:sz w:val="19"/>
                <w:szCs w:val="19"/>
                <w:color w:val="auto"/>
              </w:rPr>
            </w:pPr>
          </w:p>
        </w:tc>
      </w:tr>
      <w:tr>
        <w:trPr>
          <w:trHeight w:val="196"/>
        </w:trPr>
        <w:tc>
          <w:tcPr>
            <w:tcW w:w="6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500" w:type="dxa"/>
            <w:vAlign w:val="bottom"/>
          </w:tcPr>
          <w:p>
            <w:pPr>
              <w:spacing w:after="0"/>
              <w:rPr>
                <w:sz w:val="17"/>
                <w:szCs w:val="17"/>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500" w:type="dxa"/>
            <w:vAlign w:val="bottom"/>
            <w:shd w:val="clear" w:color="auto" w:fill="CCEEFF"/>
          </w:tcPr>
          <w:p>
            <w:pPr>
              <w:spacing w:after="0"/>
              <w:rPr>
                <w:sz w:val="18"/>
                <w:szCs w:val="18"/>
                <w:color w:val="auto"/>
              </w:rPr>
            </w:pPr>
          </w:p>
        </w:tc>
      </w:tr>
      <w:tr>
        <w:trPr>
          <w:trHeight w:val="21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500" w:type="dxa"/>
            <w:vAlign w:val="bottom"/>
            <w:shd w:val="clear" w:color="auto" w:fill="CCEEFF"/>
          </w:tcPr>
          <w:p>
            <w:pPr>
              <w:spacing w:after="0"/>
              <w:rPr>
                <w:sz w:val="19"/>
                <w:szCs w:val="19"/>
                <w:color w:val="auto"/>
              </w:rPr>
            </w:pPr>
          </w:p>
        </w:tc>
      </w:tr>
      <w:tr>
        <w:trPr>
          <w:trHeight w:val="213"/>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500" w:type="dxa"/>
            <w:vAlign w:val="bottom"/>
          </w:tcPr>
          <w:p>
            <w:pPr>
              <w:spacing w:after="0"/>
              <w:rPr>
                <w:sz w:val="18"/>
                <w:szCs w:val="18"/>
                <w:color w:val="auto"/>
              </w:rPr>
            </w:pP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500" w:type="dxa"/>
            <w:vAlign w:val="bottom"/>
            <w:shd w:val="clear" w:color="auto" w:fill="CCEEFF"/>
          </w:tcPr>
          <w:p>
            <w:pPr>
              <w:spacing w:after="0"/>
              <w:rPr>
                <w:sz w:val="19"/>
                <w:szCs w:val="19"/>
                <w:color w:val="auto"/>
              </w:rPr>
            </w:pPr>
          </w:p>
        </w:tc>
      </w:tr>
      <w:tr>
        <w:trPr>
          <w:trHeight w:val="196"/>
        </w:trPr>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500" w:type="dxa"/>
            <w:vAlign w:val="bottom"/>
            <w:tcBorders>
              <w:bottom w:val="single" w:sz="8" w:color="CCEEFF"/>
            </w:tcBorders>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500" w:type="dxa"/>
            <w:vAlign w:val="bottom"/>
            <w:shd w:val="clear" w:color="auto" w:fill="CCEEFF"/>
          </w:tcPr>
          <w:p>
            <w:pPr>
              <w:spacing w:after="0"/>
              <w:rPr>
                <w:sz w:val="17"/>
                <w:szCs w:val="17"/>
                <w:color w:val="auto"/>
              </w:rPr>
            </w:pPr>
          </w:p>
        </w:tc>
      </w:tr>
      <w:tr>
        <w:trPr>
          <w:trHeight w:val="21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1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1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(0.7)</w:t>
            </w:r>
          </w:p>
        </w:tc>
        <w:tc>
          <w:tcPr>
            <w:tcW w:w="13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118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(0.8)</w:t>
            </w:r>
          </w:p>
        </w:tc>
        <w:tc>
          <w:tcPr>
            <w:tcW w:w="13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(0.9)</w:t>
            </w:r>
          </w:p>
        </w:tc>
      </w:tr>
      <w:tr>
        <w:trPr>
          <w:trHeight w:val="196"/>
        </w:trPr>
        <w:tc>
          <w:tcPr>
            <w:tcW w:w="6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500" w:type="dxa"/>
            <w:vAlign w:val="bottom"/>
            <w:tcBorders>
              <w:bottom w:val="single" w:sz="8" w:color="CCEEFF"/>
            </w:tcBorders>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500" w:type="dxa"/>
            <w:vAlign w:val="bottom"/>
            <w:shd w:val="clear" w:color="auto" w:fill="CCEEFF"/>
          </w:tcPr>
          <w:p>
            <w:pPr>
              <w:spacing w:after="0"/>
              <w:rPr>
                <w:sz w:val="17"/>
                <w:szCs w:val="17"/>
                <w:color w:val="auto"/>
              </w:rPr>
            </w:pPr>
          </w:p>
        </w:tc>
      </w:tr>
      <w:tr>
        <w:trPr>
          <w:trHeight w:val="21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00" w:type="dxa"/>
            <w:vAlign w:val="bottom"/>
            <w:tcBorders>
              <w:bottom w:val="single" w:sz="8" w:color="CCEEFF"/>
            </w:tcBorders>
          </w:tcPr>
          <w:p>
            <w:pPr>
              <w:spacing w:after="0"/>
              <w:rPr>
                <w:sz w:val="18"/>
                <w:szCs w:val="18"/>
                <w:color w:val="auto"/>
              </w:rPr>
            </w:pPr>
          </w:p>
        </w:tc>
      </w:tr>
      <w:tr>
        <w:trPr>
          <w:trHeight w:val="199"/>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50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5"/>
                <w:szCs w:val="15"/>
                <w:color w:val="auto"/>
              </w:rPr>
            </w:pPr>
          </w:p>
        </w:tc>
        <w:tc>
          <w:tcPr>
            <w:tcW w:w="820" w:type="dxa"/>
            <w:vAlign w:val="bottom"/>
            <w:gridSpan w:val="3"/>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right"/>
              <w:ind w:right="24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$ 196,531</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$ 126,609</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$ 69,922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55.2 %</w:t>
            </w: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96.5 %</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95.4 %</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14.5 %</w:t>
            </w: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3.5 %</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4.6 %</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20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$ 203,595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$ 132,776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$ 70,819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 xml:space="preserve">53.3 </w:t>
            </w: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 $196.5 million, or 96.5% of revenue during the three months ended March 31, 2022, compared with $126.6 million, or</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95.4% of revenue for the three months ended March 31, 2021. The $69.9 million increase in product revenue for the three-month period ending March 31, 2022, in comparison to the same period in 2021, was primarily driven by an increase in the number of systems sold.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portion of our revenue from systems sales is deferred until installation and other services related to future performance obligations are performed. The total amount of deferred revenue at March 31, 2022 and December 31, 2021 was $74.8 million and $68.4 million, respectively. The increase in deferred revenue was primarily due to the number of systems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$7.1 million, or 3.5% of revenue for the three months ended March 31, 2022, compared with $6.2 million, or 4.6% of revenue for the three months ended March 31, 2021.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420" w:hanging="328"/>
        <w:spacing w:after="0" w:line="250" w:lineRule="auto"/>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right="40" w:hanging="316"/>
        <w:spacing w:after="0" w:line="282"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320" w:hanging="316"/>
        <w:spacing w:after="0" w:line="261"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technology processes and leading edge foundry and logic.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Included in total revenue of $203.6 million during the three months ended March 31, 2022 is revenue from our Aftermarket business of $51.8 million, consistent with $51.8 million of aftermarket revenue for the three months ended March 31, 2021. The remaining $151.8 million of revenue for the three months ended March 31, 2022 was from system sales.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3"/>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gridSpan w:val="4"/>
          </w:tcPr>
          <w:p>
            <w:pPr>
              <w:jc w:val="right"/>
              <w:ind w:right="24"/>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56,275</w:t>
            </w:r>
          </w:p>
        </w:tc>
        <w:tc>
          <w:tcPr>
            <w:tcW w:w="180" w:type="dxa"/>
            <w:vAlign w:val="bottom"/>
          </w:tcPr>
          <w:p>
            <w:pPr>
              <w:spacing w:after="0"/>
              <w:rPr>
                <w:sz w:val="18"/>
                <w:szCs w:val="18"/>
                <w:color w:val="auto"/>
              </w:rPr>
            </w:pPr>
          </w:p>
        </w:tc>
        <w:tc>
          <w:tcPr>
            <w:tcW w:w="580" w:type="dxa"/>
            <w:vAlign w:val="bottom"/>
            <w:gridSpan w:val="2"/>
          </w:tcPr>
          <w:p>
            <w:pPr>
              <w:jc w:val="right"/>
              <w:ind w:right="38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 xml:space="preserve">58.0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45.2 %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44.4 %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 xml:space="preserve">448.1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12.4 %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2.6 %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 xml:space="preserve">59.1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44.1</w:t>
            </w:r>
          </w:p>
        </w:tc>
        <w:tc>
          <w:tcPr>
            <w:tcW w:w="2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42.5</w:t>
            </w: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Gross margin from product revenue was 45.2% for the three months ended March 31, 2022, compared to 44.4% for the three months ended March 31, 2021. The increase in gross margin resulted from improved margins on Purion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services revenue was 12.4% for the three months ended March 31, 2022, compared to 2.6% for the three months ended March 31, 2021. The increase in gross margin is attributable to changes in the mix of service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vMerge w:val="continue"/>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16,973</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8.2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8.3 %</w:t>
            </w:r>
          </w:p>
        </w:tc>
        <w:tc>
          <w:tcPr>
            <w:tcW w:w="48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11.8 %</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8.7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5.5 %</w:t>
            </w:r>
          </w:p>
        </w:tc>
        <w:tc>
          <w:tcPr>
            <w:tcW w:w="48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7.8 %</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25.6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Pr>
          <w:p>
            <w:pPr>
              <w:spacing w:after="0"/>
              <w:rPr>
                <w:sz w:val="12"/>
                <w:szCs w:val="12"/>
                <w:color w:val="auto"/>
              </w:rPr>
            </w:pP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6.2 %</w:t>
            </w:r>
          </w:p>
        </w:tc>
        <w:tc>
          <w:tcPr>
            <w:tcW w:w="48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7.5 %</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40,843</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36,085</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4,758</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gridSpan w:val="2"/>
            <w:shd w:val="clear" w:color="auto" w:fill="CCEEFF"/>
          </w:tcPr>
          <w:p>
            <w:pPr>
              <w:jc w:val="right"/>
              <w:ind w:right="46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13.2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rPr>
              <w:t>%</w:t>
            </w: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20.0</w:t>
            </w:r>
          </w:p>
        </w:tc>
        <w:tc>
          <w:tcPr>
            <w:tcW w:w="2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27.1</w:t>
            </w:r>
          </w:p>
        </w:tc>
        <w:tc>
          <w:tcPr>
            <w:tcW w:w="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salaries,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Personnel costs are our largest expense, representing $24.2 million or 59.2% of our total operating expenses for the three months ended March 31, 2022, compared to $22.0 million or 61.1% of our total operating expenses for the three months ended March 31, 2021. The higher personnel costs for the three months ended March 31, 2022 is primarily due to increases in personnel-related expenses to support growth as well as an increase in incentive-based pay expense due to strong financial performance.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r>
      <w:tr>
        <w:trPr>
          <w:trHeight w:val="128"/>
        </w:trPr>
        <w:tc>
          <w:tcPr>
            <w:tcW w:w="3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4"/>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 xml:space="preserve">8.2 </w:t>
            </w:r>
            <w:r>
              <w:rPr>
                <w:rFonts w:ascii="Times New Roman" w:cs="Times New Roman" w:eastAsia="Times New Roman" w:hAnsi="Times New Roman"/>
                <w:sz w:val="16"/>
                <w:szCs w:val="16"/>
                <w:color w:val="auto"/>
              </w:rPr>
              <w:t>%</w:t>
            </w:r>
          </w:p>
        </w:tc>
      </w:tr>
      <w:tr>
        <w:trPr>
          <w:trHeight w:val="212"/>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8.3 %</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11.8 %</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R&amp;D budgets to fund programs that we expect will solve customers’ high value, high impact, ion implantation challenges.</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$17.0 million during the three months ended March 31, 2022, an increase of $1.3 million, or 8.2%, compared with $15.7 million during the three months ended March 31, 2021. The increase is primarily due to higher personnel expenses including an increase in incentive-based pay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40" w:type="dxa"/>
            <w:vAlign w:val="bottom"/>
            <w:gridSpan w:val="5"/>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4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r>
      <w:tr>
        <w:trPr>
          <w:trHeight w:val="128"/>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820" w:type="dxa"/>
            <w:vAlign w:val="bottom"/>
            <w:gridSpan w:val="2"/>
          </w:tcPr>
          <w:p>
            <w:pPr>
              <w:jc w:val="right"/>
              <w:ind w:right="226"/>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i w:val="1"/>
                <w:iCs w:val="1"/>
                <w:color w:val="auto"/>
              </w:rPr>
              <w:t xml:space="preserve">8.7 </w:t>
            </w:r>
            <w:r>
              <w:rPr>
                <w:rFonts w:ascii="Times New Roman" w:cs="Times New Roman" w:eastAsia="Times New Roman" w:hAnsi="Times New Roman"/>
                <w:sz w:val="16"/>
                <w:szCs w:val="16"/>
                <w:color w:val="auto"/>
              </w:rPr>
              <w:t>%</w:t>
            </w:r>
          </w:p>
        </w:tc>
      </w:tr>
      <w:tr>
        <w:trPr>
          <w:trHeight w:val="212"/>
        </w:trPr>
        <w:tc>
          <w:tcPr>
            <w:tcW w:w="44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5.5 %</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7.8 %</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$11.3 million during the three months ended March 31, 2022, an increase of $0.9 million, or 8.7%, compared with $10.4 million during the three months ended March 31, 2021. The increase is primarily due to higher personnel expenses including an increase in incentive-based pay expense and freight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6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4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2"/>
                <w:szCs w:val="12"/>
                <w:color w:val="auto"/>
              </w:rPr>
            </w:pPr>
          </w:p>
        </w:tc>
      </w:tr>
      <w:tr>
        <w:trPr>
          <w:trHeight w:val="128"/>
        </w:trPr>
        <w:tc>
          <w:tcPr>
            <w:tcW w:w="4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2,566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i w:val="1"/>
                <w:iCs w:val="1"/>
                <w:color w:val="auto"/>
              </w:rPr>
              <w:t xml:space="preserve">25.6 </w:t>
            </w:r>
            <w:r>
              <w:rPr>
                <w:rFonts w:ascii="Times New Roman" w:cs="Times New Roman" w:eastAsia="Times New Roman" w:hAnsi="Times New Roman"/>
                <w:sz w:val="16"/>
                <w:szCs w:val="16"/>
                <w:color w:val="auto"/>
              </w:rPr>
              <w:t>%</w:t>
            </w:r>
          </w:p>
        </w:tc>
      </w:tr>
      <w:tr>
        <w:trPr>
          <w:trHeight w:val="212"/>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6.2 %</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7.5 %</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pacing w:after="0" w:line="20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$12.6 million during the three months ended March 31, 2022, an increase of $2.6 million, or 25.6%, compared with $10.0 million during the three months ended March 31, 2021. The increase is primarily due to an increase personnel expenses and professional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5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0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spacing w:after="0"/>
              <w:rPr>
                <w:sz w:val="12"/>
                <w:szCs w:val="12"/>
                <w:color w:val="auto"/>
              </w:rPr>
            </w:pPr>
          </w:p>
        </w:tc>
      </w:tr>
      <w:tr>
        <w:trPr>
          <w:trHeight w:val="129"/>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(3,040)</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(2,149)</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(891)</w:t>
            </w:r>
          </w:p>
        </w:tc>
        <w:tc>
          <w:tcPr>
            <w:tcW w:w="3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 xml:space="preserve">41.5 </w:t>
            </w:r>
            <w:r>
              <w:rPr>
                <w:rFonts w:ascii="Times New Roman" w:cs="Times New Roman" w:eastAsia="Times New Roman" w:hAnsi="Times New Roman"/>
                <w:sz w:val="16"/>
                <w:szCs w:val="16"/>
                <w:color w:val="auto"/>
              </w:rPr>
              <w:t>%</w:t>
            </w:r>
          </w:p>
        </w:tc>
      </w:tr>
      <w:tr>
        <w:trPr>
          <w:trHeight w:val="237"/>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(1.5)%</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(1.7)%</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was $3.0 million for the three months ended March 31, 2022, compared with $2.1 million for the three months ended March 31, 2021. The increase in other expense was primarily due to an increase in foreign currency exchange losses.</w:t>
      </w:r>
    </w:p>
    <w:p>
      <w:pPr>
        <w:spacing w:after="0" w:line="9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 periods ended March 31, 2022 and 2021, we had no significant off-balance-sheet risk such as exchange contracts, option contracts or other hedging arrangements.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3"/>
        </w:trPr>
        <w:tc>
          <w:tcPr>
            <w:tcW w:w="4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29"/>
        </w:trPr>
        <w:tc>
          <w:tcPr>
            <w:tcW w:w="4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r>
      <w:tr>
        <w:trPr>
          <w:trHeight w:val="24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8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1,721</w:t>
            </w:r>
          </w:p>
        </w:tc>
        <w:tc>
          <w:tcPr>
            <w:tcW w:w="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2,548</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 xml:space="preserve">148.1 </w:t>
            </w:r>
            <w:r>
              <w:rPr>
                <w:rFonts w:ascii="Times New Roman" w:cs="Times New Roman" w:eastAsia="Times New Roman" w:hAnsi="Times New Roman"/>
                <w:sz w:val="16"/>
                <w:szCs w:val="16"/>
                <w:color w:val="auto"/>
              </w:rPr>
              <w:t>%</w:t>
            </w:r>
          </w:p>
        </w:tc>
      </w:tr>
      <w:tr>
        <w:trPr>
          <w:trHeight w:val="237"/>
        </w:trPr>
        <w:tc>
          <w:tcPr>
            <w:tcW w:w="400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0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was $4.3 million for the three months ended March 31, 2022, compared to $1.7 million for the three months ended March 31, 2021. The $2.6 million increase was primarily due to a $27.7 million increase in pretax income. During the three months ended March 31, 2022, an international tax audit commenced, and we have determined that it is not more likely than not that certain tax positions being examined by the tax authorities will be sustained. Therefore, we have recorded a liability of $0.7 million related to our estimated exposure as of March 31, 2022. We will assess this tax reserve in subsequent quarters until final settlement.</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2022 was less than the U.S. statutory rate of 21% due to forecasted Foreign Derived Intangible Income (FDII), Federal research and development tax credits and a favorable discrete item related to equity compensation that reduces the annual tax rate. The effective tax rate for the three months ended March 31, 2021 was less than the U.S. statutory rate of 21% due to favorable discrete items related to equity compensation in the period and Federal research and development tax credits that reduce the annual tax rate.</w:t>
      </w:r>
    </w:p>
    <w:p>
      <w:pPr>
        <w:spacing w:after="0" w:line="18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$36.2 million and $35.5 million as of March 31, 2022 and December 31, 2021, respectively, reflect the net tax effect of temporary differences between the carrying amount of assets and liabilities for financial reporting purposes and the amounts used for income tax purposes, as well as the tax effect of carryforwards. We have recorded a $8.6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had $297.1 million in unrestricted cash and cash equivalents at March 31, 2022, in addition to $0.8 million in restricted cash. Management believes that maintaining a strong cash balance is necessary to provide funding for ramps in our business which can require significant cash investment to meet sudden demand. Additionally, we are using cash in our stock repurchase program and are considering both organic and inorganic opportunities to drive future growth, for which cash resources will be necessary.</w:t>
      </w:r>
    </w:p>
    <w:p>
      <w:pPr>
        <w:spacing w:after="0" w:line="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Stock repurchases, as discussed below, also reduce our cash balances.</w:t>
      </w:r>
    </w:p>
    <w:p>
      <w:pPr>
        <w:spacing w:after="0" w:line="8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we generated $25.8 million and $15.1 million, respectively, of cash related to operating activities.</w:t>
      </w:r>
    </w:p>
    <w:p>
      <w:pPr>
        <w:spacing w:after="0" w:line="6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for the three months ended March 31, 2022 and 2021 resulted in cash outflows of $1.5 million and $1.3 million, respectively, used for capital expenditures.</w:t>
      </w:r>
    </w:p>
    <w:p>
      <w:pPr>
        <w:spacing w:after="0" w:line="6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Financing activities for the three months ended March 31, 2022 resulted in a cash usage of $23.1 million. During the first three months of 2022, $20.0 million in cash was used to repurchase our common stock and $3.3 million was used for payments to government tax authorities for income tax withholding on employee compensation arising from the vesting of RSUs, where units are withheld by the Company for taxes, as well as $0.2 million relating to the reduction of the liability under the finance lease of our corporate headquarters. These amounts were partially offset by $0.5 million of proceeds from the exercise of stock options during the first three months of 2022. In comparison, financing activities for the three months ended March 31, 2021 resulted in cash usage of $11.7 million, $11.6 million of which related to the repurchase of our common stock and $2.4 million related to payments made to government tax authorities for income tax withholding on employee compensation arising from the vesting of RSUs, as well as $0.2 million relating to the reduction of our financing lease liability. These amounts were partially offset by $2.5 million of proceeds related to the exercise of stock options during the first three months of 2021.</w:t>
      </w:r>
    </w:p>
    <w:p>
      <w:pPr>
        <w:spacing w:after="0" w:line="192"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March 31, 2022, we were in compliance with all covenant requirements of the Credit Agreement. As of such date, no borrowings had been made under the Credit Agreement, although a letter of credit for $5.9 million reduces the funds available for borrowing under the credit line. We have no immediate plans to borrow under the Credit Agreement, but we will use the facility for letters of credit, for ongoing working capital needs and to fund general corporate purposes, as desired. We entered into a First Amendment to the Credit Agreement with Silicon Valley Bank in March 2021 to (i) align the covenants with our stock repurchase program, and (ii) establish terms to transition from a Eurodollar based interest rate option to an interest rate benchmark using a secured overnight financing rate (known as “SOFR”) published by the Federal Reserve Bank of New York.</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cash equivalents and equity and debt financing capacity will be sufficient to satisfy our anticipated cash requirements for the short and long-term.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March 31, 2022 are consistent with those discussed in Item 7, “Management’s Discussion and Analysis of Financial Condition and Results of Operations,” and Note 16 to the consolidated financial statements in our Annual Report on Form 10-K for the fiscal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there have been no material changes to the quantitative information about market risk disclosed in Item 7A to our Annual Report on Form 10-K for the year ended December 31,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there have been no material changes to the risk factors described in Item 1A to our Annual Report on Form 10-K for the year ended December 31, 2021.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covering 2022 for up to $100 million of the Company's common stock.</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based upon settlement date, for the three months ended March 31, 2022 as well as the approximate dollar value of shares that may yet be purchased pursuant to our stock repurchase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8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 w:type="dxa"/>
            <w:vAlign w:val="bottom"/>
          </w:tcPr>
          <w:p>
            <w:pPr>
              <w:spacing w:after="0"/>
              <w:rPr>
                <w:sz w:val="12"/>
                <w:szCs w:val="12"/>
                <w:color w:val="auto"/>
              </w:rPr>
            </w:pPr>
          </w:p>
        </w:tc>
        <w:tc>
          <w:tcPr>
            <w:tcW w:w="18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 2022 through January 31, 2022</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February 1, 2022 through February 28, 2022</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1, 2022 through March 31, 2022</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28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$70.41</w:t>
            </w:r>
          </w:p>
        </w:tc>
        <w:tc>
          <w:tcPr>
            <w:tcW w:w="16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80,000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1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50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67"/>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940" w:type="dxa"/>
            <w:vAlign w:val="bottom"/>
            <w:tcBorders>
              <w:bottom w:val="single" w:sz="8" w:color="auto"/>
            </w:tcBorders>
            <w:gridSpan w:val="11"/>
          </w:tcPr>
          <w:p>
            <w:pPr>
              <w:ind w:left="3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6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6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Bylaws of the Company, as amended as of May 13, 2014. Incorporated by reference to Exhibit 3.2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Company’s Form 8-K filed with the Commission on May 19, 2014.</w:t>
              </w:r>
            </w:hyperlink>
          </w:p>
        </w:tc>
        <w:tc>
          <w:tcPr>
            <w:tcW w:w="268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dated May 5, 2022. Filed herewith.</w:t>
            </w:r>
          </w:p>
        </w:tc>
        <w:tc>
          <w:tcPr>
            <w:tcW w:w="3140" w:type="dxa"/>
            <w:vAlign w:val="bottom"/>
            <w:tcBorders>
              <w:top w:val="single" w:sz="8" w:color="0000EE"/>
            </w:tcBorders>
            <w:gridSpan w:val="7"/>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dated May 5, 2022. Filed herewith.</w:t>
            </w:r>
          </w:p>
        </w:tc>
        <w:tc>
          <w:tcPr>
            <w:tcW w:w="3540" w:type="dxa"/>
            <w:vAlign w:val="bottom"/>
            <w:gridSpan w:val="10"/>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May 5, 2022. Filed herewith.</w:t>
            </w:r>
          </w:p>
        </w:tc>
        <w:tc>
          <w:tcPr>
            <w:tcW w:w="480" w:type="dxa"/>
            <w:vAlign w:val="bottom"/>
            <w:gridSpan w:val="4"/>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5"/>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United States Code (Section 906 of the Sarbanes-Oxley Act), dated May 5, 2022. Filed herewith.</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right="120" w:hanging="858"/>
        <w:spacing w:after="0" w:line="261"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Form 10-Q for the quarter ended March 31, 2022, formatted in inline eXtensible Business Reporting Language (iXBRL): (i) Consolidated Statements of Operations,</w:t>
      </w:r>
    </w:p>
    <w:p>
      <w:pPr>
        <w:ind w:left="1180" w:right="1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 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1180" w:hanging="858"/>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May 5, 2022</w:t>
      </w:r>
      <w:r>
        <w:rPr>
          <w:sz w:val="20"/>
          <w:szCs w:val="20"/>
          <w:color w:val="auto"/>
        </w:rPr>
        <w:tab/>
      </w:r>
      <w:r>
        <w:rPr>
          <w:rFonts w:ascii="Times New Roman" w:cs="Times New Roman" w:eastAsia="Times New Roman" w:hAnsi="Times New Roman"/>
          <w:sz w:val="18"/>
          <w:szCs w:val="18"/>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Kevin J. Brewer</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28" w:name="page29"/>
    <w:bookmarkEnd w:id="2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Mary G. Puma, certify that:</w:t>
      </w:r>
    </w:p>
    <w:p>
      <w:pPr>
        <w:spacing w:after="0" w:line="225"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Mary G. Puma,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Kevin J. Brewer, certify that:</w:t>
      </w:r>
    </w:p>
    <w:p>
      <w:pPr>
        <w:spacing w:after="0" w:line="225" w:lineRule="exact"/>
        <w:rPr>
          <w:sz w:val="20"/>
          <w:szCs w:val="20"/>
          <w:color w:val="auto"/>
        </w:rPr>
      </w:pPr>
    </w:p>
    <w:p>
      <w:pPr>
        <w:ind w:left="540" w:hanging="49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11" w:lineRule="exact"/>
        <w:rPr>
          <w:rFonts w:ascii="Times New Roman" w:cs="Times New Roman" w:eastAsia="Times New Roman" w:hAnsi="Times New Roman"/>
          <w:sz w:val="18"/>
          <w:szCs w:val="18"/>
          <w:color w:val="auto"/>
        </w:rPr>
      </w:pPr>
    </w:p>
    <w:p>
      <w:pPr>
        <w:ind w:left="540" w:right="459" w:hanging="490"/>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60" w:right="159" w:hanging="495"/>
        <w:spacing w:after="0" w:line="266"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60" w:right="79" w:hanging="495"/>
        <w:spacing w:after="0" w:line="255"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J. Brewer,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0" w:name="page31"/>
    <w:bookmarkEnd w:id="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5, 2022.</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Mary G. Puma</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5, 2022.</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J. Brewer</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upp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01"/>
    </w:lvl>
  </w:abstractNum>
  <w:abstractNum w:abstractNumId="6">
    <w:nsid w:val="7545E146"/>
    <w:multiLevelType w:val="hybridMultilevel"/>
    <w:lvl w:ilvl="0">
      <w:lvlJc w:val="left"/>
      <w:lvlText w:val="%1"/>
      <w:numFmt w:val="decimal"/>
      <w:start w:val="104"/>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28" Type="http://schemas.openxmlformats.org/officeDocument/2006/relationships/hyperlink" Target="https://www.sec.gov/Archives/edgar/data/1113232/000155837022002096/0001558370-22-002096-index.htm" TargetMode="External"/><Relationship Id="rId38" Type="http://schemas.openxmlformats.org/officeDocument/2006/relationships/hyperlink" Target="http://www.sec.gov/Archives/edgar/data/1113232/000155837017008078/acls-20170930ex31a83feb6.htm" TargetMode="External"/><Relationship Id="rId39" Type="http://schemas.openxmlformats.org/officeDocument/2006/relationships/hyperlink" Target="http://www.sec.gov/Archives/edgar/data/1113232/000110465914040101/a14-8383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2022-05-05T13:10:39Z</dcterms:created>
  <dcterms:modified xsi:type="dcterms:W3CDTF">2022-05-05T13:10:39Z</dcterms:modified>
</cp:coreProperties>
</file>