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acls-20230331x10q.htm"/>
        <w:bookmarkStart w:id="1" w:name="ksacls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spacing w:lineRule="atLeast" w:line="141" w:before="0" w:after="0"/>
        <w:ind w:left="0" w:right="0" w:hanging="0"/>
        <w:rPr/>
      </w:pPr>
      <w:r>
        <w:rPr/>
        <w:t>​</w:t>
      </w:r>
    </w:p>
    <w:p>
      <w:pPr>
        <w:pStyle w:val="TextBody"/>
        <w:pBdr>
          <w:bottom w:val="single" w:sz="8" w:space="1" w:color="000000"/>
        </w:pBdr>
        <w:spacing w:lineRule="atLeast" w:line="141"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6"/>
        </w:rPr>
      </w:pPr>
      <w:bookmarkStart w:id="2" w:name="_eb326d29_2c61_44dc_ae67_756342ceebf1"/>
      <w:bookmarkEnd w:id="2"/>
      <w:r>
        <w:rPr>
          <w:rFonts w:ascii="Times New Roman;Times;serif" w:hAnsi="Times New Roman;Times;serif"/>
          <w:b/>
          <w:sz w:val="36"/>
        </w:rPr>
        <w:t>UNITED STATES</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(Mark One)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316"/>
        <w:gridCol w:w="9765"/>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9765" w:type="dxa"/>
            <w:tcBorders/>
            <w:shd w:fill="auto" w:val="clear"/>
            <w:vAlign w:val="center"/>
          </w:tcPr>
          <w:p>
            <w:pPr>
              <w:pStyle w:val="TableContents"/>
              <w:spacing w:before="0" w:after="0"/>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2023</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316"/>
        <w:gridCol w:w="9765"/>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0"/>
              <w:rPr/>
            </w:pPr>
            <w:r>
              <w:rPr/>
              <w:t>☐</w:t>
            </w:r>
          </w:p>
        </w:tc>
        <w:tc>
          <w:tcPr>
            <w:tcW w:w="9765" w:type="dxa"/>
            <w:tcBorders/>
            <w:shd w:fill="auto" w:val="clear"/>
            <w:vAlign w:val="center"/>
          </w:tcPr>
          <w:p>
            <w:pPr>
              <w:pStyle w:val="TableContents"/>
              <w:spacing w:before="0" w:after="0"/>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000-30941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AXCELIS TECHNOLOGIES,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spacing w:before="0" w:after="0"/>
        <w:ind w:left="0" w:right="0" w:hanging="0"/>
        <w:rPr/>
      </w:pPr>
      <w:r>
        <w:rPr/>
        <w:t>​</w:t>
      </w:r>
    </w:p>
    <w:p>
      <w:pPr>
        <w:pStyle w:val="Normal"/>
        <w:spacing w:before="0" w:after="0"/>
        <w:rPr>
          <w:sz w:val="4"/>
          <w:szCs w:val="4"/>
        </w:rPr>
      </w:pPr>
      <w:r>
        <w:rPr>
          <w:sz w:val="4"/>
          <w:szCs w:val="4"/>
        </w:rPr>
      </w:r>
      <w:bookmarkStart w:id="3" w:name="Tc_Fqye6DEY_EuxQeBwJW-Vaw_2_2"/>
      <w:bookmarkStart w:id="4" w:name="Tc_0tr_QlJptEuX6uPc9kIqow_2_0"/>
      <w:bookmarkStart w:id="5" w:name="_d70cb385_ad51_4cf3_a08a_6d5db2fa6924"/>
      <w:bookmarkStart w:id="6" w:name="Tc_Fqye6DEY_EuxQeBwJW-Vaw_2_2"/>
      <w:bookmarkStart w:id="7" w:name="Tc_0tr_QlJptEuX6uPc9kIqow_2_0"/>
      <w:bookmarkStart w:id="8" w:name="_d70cb385_ad51_4cf3_a08a_6d5db2fa6924"/>
      <w:bookmarkEnd w:id="6"/>
      <w:bookmarkEnd w:id="7"/>
      <w:bookmarkEnd w:id="8"/>
    </w:p>
    <w:tbl>
      <w:tblPr>
        <w:tblW w:w="4341" w:type="dxa"/>
        <w:jc w:val="left"/>
        <w:tblInd w:w="0" w:type="dxa"/>
        <w:tblCellMar>
          <w:top w:w="0" w:type="dxa"/>
          <w:left w:w="0" w:type="dxa"/>
          <w:bottom w:w="0" w:type="dxa"/>
          <w:right w:w="0" w:type="dxa"/>
        </w:tblCellMar>
      </w:tblPr>
      <w:tblGrid>
        <w:gridCol w:w="2581"/>
        <w:gridCol w:w="109"/>
        <w:gridCol w:w="1651"/>
      </w:tblGrid>
      <w:tr>
        <w:trPr/>
        <w:tc>
          <w:tcPr>
            <w:tcW w:w="258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1651" w:type="dxa"/>
            <w:tcBorders/>
            <w:shd w:fill="auto" w:val="clear"/>
            <w:vAlign w:val="center"/>
          </w:tcPr>
          <w:p>
            <w:pPr>
              <w:pStyle w:val="TableContents"/>
              <w:spacing w:before="0" w:after="283"/>
              <w:ind w:left="0" w:right="0" w:hanging="0"/>
              <w:rPr>
                <w:sz w:val="4"/>
                <w:szCs w:val="4"/>
              </w:rPr>
            </w:pPr>
            <w:r>
              <w:rPr>
                <w:sz w:val="4"/>
                <w:szCs w:val="4"/>
              </w:rPr>
            </w:r>
          </w:p>
        </w:tc>
      </w:tr>
      <w:tr>
        <w:trPr/>
        <w:tc>
          <w:tcPr>
            <w:tcW w:w="2581" w:type="dxa"/>
            <w:tcBorders/>
            <w:shd w:fill="auto" w:val="clear"/>
            <w:vAlign w:val="center"/>
          </w:tcPr>
          <w:p>
            <w:pPr>
              <w:pStyle w:val="TableContents"/>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shd w:fill="auto" w:val="clear"/>
            <w:vAlign w:val="center"/>
          </w:tcPr>
          <w:p>
            <w:pPr>
              <w:pStyle w:val="TableContents"/>
              <w:spacing w:lineRule="auto" w:line="328" w:before="0" w:after="0"/>
              <w:ind w:left="0" w:right="0" w:hanging="0"/>
              <w:rPr/>
            </w:pPr>
            <w:r>
              <w:rPr/>
              <w:t>​</w:t>
            </w:r>
          </w:p>
        </w:tc>
        <w:tc>
          <w:tcPr>
            <w:tcW w:w="1651" w:type="dxa"/>
            <w:tcBorders/>
            <w:shd w:fill="auto" w:val="clear"/>
            <w:vAlign w:val="center"/>
          </w:tcPr>
          <w:p>
            <w:pPr>
              <w:pStyle w:val="TableContents"/>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34-1818596</w:t>
            </w:r>
          </w:p>
        </w:tc>
      </w:tr>
      <w:tr>
        <w:trPr/>
        <w:tc>
          <w:tcPr>
            <w:tcW w:w="2581" w:type="dxa"/>
            <w:tcBorders/>
            <w:shd w:fill="auto" w:val="clear"/>
            <w:vAlign w:val="center"/>
          </w:tcPr>
          <w:p>
            <w:pPr>
              <w:pStyle w:val="TableContents"/>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09" w:type="dxa"/>
            <w:tcBorders/>
            <w:shd w:fill="auto" w:val="clear"/>
            <w:vAlign w:val="center"/>
          </w:tcPr>
          <w:p>
            <w:pPr>
              <w:pStyle w:val="TableContents"/>
              <w:spacing w:lineRule="auto" w:line="328" w:before="0" w:after="0"/>
              <w:ind w:left="0" w:right="0" w:hanging="0"/>
              <w:rPr/>
            </w:pPr>
            <w:r>
              <w:rPr/>
              <w:t>​</w:t>
            </w:r>
          </w:p>
        </w:tc>
        <w:tc>
          <w:tcPr>
            <w:tcW w:w="1651" w:type="dxa"/>
            <w:tcBorders/>
            <w:shd w:fill="auto" w:val="clear"/>
            <w:vAlign w:val="center"/>
          </w:tcPr>
          <w:p>
            <w:pPr>
              <w:pStyle w:val="TableContents"/>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108 Cherry Hill Drive</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0"/>
        </w:rPr>
        <w:t>Beverly, Massachusetts</w:t>
      </w:r>
      <w:r>
        <w:rPr>
          <w:rFonts w:ascii="Times New Roman;Times;serif" w:hAnsi="Times New Roman;Times;serif"/>
          <w:sz w:val="20"/>
        </w:rPr>
        <w:t xml:space="preserve"> </w:t>
      </w:r>
      <w:r>
        <w:rPr>
          <w:rFonts w:ascii="Times New Roman;Times;serif" w:hAnsi="Times New Roman;Times;serif"/>
          <w:b/>
          <w:sz w:val="20"/>
        </w:rPr>
        <w:t>01915</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(978) 787-4000</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spacing w:before="0" w:after="0"/>
        <w:ind w:left="0" w:right="0" w:hanging="0"/>
        <w:jc w:val="center"/>
        <w:rPr/>
      </w:pPr>
      <w:r>
        <w:rPr/>
        <w:t>​</w:t>
      </w:r>
    </w:p>
    <w:p>
      <w:pPr>
        <w:pStyle w:val="TextBody"/>
        <w:spacing w:before="0" w:after="0"/>
        <w:ind w:left="0" w:right="0" w:firstLine="259"/>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spacing w:before="0" w:after="0"/>
        <w:ind w:left="0" w:right="0" w:firstLine="259"/>
        <w:rPr/>
      </w:pPr>
      <w:r>
        <w:rPr/>
        <w:t>​</w:t>
      </w:r>
    </w:p>
    <w:p>
      <w:pPr>
        <w:pStyle w:val="Normal"/>
        <w:spacing w:before="0" w:after="0"/>
        <w:rPr>
          <w:sz w:val="4"/>
          <w:szCs w:val="4"/>
        </w:rPr>
      </w:pPr>
      <w:r>
        <w:rPr>
          <w:sz w:val="4"/>
          <w:szCs w:val="4"/>
        </w:rPr>
      </w:r>
      <w:bookmarkStart w:id="9" w:name="Tc_9p4m4xQODUaCNn8tbY-5MA_1_2"/>
      <w:bookmarkStart w:id="10" w:name="Tc__rD-ZMI0CkGfdfciOBwaJQ_1_1"/>
      <w:bookmarkStart w:id="11" w:name="Tc_todfS53TlUeIKp365cquag_1_0"/>
      <w:bookmarkStart w:id="12" w:name="_781a6ff4_b703_481c_90d3_73b1d7fb8e5f"/>
      <w:bookmarkStart w:id="13" w:name="Tc_9p4m4xQODUaCNn8tbY-5MA_1_2"/>
      <w:bookmarkStart w:id="14" w:name="Tc__rD-ZMI0CkGfdfciOBwaJQ_1_1"/>
      <w:bookmarkStart w:id="15" w:name="Tc_todfS53TlUeIKp365cquag_1_0"/>
      <w:bookmarkStart w:id="16" w:name="_781a6ff4_b703_481c_90d3_73b1d7fb8e5f"/>
      <w:bookmarkEnd w:id="13"/>
      <w:bookmarkEnd w:id="14"/>
      <w:bookmarkEnd w:id="15"/>
      <w:bookmarkEnd w:id="16"/>
    </w:p>
    <w:tbl>
      <w:tblPr>
        <w:tblW w:w="7938" w:type="dxa"/>
        <w:jc w:val="left"/>
        <w:tblInd w:w="0" w:type="dxa"/>
        <w:tblCellMar>
          <w:top w:w="0" w:type="dxa"/>
          <w:left w:w="0" w:type="dxa"/>
          <w:bottom w:w="0" w:type="dxa"/>
          <w:right w:w="0" w:type="dxa"/>
        </w:tblCellMar>
      </w:tblPr>
      <w:tblGrid>
        <w:gridCol w:w="2836"/>
        <w:gridCol w:w="1396"/>
        <w:gridCol w:w="3706"/>
      </w:tblGrid>
      <w:tr>
        <w:trPr/>
        <w:tc>
          <w:tcPr>
            <w:tcW w:w="283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rPr/>
            </w:pPr>
            <w:r>
              <w:rPr/>
              <w:t>​</w:t>
            </w:r>
          </w:p>
        </w:tc>
        <w:tc>
          <w:tcPr>
            <w:tcW w:w="3706" w:type="dxa"/>
            <w:tcBorders/>
            <w:shd w:fill="auto" w:val="clear"/>
            <w:vAlign w:val="center"/>
          </w:tcPr>
          <w:p>
            <w:pPr>
              <w:pStyle w:val="TableContents"/>
              <w:spacing w:before="0" w:after="0"/>
              <w:ind w:left="0" w:right="0" w:hanging="0"/>
              <w:rPr/>
            </w:pPr>
            <w:r>
              <w:rPr/>
              <w:t>​</w:t>
            </w:r>
          </w:p>
        </w:tc>
      </w:tr>
      <w:tr>
        <w:trPr/>
        <w:tc>
          <w:tcPr>
            <w:tcW w:w="283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39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70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3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w:t>
            </w:r>
          </w:p>
        </w:tc>
        <w:tc>
          <w:tcPr>
            <w:tcW w:w="139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ACLS</w:t>
            </w:r>
          </w:p>
        </w:tc>
        <w:tc>
          <w:tcPr>
            <w:tcW w:w="3706"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spacing w:before="0" w:after="0"/>
        <w:ind w:left="0" w:right="0" w:firstLine="264"/>
        <w:rPr/>
      </w:pPr>
      <w:r>
        <w:rPr/>
        <w:t>​</w:t>
      </w:r>
    </w:p>
    <w:p>
      <w:pPr>
        <w:pStyle w:val="TextBody"/>
        <w:spacing w:before="0" w:after="0"/>
        <w:ind w:left="0" w:right="0" w:firstLine="264"/>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pPr>
      <w:r>
        <w:rPr/>
        <w:t>​</w:t>
      </w:r>
    </w:p>
    <w:p>
      <w:pPr>
        <w:pStyle w:val="TextBody"/>
        <w:spacing w:before="0" w:after="0"/>
        <w:ind w:left="0" w:right="0" w:firstLine="264"/>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spacing w:before="0" w:after="0"/>
        <w:ind w:left="0" w:right="0" w:hanging="0"/>
        <w:rPr/>
      </w:pPr>
      <w:r>
        <w:rPr/>
        <w:t>​</w:t>
      </w:r>
    </w:p>
    <w:p>
      <w:pPr>
        <w:pStyle w:val="TextBody"/>
        <w:spacing w:before="0" w:after="0"/>
        <w:ind w:left="0" w:right="0" w:firstLine="264"/>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pPr>
      <w:r>
        <w:rPr/>
        <w:t>​</w:t>
      </w:r>
    </w:p>
    <w:tbl>
      <w:tblPr>
        <w:tblW w:w="4881" w:type="dxa"/>
        <w:jc w:val="left"/>
        <w:tblInd w:w="0" w:type="dxa"/>
        <w:tblCellMar>
          <w:top w:w="0" w:type="dxa"/>
          <w:left w:w="0" w:type="dxa"/>
          <w:bottom w:w="0" w:type="dxa"/>
          <w:right w:w="0" w:type="dxa"/>
        </w:tblCellMar>
      </w:tblPr>
      <w:tblGrid>
        <w:gridCol w:w="2146"/>
        <w:gridCol w:w="109"/>
        <w:gridCol w:w="2626"/>
      </w:tblGrid>
      <w:tr>
        <w:trPr/>
        <w:tc>
          <w:tcPr>
            <w:tcW w:w="2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2626" w:type="dxa"/>
            <w:tcBorders/>
            <w:shd w:fill="auto" w:val="clear"/>
            <w:vAlign w:val="center"/>
          </w:tcPr>
          <w:p>
            <w:pPr>
              <w:pStyle w:val="TableContents"/>
              <w:spacing w:before="0" w:after="283"/>
              <w:ind w:left="0" w:right="0" w:hanging="0"/>
              <w:rPr>
                <w:sz w:val="4"/>
                <w:szCs w:val="4"/>
              </w:rPr>
            </w:pPr>
            <w:r>
              <w:rPr>
                <w:sz w:val="4"/>
                <w:szCs w:val="4"/>
              </w:rPr>
            </w:r>
          </w:p>
        </w:tc>
      </w:tr>
      <w:tr>
        <w:trPr/>
        <w:tc>
          <w:tcPr>
            <w:tcW w:w="21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2626" w:type="dxa"/>
            <w:tcBorders/>
            <w:shd w:fill="auto" w:val="clear"/>
            <w:vAlign w:val="center"/>
          </w:tcPr>
          <w:p>
            <w:pPr>
              <w:pStyle w:val="TableContents"/>
              <w:spacing w:before="0" w:after="283"/>
              <w:ind w:left="0" w:right="0" w:hanging="0"/>
              <w:rPr>
                <w:sz w:val="4"/>
                <w:szCs w:val="4"/>
              </w:rPr>
            </w:pPr>
            <w:r>
              <w:rPr>
                <w:sz w:val="4"/>
                <w:szCs w:val="4"/>
              </w:rPr>
            </w:r>
          </w:p>
        </w:tc>
      </w:tr>
      <w:tr>
        <w:trPr/>
        <w:tc>
          <w:tcPr>
            <w:tcW w:w="214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09" w:type="dxa"/>
            <w:tcBorders/>
            <w:shd w:fill="auto" w:val="clear"/>
            <w:vAlign w:val="center"/>
          </w:tcPr>
          <w:p>
            <w:pPr>
              <w:pStyle w:val="TableContents"/>
              <w:spacing w:before="0" w:after="0"/>
              <w:ind w:left="0" w:right="0" w:hanging="0"/>
              <w:rPr/>
            </w:pPr>
            <w:r>
              <w:rPr/>
              <w:t>​</w:t>
            </w:r>
          </w:p>
        </w:tc>
        <w:tc>
          <w:tcPr>
            <w:tcW w:w="26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109" w:type="dxa"/>
            <w:tcBorders/>
            <w:shd w:fill="auto" w:val="clear"/>
            <w:vAlign w:val="center"/>
          </w:tcPr>
          <w:p>
            <w:pPr>
              <w:pStyle w:val="TableContents"/>
              <w:spacing w:before="0" w:after="0"/>
              <w:ind w:left="0" w:right="0" w:hanging="0"/>
              <w:rPr/>
            </w:pPr>
            <w:r>
              <w:rPr/>
              <w:t>​</w:t>
            </w:r>
          </w:p>
        </w:tc>
        <w:tc>
          <w:tcPr>
            <w:tcW w:w="26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6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spacing w:before="0" w:after="0"/>
        <w:ind w:left="0" w:right="0" w:hanging="0"/>
        <w:rPr/>
      </w:pPr>
      <w:r>
        <w:rPr/>
        <w:t>​</w:t>
      </w:r>
    </w:p>
    <w:p>
      <w:pPr>
        <w:pStyle w:val="TextBody"/>
        <w:spacing w:before="0" w:after="0"/>
        <w:ind w:left="0" w:right="0" w:firstLine="259"/>
        <w:rPr>
          <w:rFonts w:ascii="Times New Roman;Times;serif" w:hAnsi="Times New Roman;Times;serif"/>
          <w:sz w:val="20"/>
        </w:rPr>
      </w:pPr>
      <w:r>
        <w:rPr>
          <w:rFonts w:ascii="Times New Roman;Times;serif" w:hAnsi="Times New Roman;Times;serif"/>
          <w:sz w:val="20"/>
        </w:rPr>
        <w:t>If an emerging growth company, indicate by check mark if registrant has elected not to use the extended transition period for complying with any new or revised financial accounting standards provided pursuant to Section 13(a) of the Exchange Act. ☐</w:t>
      </w:r>
    </w:p>
    <w:p>
      <w:pPr>
        <w:pStyle w:val="TextBody"/>
        <w:spacing w:before="0" w:after="0"/>
        <w:ind w:left="0" w:right="0" w:firstLine="259"/>
        <w:rPr/>
      </w:pPr>
      <w:r>
        <w:rPr/>
        <w:t>​</w:t>
      </w:r>
    </w:p>
    <w:p>
      <w:pPr>
        <w:pStyle w:val="TextBody"/>
        <w:spacing w:before="0" w:after="0"/>
        <w:ind w:left="0" w:right="0" w:firstLine="259"/>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spacing w:before="0" w:after="0"/>
        <w:ind w:left="0" w:right="0" w:hanging="0"/>
        <w:rPr/>
      </w:pPr>
      <w:r>
        <w:rPr/>
        <w:t>​</w:t>
      </w:r>
    </w:p>
    <w:p>
      <w:pPr>
        <w:pStyle w:val="TextBody"/>
        <w:spacing w:before="0" w:after="0"/>
        <w:ind w:left="0" w:right="0" w:firstLine="264"/>
        <w:rPr>
          <w:rFonts w:ascii="Times New Roman;Times;serif" w:hAnsi="Times New Roman;Times;serif"/>
          <w:sz w:val="20"/>
        </w:rPr>
      </w:pPr>
      <w:r>
        <w:rPr>
          <w:rFonts w:ascii="Times New Roman;Times;serif" w:hAnsi="Times New Roman;Times;serif"/>
          <w:sz w:val="20"/>
        </w:rPr>
        <w:t>As of May 1, 2023, there were 32,711,130 shares of the registrant’s common stock outstanding.</w:t>
      </w:r>
    </w:p>
    <w:p>
      <w:pPr>
        <w:pStyle w:val="TextBody"/>
        <w:pBdr>
          <w:top w:val="single" w:sz="8" w:space="1" w:color="000000"/>
          <w:bottom w:val="single" w:sz="24" w:space="1" w:color="000000"/>
        </w:pBdr>
        <w:spacing w:lineRule="atLeast" w:line="141"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7" w:name="Toc"/>
      <w:bookmarkStart w:id="18" w:name="_3c82e59c_0c5c_486f_8ad7_f0775b6595d6"/>
      <w:bookmarkEnd w:id="17"/>
      <w:bookmarkEnd w:id="18"/>
      <w:r>
        <w:rPr>
          <w:rFonts w:ascii="Times New Roman;Times;serif" w:hAnsi="Times New Roman;Times;serif"/>
          <w:b/>
          <w:sz w:val="20"/>
        </w:rPr>
        <w:t>Table of Contents</w:t>
      </w:r>
    </w:p>
    <w:p>
      <w:pPr>
        <w:pStyle w:val="TextBody"/>
        <w:spacing w:before="0" w:after="0"/>
        <w:ind w:left="0" w:right="0" w:hanging="0"/>
        <w:rPr/>
      </w:pPr>
      <w:r>
        <w:rPr/>
        <w:t>​</w:t>
      </w:r>
    </w:p>
    <w:tbl>
      <w:tblPr>
        <w:tblW w:w="9858" w:type="dxa"/>
        <w:jc w:val="left"/>
        <w:tblInd w:w="0" w:type="dxa"/>
        <w:tblCellMar>
          <w:top w:w="0" w:type="dxa"/>
          <w:left w:w="0" w:type="dxa"/>
          <w:bottom w:w="0" w:type="dxa"/>
          <w:right w:w="0" w:type="dxa"/>
        </w:tblCellMar>
      </w:tblPr>
      <w:tblGrid>
        <w:gridCol w:w="841"/>
        <w:gridCol w:w="8656"/>
        <w:gridCol w:w="361"/>
      </w:tblGrid>
      <w:tr>
        <w:trPr/>
        <w:tc>
          <w:tcPr>
            <w:tcW w:w="841" w:type="dxa"/>
            <w:tcBorders/>
            <w:shd w:fill="auto" w:val="clear"/>
            <w:vAlign w:val="center"/>
          </w:tcPr>
          <w:p>
            <w:pPr>
              <w:pStyle w:val="TableContents"/>
              <w:spacing w:before="0" w:after="283"/>
              <w:ind w:left="0" w:right="0" w:hanging="0"/>
              <w:rPr>
                <w:sz w:val="4"/>
                <w:szCs w:val="4"/>
              </w:rPr>
            </w:pPr>
            <w:r>
              <w:rPr>
                <w:sz w:val="4"/>
                <w:szCs w:val="4"/>
              </w:rPr>
            </w:r>
          </w:p>
        </w:tc>
        <w:tc>
          <w:tcPr>
            <w:tcW w:w="865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9235" cy="175260"/>
                      <wp:effectExtent l="0" t="0" r="0" b="0"/>
                      <wp:wrapNone/>
                      <wp:docPr id="1" name="Frame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497" w:type="dxa"/>
            <w:gridSpan w:val="2"/>
            <w:tcBorders/>
            <w:shd w:fill="auto" w:val="clear"/>
            <w:vAlign w:val="center"/>
          </w:tcPr>
          <w:p>
            <w:pPr>
              <w:pStyle w:val="TableContents"/>
              <w:pBdr/>
              <w:spacing w:lineRule="auto" w:line="328" w:before="0" w:after="0"/>
              <w:ind w:left="0" w:right="0" w:hanging="0"/>
              <w:rPr/>
            </w:pPr>
            <w:hyperlink w:anchor="PART1FINANCIALINFORMATION_304973">
              <w:r>
                <w:rPr>
                  <w:rStyle w:val="InternetLink"/>
                  <w:rFonts w:ascii="Times New Roman;Times;serif" w:hAnsi="Times New Roman;Times;serif"/>
                  <w:b/>
                  <w:i w:val="false"/>
                  <w:caps w:val="false"/>
                  <w:smallCaps w:val="false"/>
                  <w:sz w:val="20"/>
                </w:rPr>
                <w:t>PART I - FINANCIAL INFORMATION</w:t>
              </w:r>
            </w:hyperlink>
          </w:p>
        </w:tc>
        <w:tc>
          <w:tcPr>
            <w:tcW w:w="361" w:type="dxa"/>
            <w:tcBorders/>
            <w:shd w:fill="auto" w:val="clear"/>
            <w:vAlign w:val="center"/>
          </w:tcPr>
          <w:p>
            <w:pPr>
              <w:pStyle w:val="TableContents"/>
              <w:spacing w:lineRule="auto" w:line="328" w:before="0" w:after="0"/>
              <w:ind w:left="0" w:right="0" w:hanging="0"/>
              <w:jc w:val="right"/>
              <w:rPr/>
            </w:pPr>
            <w:r>
              <w:rPr/>
              <w:t>​</w:t>
            </w:r>
          </w:p>
        </w:tc>
      </w:tr>
      <w:tr>
        <w:trPr/>
        <w:tc>
          <w:tcPr>
            <w:tcW w:w="841" w:type="dxa"/>
            <w:tcBorders/>
            <w:shd w:fill="auto" w:val="clear"/>
            <w:vAlign w:val="center"/>
          </w:tcPr>
          <w:p>
            <w:pPr>
              <w:pStyle w:val="TableContents"/>
              <w:spacing w:lineRule="auto" w:line="328" w:before="0" w:after="0"/>
              <w:ind w:left="0" w:right="0" w:hanging="0"/>
              <w:rPr/>
            </w:pPr>
            <w:hyperlink w:anchor="Item1FinancialStatements_869987">
              <w:r>
                <w:rPr>
                  <w:rStyle w:val="InternetLink"/>
                  <w:rFonts w:ascii="Times New Roman;Times;serif" w:hAnsi="Times New Roman;Times;serif"/>
                  <w:b/>
                  <w:i w:val="false"/>
                  <w:caps w:val="false"/>
                  <w:smallCaps w:val="false"/>
                  <w:sz w:val="20"/>
                </w:rPr>
                <w:t>Item 1.</w:t>
              </w:r>
            </w:hyperlink>
          </w:p>
        </w:tc>
        <w:tc>
          <w:tcPr>
            <w:tcW w:w="8656" w:type="dxa"/>
            <w:tcBorders/>
            <w:shd w:fill="auto" w:val="clear"/>
            <w:vAlign w:val="center"/>
          </w:tcPr>
          <w:p>
            <w:pPr>
              <w:pStyle w:val="TableContents"/>
              <w:spacing w:lineRule="auto" w:line="328" w:before="0" w:after="0"/>
              <w:ind w:left="0" w:right="0" w:hanging="0"/>
              <w:rPr/>
            </w:pPr>
            <w:hyperlink w:anchor="Item1FinancialStatements_869987">
              <w:r>
                <w:rPr>
                  <w:rStyle w:val="InternetLink"/>
                  <w:rFonts w:ascii="Times New Roman;Times;serif" w:hAnsi="Times New Roman;Times;serif"/>
                  <w:b/>
                  <w:i w:val="false"/>
                  <w:caps w:val="false"/>
                  <w:smallCaps w:val="false"/>
                  <w:sz w:val="20"/>
                </w:rPr>
                <w:t>Financial Statements (Unaudited)</w:t>
              </w:r>
            </w:hyperlink>
          </w:p>
        </w:tc>
        <w:tc>
          <w:tcPr>
            <w:tcW w:w="361" w:type="dxa"/>
            <w:tcBorders/>
            <w:shd w:fill="auto" w:val="clear"/>
            <w:vAlign w:val="center"/>
          </w:tcPr>
          <w:p>
            <w:pPr>
              <w:pStyle w:val="TableContents"/>
              <w:spacing w:lineRule="auto" w:line="328" w:before="0" w:after="0"/>
              <w:ind w:left="0" w:right="0" w:hanging="0"/>
              <w:jc w:val="right"/>
              <w:rPr/>
            </w:pPr>
            <w:r>
              <w:rPr/>
              <w:t>​</w:t>
            </w:r>
          </w:p>
        </w:tc>
      </w:tr>
      <w:tr>
        <w:trPr/>
        <w:tc>
          <w:tcPr>
            <w:tcW w:w="841" w:type="dxa"/>
            <w:tcBorders/>
            <w:shd w:fill="auto" w:val="clear"/>
            <w:vAlign w:val="center"/>
          </w:tcPr>
          <w:p>
            <w:pPr>
              <w:pStyle w:val="TableContents"/>
              <w:spacing w:lineRule="auto" w:line="328" w:before="0" w:after="0"/>
              <w:ind w:left="0" w:right="0" w:hanging="0"/>
              <w:rPr/>
            </w:pPr>
            <w:r>
              <w:rPr/>
              <w:t>​</w:t>
            </w:r>
          </w:p>
        </w:tc>
        <w:tc>
          <w:tcPr>
            <w:tcW w:w="8656" w:type="dxa"/>
            <w:tcBorders/>
            <w:shd w:fill="auto" w:val="clear"/>
            <w:vAlign w:val="center"/>
          </w:tcPr>
          <w:p>
            <w:pPr>
              <w:pStyle w:val="TableContents"/>
              <w:spacing w:lineRule="auto" w:line="328" w:before="0" w:after="0"/>
              <w:ind w:left="0" w:right="0" w:hanging="0"/>
              <w:rPr/>
            </w:pPr>
            <w:hyperlink w:anchor="ConsolidatedStatementsofOperations_8900">
              <w:r>
                <w:rPr>
                  <w:rStyle w:val="InternetLink"/>
                  <w:rFonts w:ascii="Times New Roman;Times;serif" w:hAnsi="Times New Roman;Times;serif"/>
                  <w:b w:val="false"/>
                  <w:i w:val="false"/>
                  <w:caps w:val="false"/>
                  <w:smallCaps w:val="false"/>
                  <w:sz w:val="20"/>
                </w:rPr>
                <w:t>Consolidated Statements of Operations for the three months ended March 31, 2023 and 2022</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41" w:type="dxa"/>
            <w:tcBorders/>
            <w:shd w:fill="auto" w:val="clear"/>
            <w:vAlign w:val="center"/>
          </w:tcPr>
          <w:p>
            <w:pPr>
              <w:pStyle w:val="TableContents"/>
              <w:spacing w:lineRule="auto" w:line="328" w:before="0" w:after="0"/>
              <w:ind w:left="0" w:right="0" w:hanging="0"/>
              <w:rPr/>
            </w:pPr>
            <w:r>
              <w:rPr/>
              <w:t>​</w:t>
            </w:r>
          </w:p>
        </w:tc>
        <w:tc>
          <w:tcPr>
            <w:tcW w:w="8656" w:type="dxa"/>
            <w:tcBorders/>
            <w:shd w:fill="auto" w:val="clear"/>
            <w:vAlign w:val="center"/>
          </w:tcPr>
          <w:p>
            <w:pPr>
              <w:pStyle w:val="TableContents"/>
              <w:spacing w:lineRule="auto" w:line="328" w:before="0" w:after="0"/>
              <w:ind w:left="0" w:right="0" w:hanging="0"/>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for the three months ended March 31, 2023 and 2022</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41" w:type="dxa"/>
            <w:tcBorders/>
            <w:shd w:fill="auto" w:val="clear"/>
            <w:vAlign w:val="center"/>
          </w:tcPr>
          <w:p>
            <w:pPr>
              <w:pStyle w:val="TableContents"/>
              <w:spacing w:lineRule="auto" w:line="328" w:before="0" w:after="0"/>
              <w:ind w:left="0" w:right="0" w:hanging="0"/>
              <w:rPr/>
            </w:pPr>
            <w:r>
              <w:rPr/>
              <w:t>​</w:t>
            </w:r>
          </w:p>
        </w:tc>
        <w:tc>
          <w:tcPr>
            <w:tcW w:w="8656" w:type="dxa"/>
            <w:tcBorders/>
            <w:shd w:fill="auto" w:val="clear"/>
            <w:vAlign w:val="center"/>
          </w:tcPr>
          <w:p>
            <w:pPr>
              <w:pStyle w:val="TableContents"/>
              <w:spacing w:lineRule="auto" w:line="328" w:before="0" w:after="0"/>
              <w:ind w:left="0" w:right="0" w:hanging="0"/>
              <w:rPr/>
            </w:pPr>
            <w:hyperlink w:anchor="ConsolidatedBalanceSheets_859153">
              <w:r>
                <w:rPr>
                  <w:rStyle w:val="InternetLink"/>
                  <w:rFonts w:ascii="Times New Roman;Times;serif" w:hAnsi="Times New Roman;Times;serif"/>
                  <w:b w:val="false"/>
                  <w:i w:val="false"/>
                  <w:caps w:val="false"/>
                  <w:smallCaps w:val="false"/>
                  <w:sz w:val="20"/>
                </w:rPr>
                <w:t>Consolidated Balance Sheets as of March 31, 2023 and December 31, 2022</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41" w:type="dxa"/>
            <w:tcBorders/>
            <w:shd w:fill="auto" w:val="clear"/>
            <w:vAlign w:val="center"/>
          </w:tcPr>
          <w:p>
            <w:pPr>
              <w:pStyle w:val="TableContents"/>
              <w:spacing w:lineRule="auto" w:line="328" w:before="0" w:after="0"/>
              <w:ind w:left="0" w:right="0" w:hanging="0"/>
              <w:rPr/>
            </w:pPr>
            <w:r>
              <w:rPr/>
              <w:t>​</w:t>
            </w:r>
          </w:p>
        </w:tc>
        <w:tc>
          <w:tcPr>
            <w:tcW w:w="8656" w:type="dxa"/>
            <w:tcBorders/>
            <w:shd w:fill="auto" w:val="clear"/>
            <w:vAlign w:val="center"/>
          </w:tcPr>
          <w:p>
            <w:pPr>
              <w:pStyle w:val="TableContents"/>
              <w:spacing w:lineRule="auto" w:line="328" w:before="0" w:after="0"/>
              <w:ind w:left="0" w:right="0" w:hanging="0"/>
              <w:rPr/>
            </w:pPr>
            <w:hyperlink w:anchor="ConsolidatedStatementEquity">
              <w:r>
                <w:rPr>
                  <w:rStyle w:val="InternetLink"/>
                  <w:rFonts w:ascii="Times New Roman;Times;serif" w:hAnsi="Times New Roman;Times;serif"/>
                  <w:b w:val="false"/>
                  <w:i w:val="false"/>
                  <w:caps w:val="false"/>
                  <w:smallCaps w:val="false"/>
                  <w:sz w:val="20"/>
                </w:rPr>
                <w:t>Consolidated Statements of Stockholders’ Equity for the three months ended March 31, 2023 and 2022</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41" w:type="dxa"/>
            <w:tcBorders/>
            <w:shd w:fill="auto" w:val="clear"/>
            <w:vAlign w:val="center"/>
          </w:tcPr>
          <w:p>
            <w:pPr>
              <w:pStyle w:val="TableContents"/>
              <w:spacing w:lineRule="auto" w:line="328" w:before="0" w:after="0"/>
              <w:ind w:left="0" w:right="0" w:hanging="0"/>
              <w:rPr/>
            </w:pPr>
            <w:r>
              <w:rPr/>
              <w:t>​</w:t>
            </w:r>
          </w:p>
        </w:tc>
        <w:tc>
          <w:tcPr>
            <w:tcW w:w="8656" w:type="dxa"/>
            <w:tcBorders/>
            <w:shd w:fill="auto" w:val="clear"/>
            <w:vAlign w:val="center"/>
          </w:tcPr>
          <w:p>
            <w:pPr>
              <w:pStyle w:val="TableContents"/>
              <w:spacing w:lineRule="auto" w:line="328" w:before="0" w:after="0"/>
              <w:ind w:left="0" w:right="0" w:hanging="0"/>
              <w:rPr/>
            </w:pPr>
            <w:hyperlink w:anchor="ConsolidatedStatementsofCashFlows_699712">
              <w:r>
                <w:rPr>
                  <w:rStyle w:val="InternetLink"/>
                  <w:rFonts w:ascii="Times New Roman;Times;serif" w:hAnsi="Times New Roman;Times;serif"/>
                  <w:b w:val="false"/>
                  <w:i w:val="false"/>
                  <w:caps w:val="false"/>
                  <w:smallCaps w:val="false"/>
                  <w:sz w:val="20"/>
                </w:rPr>
                <w:t>Consolidated Statements of Cash Flows for the three months ended March 31, 2023 and 2022</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41" w:type="dxa"/>
            <w:tcBorders/>
            <w:shd w:fill="auto" w:val="clear"/>
            <w:vAlign w:val="center"/>
          </w:tcPr>
          <w:p>
            <w:pPr>
              <w:pStyle w:val="TableContents"/>
              <w:spacing w:lineRule="auto" w:line="328" w:before="0" w:after="0"/>
              <w:ind w:left="0" w:right="0" w:hanging="0"/>
              <w:rPr/>
            </w:pPr>
            <w:r>
              <w:rPr/>
              <w:t>​</w:t>
            </w:r>
          </w:p>
        </w:tc>
        <w:tc>
          <w:tcPr>
            <w:tcW w:w="8656" w:type="dxa"/>
            <w:tcBorders/>
            <w:shd w:fill="auto" w:val="clear"/>
            <w:vAlign w:val="center"/>
          </w:tcPr>
          <w:p>
            <w:pPr>
              <w:pStyle w:val="TableContents"/>
              <w:spacing w:lineRule="auto" w:line="328" w:before="0" w:after="0"/>
              <w:ind w:left="0" w:right="0" w:hanging="0"/>
              <w:rPr/>
            </w:pPr>
            <w:hyperlink w:anchor="NotestoConsolidatedFinancialStatementsUn">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41" w:type="dxa"/>
            <w:tcBorders/>
            <w:shd w:fill="auto" w:val="clear"/>
            <w:vAlign w:val="center"/>
          </w:tcPr>
          <w:p>
            <w:pPr>
              <w:pStyle w:val="TableContents"/>
              <w:spacing w:lineRule="auto" w:line="328" w:before="0" w:after="0"/>
              <w:ind w:left="0" w:right="0" w:hanging="0"/>
              <w:rPr/>
            </w:pPr>
            <w:hyperlink w:anchor="Item2ManagementsDiscussionandAnalysisofF">
              <w:r>
                <w:rPr>
                  <w:rStyle w:val="InternetLink"/>
                  <w:rFonts w:ascii="Times New Roman;Times;serif" w:hAnsi="Times New Roman;Times;serif"/>
                  <w:b/>
                  <w:i w:val="false"/>
                  <w:caps w:val="false"/>
                  <w:smallCaps w:val="false"/>
                  <w:sz w:val="20"/>
                </w:rPr>
                <w:t>Item 2.</w:t>
              </w:r>
            </w:hyperlink>
          </w:p>
        </w:tc>
        <w:tc>
          <w:tcPr>
            <w:tcW w:w="8656" w:type="dxa"/>
            <w:tcBorders/>
            <w:shd w:fill="auto" w:val="clear"/>
            <w:vAlign w:val="center"/>
          </w:tcPr>
          <w:p>
            <w:pPr>
              <w:pStyle w:val="TableContents"/>
              <w:spacing w:lineRule="auto" w:line="328" w:before="0" w:after="0"/>
              <w:ind w:left="0" w:right="0" w:hanging="0"/>
              <w:rPr/>
            </w:pPr>
            <w:hyperlink w:anchor="Item2ManagementsDiscussionandAnalysisofF">
              <w:r>
                <w:rPr>
                  <w:rStyle w:val="InternetLink"/>
                  <w:rFonts w:ascii="Times New Roman;Times;serif" w:hAnsi="Times New Roman;Times;serif"/>
                  <w:b/>
                  <w:i w:val="false"/>
                  <w:caps w:val="false"/>
                  <w:smallCaps w:val="false"/>
                  <w:sz w:val="20"/>
                </w:rPr>
                <w:t>Management’s Discussion and Analysis of Financial Condition and Results of Operations</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41" w:type="dxa"/>
            <w:tcBorders/>
            <w:shd w:fill="auto" w:val="clear"/>
            <w:vAlign w:val="center"/>
          </w:tcPr>
          <w:p>
            <w:pPr>
              <w:pStyle w:val="TableContents"/>
              <w:spacing w:lineRule="auto" w:line="328" w:before="0" w:after="0"/>
              <w:ind w:left="0" w:right="0" w:hanging="0"/>
              <w:rPr/>
            </w:pPr>
            <w:r>
              <w:rPr/>
              <w:t>​</w:t>
            </w:r>
          </w:p>
        </w:tc>
        <w:tc>
          <w:tcPr>
            <w:tcW w:w="8656" w:type="dxa"/>
            <w:tcBorders/>
            <w:shd w:fill="auto" w:val="clear"/>
            <w:vAlign w:val="center"/>
          </w:tcPr>
          <w:p>
            <w:pPr>
              <w:pStyle w:val="TableContents"/>
              <w:spacing w:lineRule="auto" w:line="328" w:before="0" w:after="0"/>
              <w:ind w:left="0" w:right="0" w:hanging="0"/>
              <w:rPr/>
            </w:pPr>
            <w:hyperlink w:anchor="Overview_288809">
              <w:r>
                <w:rPr>
                  <w:rStyle w:val="InternetLink"/>
                  <w:rFonts w:ascii="Times New Roman;Times;serif" w:hAnsi="Times New Roman;Times;serif"/>
                  <w:b w:val="false"/>
                  <w:i w:val="false"/>
                  <w:caps w:val="false"/>
                  <w:smallCaps w:val="false"/>
                  <w:sz w:val="20"/>
                </w:rPr>
                <w:t>Overview</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41" w:type="dxa"/>
            <w:tcBorders/>
            <w:shd w:fill="auto" w:val="clear"/>
            <w:vAlign w:val="center"/>
          </w:tcPr>
          <w:p>
            <w:pPr>
              <w:pStyle w:val="TableContents"/>
              <w:spacing w:lineRule="auto" w:line="328" w:before="0" w:after="0"/>
              <w:ind w:left="0" w:right="0" w:hanging="0"/>
              <w:rPr/>
            </w:pPr>
            <w:r>
              <w:rPr/>
              <w:t>​</w:t>
            </w:r>
          </w:p>
        </w:tc>
        <w:tc>
          <w:tcPr>
            <w:tcW w:w="8656" w:type="dxa"/>
            <w:tcBorders/>
            <w:shd w:fill="auto" w:val="clear"/>
            <w:vAlign w:val="center"/>
          </w:tcPr>
          <w:p>
            <w:pPr>
              <w:pStyle w:val="TableContents"/>
              <w:spacing w:lineRule="auto" w:line="328" w:before="0" w:after="0"/>
              <w:ind w:left="0" w:right="0" w:hanging="0"/>
              <w:rPr/>
            </w:pPr>
            <w:hyperlink w:anchor="CriticalAccountingEstimates_482826">
              <w:r>
                <w:rPr>
                  <w:rStyle w:val="InternetLink"/>
                  <w:rFonts w:ascii="Times New Roman;Times;serif" w:hAnsi="Times New Roman;Times;serif"/>
                  <w:b w:val="false"/>
                  <w:i w:val="false"/>
                  <w:caps w:val="false"/>
                  <w:smallCaps w:val="false"/>
                  <w:sz w:val="20"/>
                </w:rPr>
                <w:t>Critical Accounting Estimates</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41" w:type="dxa"/>
            <w:tcBorders/>
            <w:shd w:fill="auto" w:val="clear"/>
            <w:vAlign w:val="center"/>
          </w:tcPr>
          <w:p>
            <w:pPr>
              <w:pStyle w:val="TableContents"/>
              <w:spacing w:lineRule="auto" w:line="328" w:before="0" w:after="0"/>
              <w:ind w:left="0" w:right="0" w:hanging="0"/>
              <w:rPr/>
            </w:pPr>
            <w:r>
              <w:rPr/>
              <w:t>​</w:t>
            </w:r>
          </w:p>
        </w:tc>
        <w:tc>
          <w:tcPr>
            <w:tcW w:w="8656" w:type="dxa"/>
            <w:tcBorders/>
            <w:shd w:fill="auto" w:val="clear"/>
            <w:vAlign w:val="center"/>
          </w:tcPr>
          <w:p>
            <w:pPr>
              <w:pStyle w:val="TableContents"/>
              <w:spacing w:lineRule="auto" w:line="328" w:before="0" w:after="0"/>
              <w:ind w:left="0" w:right="0" w:hanging="0"/>
              <w:rPr/>
            </w:pPr>
            <w:hyperlink w:anchor="ResultsofOperations_659595">
              <w:r>
                <w:rPr>
                  <w:rStyle w:val="InternetLink"/>
                  <w:rFonts w:ascii="Times New Roman;Times;serif" w:hAnsi="Times New Roman;Times;serif"/>
                  <w:b w:val="false"/>
                  <w:i w:val="false"/>
                  <w:caps w:val="false"/>
                  <w:smallCaps w:val="false"/>
                  <w:sz w:val="20"/>
                </w:rPr>
                <w:t>Results of Operations</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41" w:type="dxa"/>
            <w:tcBorders/>
            <w:shd w:fill="auto" w:val="clear"/>
            <w:vAlign w:val="center"/>
          </w:tcPr>
          <w:p>
            <w:pPr>
              <w:pStyle w:val="TableContents"/>
              <w:spacing w:lineRule="auto" w:line="328" w:before="0" w:after="0"/>
              <w:ind w:left="0" w:right="0" w:hanging="0"/>
              <w:rPr/>
            </w:pPr>
            <w:r>
              <w:rPr/>
              <w:t>​</w:t>
            </w:r>
          </w:p>
        </w:tc>
        <w:tc>
          <w:tcPr>
            <w:tcW w:w="8656" w:type="dxa"/>
            <w:tcBorders/>
            <w:shd w:fill="auto" w:val="clear"/>
            <w:vAlign w:val="center"/>
          </w:tcPr>
          <w:p>
            <w:pPr>
              <w:pStyle w:val="TableContents"/>
              <w:spacing w:lineRule="auto" w:line="328" w:before="0" w:after="0"/>
              <w:ind w:left="0" w:right="0" w:hanging="0"/>
              <w:rPr/>
            </w:pPr>
            <w:hyperlink w:anchor="LiquidityandCapitalResources_541794">
              <w:r>
                <w:rPr>
                  <w:rStyle w:val="InternetLink"/>
                  <w:rFonts w:ascii="Times New Roman;Times;serif" w:hAnsi="Times New Roman;Times;serif"/>
                  <w:b w:val="false"/>
                  <w:i w:val="false"/>
                  <w:caps w:val="false"/>
                  <w:smallCaps w:val="false"/>
                  <w:sz w:val="20"/>
                </w:rPr>
                <w:t>Liquidity and Capital Resources</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41" w:type="dxa"/>
            <w:tcBorders/>
            <w:shd w:fill="auto" w:val="clear"/>
            <w:vAlign w:val="center"/>
          </w:tcPr>
          <w:p>
            <w:pPr>
              <w:pStyle w:val="TableContents"/>
              <w:spacing w:lineRule="auto" w:line="328" w:before="0" w:after="0"/>
              <w:ind w:left="0" w:right="0" w:hanging="0"/>
              <w:rPr/>
            </w:pPr>
            <w:hyperlink w:anchor="Item3QuantitativeandQualitativeDisclosur">
              <w:r>
                <w:rPr>
                  <w:rStyle w:val="InternetLink"/>
                  <w:rFonts w:ascii="Times New Roman;Times;serif" w:hAnsi="Times New Roman;Times;serif"/>
                  <w:b/>
                  <w:i w:val="false"/>
                  <w:caps w:val="false"/>
                  <w:smallCaps w:val="false"/>
                  <w:sz w:val="20"/>
                </w:rPr>
                <w:t>Item 3.</w:t>
              </w:r>
            </w:hyperlink>
          </w:p>
        </w:tc>
        <w:tc>
          <w:tcPr>
            <w:tcW w:w="8656" w:type="dxa"/>
            <w:tcBorders/>
            <w:shd w:fill="auto" w:val="clear"/>
            <w:vAlign w:val="center"/>
          </w:tcPr>
          <w:p>
            <w:pPr>
              <w:pStyle w:val="TableContents"/>
              <w:spacing w:lineRule="auto" w:line="328" w:before="0" w:after="0"/>
              <w:ind w:left="0" w:right="0" w:hanging="0"/>
              <w:rPr/>
            </w:pPr>
            <w:hyperlink w:anchor="Item3QuantitativeandQualitativeDisclosur">
              <w:r>
                <w:rPr>
                  <w:rStyle w:val="InternetLink"/>
                  <w:rFonts w:ascii="Times New Roman;Times;serif" w:hAnsi="Times New Roman;Times;serif"/>
                  <w:b/>
                  <w:i w:val="false"/>
                  <w:caps w:val="false"/>
                  <w:smallCaps w:val="false"/>
                  <w:sz w:val="20"/>
                </w:rPr>
                <w:t>Quantitative and Qualitative Disclosures About Market Risk</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41" w:type="dxa"/>
            <w:tcBorders/>
            <w:shd w:fill="auto" w:val="clear"/>
            <w:vAlign w:val="center"/>
          </w:tcPr>
          <w:p>
            <w:pPr>
              <w:pStyle w:val="TableContents"/>
              <w:spacing w:lineRule="auto" w:line="328" w:before="0" w:after="0"/>
              <w:ind w:left="0" w:right="0" w:hanging="0"/>
              <w:rPr/>
            </w:pPr>
            <w:hyperlink w:anchor="Item4ControlsandProcedures_773908">
              <w:r>
                <w:rPr>
                  <w:rStyle w:val="InternetLink"/>
                  <w:rFonts w:ascii="Times New Roman;Times;serif" w:hAnsi="Times New Roman;Times;serif"/>
                  <w:b/>
                  <w:i w:val="false"/>
                  <w:caps w:val="false"/>
                  <w:smallCaps w:val="false"/>
                  <w:sz w:val="20"/>
                </w:rPr>
                <w:t>Item 4.</w:t>
              </w:r>
            </w:hyperlink>
          </w:p>
        </w:tc>
        <w:tc>
          <w:tcPr>
            <w:tcW w:w="8656" w:type="dxa"/>
            <w:tcBorders/>
            <w:shd w:fill="auto" w:val="clear"/>
            <w:vAlign w:val="center"/>
          </w:tcPr>
          <w:p>
            <w:pPr>
              <w:pStyle w:val="TableContents"/>
              <w:spacing w:lineRule="auto" w:line="328" w:before="0" w:after="0"/>
              <w:ind w:left="0" w:right="0" w:hanging="0"/>
              <w:rPr/>
            </w:pPr>
            <w:hyperlink w:anchor="Item4ControlsandProcedures_773908">
              <w:r>
                <w:rPr>
                  <w:rStyle w:val="InternetLink"/>
                  <w:rFonts w:ascii="Times New Roman;Times;serif" w:hAnsi="Times New Roman;Times;serif"/>
                  <w:b/>
                  <w:i w:val="false"/>
                  <w:caps w:val="false"/>
                  <w:smallCaps w:val="false"/>
                  <w:sz w:val="20"/>
                </w:rPr>
                <w:t>Controls and Procedures</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497" w:type="dxa"/>
            <w:gridSpan w:val="2"/>
            <w:tcBorders/>
            <w:shd w:fill="auto" w:val="clear"/>
            <w:vAlign w:val="center"/>
          </w:tcPr>
          <w:p>
            <w:pPr>
              <w:pStyle w:val="TableContents"/>
              <w:spacing w:lineRule="auto" w:line="328" w:before="0" w:after="0"/>
              <w:ind w:left="0" w:right="0" w:hanging="0"/>
              <w:rPr/>
            </w:pPr>
            <w:hyperlink w:anchor="PARTIIOTHERINFORMATION_940705">
              <w:r>
                <w:rPr>
                  <w:rStyle w:val="InternetLink"/>
                  <w:rFonts w:ascii="Times New Roman;Times;serif" w:hAnsi="Times New Roman;Times;serif"/>
                  <w:b/>
                  <w:i w:val="false"/>
                  <w:caps w:val="false"/>
                  <w:smallCaps w:val="false"/>
                  <w:sz w:val="20"/>
                </w:rPr>
                <w:t>PART II - OTHER INFORMATION</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41" w:type="dxa"/>
            <w:tcBorders/>
            <w:shd w:fill="auto" w:val="clear"/>
            <w:vAlign w:val="center"/>
          </w:tcPr>
          <w:p>
            <w:pPr>
              <w:pStyle w:val="TableContents"/>
              <w:spacing w:lineRule="auto" w:line="328" w:before="0" w:after="0"/>
              <w:ind w:left="0" w:right="0" w:hanging="0"/>
              <w:rPr/>
            </w:pPr>
            <w:hyperlink w:anchor="Item1LegalProceedings_163018">
              <w:r>
                <w:rPr>
                  <w:rStyle w:val="InternetLink"/>
                  <w:rFonts w:ascii="Times New Roman;Times;serif" w:hAnsi="Times New Roman;Times;serif"/>
                  <w:b/>
                  <w:i w:val="false"/>
                  <w:caps w:val="false"/>
                  <w:smallCaps w:val="false"/>
                  <w:sz w:val="20"/>
                </w:rPr>
                <w:t>Item 1.</w:t>
              </w:r>
            </w:hyperlink>
          </w:p>
        </w:tc>
        <w:tc>
          <w:tcPr>
            <w:tcW w:w="8656" w:type="dxa"/>
            <w:tcBorders/>
            <w:shd w:fill="auto" w:val="clear"/>
            <w:vAlign w:val="center"/>
          </w:tcPr>
          <w:p>
            <w:pPr>
              <w:pStyle w:val="TableContents"/>
              <w:spacing w:lineRule="auto" w:line="328" w:before="0" w:after="0"/>
              <w:ind w:left="0" w:right="0" w:hanging="0"/>
              <w:rPr/>
            </w:pPr>
            <w:hyperlink w:anchor="Item1LegalProceedings_163018">
              <w:r>
                <w:rPr>
                  <w:rStyle w:val="InternetLink"/>
                  <w:rFonts w:ascii="Times New Roman;Times;serif" w:hAnsi="Times New Roman;Times;serif"/>
                  <w:b/>
                  <w:i w:val="false"/>
                  <w:caps w:val="false"/>
                  <w:smallCaps w:val="false"/>
                  <w:sz w:val="20"/>
                </w:rPr>
                <w:t>Legal Proceedings</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41" w:type="dxa"/>
            <w:tcBorders/>
            <w:shd w:fill="auto" w:val="clear"/>
            <w:vAlign w:val="center"/>
          </w:tcPr>
          <w:p>
            <w:pPr>
              <w:pStyle w:val="TableContents"/>
              <w:spacing w:lineRule="auto" w:line="328" w:before="0" w:after="0"/>
              <w:ind w:left="0" w:right="0" w:hanging="0"/>
              <w:rPr/>
            </w:pPr>
            <w:hyperlink w:anchor="Item1ARiskFactors_163682">
              <w:r>
                <w:rPr>
                  <w:rStyle w:val="InternetLink"/>
                  <w:rFonts w:ascii="Times New Roman;Times;serif" w:hAnsi="Times New Roman;Times;serif"/>
                  <w:b/>
                  <w:i w:val="false"/>
                  <w:caps w:val="false"/>
                  <w:smallCaps w:val="false"/>
                  <w:sz w:val="20"/>
                </w:rPr>
                <w:t>Item 1A.</w:t>
              </w:r>
            </w:hyperlink>
          </w:p>
        </w:tc>
        <w:tc>
          <w:tcPr>
            <w:tcW w:w="8656" w:type="dxa"/>
            <w:tcBorders/>
            <w:shd w:fill="auto" w:val="clear"/>
            <w:vAlign w:val="center"/>
          </w:tcPr>
          <w:p>
            <w:pPr>
              <w:pStyle w:val="TableContents"/>
              <w:spacing w:lineRule="auto" w:line="328" w:before="0" w:after="0"/>
              <w:ind w:left="0" w:right="0" w:hanging="0"/>
              <w:rPr/>
            </w:pPr>
            <w:hyperlink w:anchor="Item1ARiskFactors_163682">
              <w:r>
                <w:rPr>
                  <w:rStyle w:val="InternetLink"/>
                  <w:rFonts w:ascii="Times New Roman;Times;serif" w:hAnsi="Times New Roman;Times;serif"/>
                  <w:b/>
                  <w:i w:val="false"/>
                  <w:caps w:val="false"/>
                  <w:smallCaps w:val="false"/>
                  <w:sz w:val="20"/>
                </w:rPr>
                <w:t>Risk Factors</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41" w:type="dxa"/>
            <w:tcBorders/>
            <w:shd w:fill="auto" w:val="clear"/>
            <w:vAlign w:val="center"/>
          </w:tcPr>
          <w:p>
            <w:pPr>
              <w:pStyle w:val="TableContents"/>
              <w:spacing w:lineRule="auto" w:line="328" w:before="0" w:after="0"/>
              <w:ind w:left="0" w:right="0" w:hanging="0"/>
              <w:rPr/>
            </w:pPr>
            <w:hyperlink w:anchor="Item2UnregisteredSalesofEquitySecurities">
              <w:r>
                <w:rPr>
                  <w:rStyle w:val="InternetLink"/>
                  <w:rFonts w:ascii="Times New Roman;Times;serif" w:hAnsi="Times New Roman;Times;serif"/>
                  <w:b/>
                  <w:i w:val="false"/>
                  <w:caps w:val="false"/>
                  <w:smallCaps w:val="false"/>
                  <w:sz w:val="20"/>
                </w:rPr>
                <w:t>Item 2.</w:t>
              </w:r>
            </w:hyperlink>
          </w:p>
        </w:tc>
        <w:tc>
          <w:tcPr>
            <w:tcW w:w="8656" w:type="dxa"/>
            <w:tcBorders/>
            <w:shd w:fill="auto" w:val="clear"/>
            <w:vAlign w:val="center"/>
          </w:tcPr>
          <w:p>
            <w:pPr>
              <w:pStyle w:val="TableContents"/>
              <w:spacing w:lineRule="auto" w:line="328" w:before="0" w:after="0"/>
              <w:ind w:left="0" w:right="0" w:hanging="0"/>
              <w:rPr/>
            </w:pPr>
            <w:hyperlink w:anchor="Item2UnregisteredSalesofEquitySecurities">
              <w:r>
                <w:rPr>
                  <w:rStyle w:val="InternetLink"/>
                  <w:rFonts w:ascii="Times New Roman;Times;serif" w:hAnsi="Times New Roman;Times;serif"/>
                  <w:b/>
                  <w:i w:val="false"/>
                  <w:caps w:val="false"/>
                  <w:smallCaps w:val="false"/>
                  <w:sz w:val="20"/>
                </w:rPr>
                <w:t>Unregistered Sales of Equity Securities and Use of Proceeds</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41" w:type="dxa"/>
            <w:tcBorders/>
            <w:shd w:fill="auto" w:val="clear"/>
            <w:vAlign w:val="center"/>
          </w:tcPr>
          <w:p>
            <w:pPr>
              <w:pStyle w:val="TableContents"/>
              <w:spacing w:lineRule="auto" w:line="328" w:before="0" w:after="0"/>
              <w:ind w:left="0" w:right="0" w:hanging="0"/>
              <w:rPr/>
            </w:pPr>
            <w:hyperlink w:anchor="Item3DefaultsUponSeniorSecurities_689958">
              <w:r>
                <w:rPr>
                  <w:rStyle w:val="InternetLink"/>
                  <w:rFonts w:ascii="Times New Roman;Times;serif" w:hAnsi="Times New Roman;Times;serif"/>
                  <w:b/>
                  <w:i w:val="false"/>
                  <w:caps w:val="false"/>
                  <w:smallCaps w:val="false"/>
                  <w:sz w:val="20"/>
                </w:rPr>
                <w:t>Item 3.</w:t>
              </w:r>
            </w:hyperlink>
          </w:p>
        </w:tc>
        <w:tc>
          <w:tcPr>
            <w:tcW w:w="8656" w:type="dxa"/>
            <w:tcBorders/>
            <w:shd w:fill="auto" w:val="clear"/>
            <w:vAlign w:val="center"/>
          </w:tcPr>
          <w:p>
            <w:pPr>
              <w:pStyle w:val="TableContents"/>
              <w:spacing w:lineRule="auto" w:line="328" w:before="0" w:after="0"/>
              <w:ind w:left="0" w:right="0" w:hanging="0"/>
              <w:rPr/>
            </w:pPr>
            <w:hyperlink w:anchor="Item3DefaultsUponSeniorSecurities_689958">
              <w:r>
                <w:rPr>
                  <w:rStyle w:val="InternetLink"/>
                  <w:rFonts w:ascii="Times New Roman;Times;serif" w:hAnsi="Times New Roman;Times;serif"/>
                  <w:b/>
                  <w:i w:val="false"/>
                  <w:caps w:val="false"/>
                  <w:smallCaps w:val="false"/>
                  <w:sz w:val="20"/>
                </w:rPr>
                <w:t>Defaults Upon Senior Securities</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41" w:type="dxa"/>
            <w:tcBorders/>
            <w:shd w:fill="auto" w:val="clear"/>
            <w:vAlign w:val="center"/>
          </w:tcPr>
          <w:p>
            <w:pPr>
              <w:pStyle w:val="TableContents"/>
              <w:spacing w:lineRule="auto" w:line="328" w:before="0" w:after="0"/>
              <w:ind w:left="0" w:right="0" w:hanging="0"/>
              <w:rPr/>
            </w:pPr>
            <w:hyperlink w:anchor="Item4MineSafetyDisclosures_365895">
              <w:r>
                <w:rPr>
                  <w:rStyle w:val="InternetLink"/>
                  <w:rFonts w:ascii="Times New Roman;Times;serif" w:hAnsi="Times New Roman;Times;serif"/>
                  <w:b/>
                  <w:i w:val="false"/>
                  <w:caps w:val="false"/>
                  <w:smallCaps w:val="false"/>
                  <w:sz w:val="20"/>
                </w:rPr>
                <w:t>Item 4.</w:t>
              </w:r>
            </w:hyperlink>
          </w:p>
        </w:tc>
        <w:tc>
          <w:tcPr>
            <w:tcW w:w="8656" w:type="dxa"/>
            <w:tcBorders/>
            <w:shd w:fill="auto" w:val="clear"/>
            <w:vAlign w:val="center"/>
          </w:tcPr>
          <w:p>
            <w:pPr>
              <w:pStyle w:val="TableContents"/>
              <w:spacing w:lineRule="auto" w:line="328" w:before="0" w:after="0"/>
              <w:ind w:left="0" w:right="0" w:hanging="0"/>
              <w:rPr/>
            </w:pPr>
            <w:hyperlink w:anchor="Item4MineSafetyDisclosures_365895">
              <w:r>
                <w:rPr>
                  <w:rStyle w:val="InternetLink"/>
                  <w:rFonts w:ascii="Times New Roman;Times;serif" w:hAnsi="Times New Roman;Times;serif"/>
                  <w:b/>
                  <w:i w:val="false"/>
                  <w:caps w:val="false"/>
                  <w:smallCaps w:val="false"/>
                  <w:sz w:val="20"/>
                </w:rPr>
                <w:t>Mine Safety Disclosures</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41" w:type="dxa"/>
            <w:tcBorders/>
            <w:shd w:fill="auto" w:val="clear"/>
            <w:vAlign w:val="center"/>
          </w:tcPr>
          <w:p>
            <w:pPr>
              <w:pStyle w:val="TableContents"/>
              <w:spacing w:lineRule="auto" w:line="328" w:before="0" w:after="0"/>
              <w:ind w:left="0" w:right="0" w:hanging="0"/>
              <w:rPr/>
            </w:pPr>
            <w:hyperlink w:anchor="Item5OtherInformation_535580">
              <w:r>
                <w:rPr>
                  <w:rStyle w:val="InternetLink"/>
                  <w:rFonts w:ascii="Times New Roman;Times;serif" w:hAnsi="Times New Roman;Times;serif"/>
                  <w:b/>
                  <w:i w:val="false"/>
                  <w:caps w:val="false"/>
                  <w:smallCaps w:val="false"/>
                  <w:sz w:val="20"/>
                </w:rPr>
                <w:t>Item 5.</w:t>
              </w:r>
            </w:hyperlink>
          </w:p>
        </w:tc>
        <w:tc>
          <w:tcPr>
            <w:tcW w:w="8656" w:type="dxa"/>
            <w:tcBorders/>
            <w:shd w:fill="auto" w:val="clear"/>
            <w:vAlign w:val="center"/>
          </w:tcPr>
          <w:p>
            <w:pPr>
              <w:pStyle w:val="TableContents"/>
              <w:spacing w:lineRule="auto" w:line="328" w:before="0" w:after="0"/>
              <w:ind w:left="0" w:right="0" w:hanging="0"/>
              <w:rPr/>
            </w:pPr>
            <w:hyperlink w:anchor="Item5OtherInformation_535580">
              <w:r>
                <w:rPr>
                  <w:rStyle w:val="InternetLink"/>
                  <w:rFonts w:ascii="Times New Roman;Times;serif" w:hAnsi="Times New Roman;Times;serif"/>
                  <w:b/>
                  <w:i w:val="false"/>
                  <w:caps w:val="false"/>
                  <w:smallCaps w:val="false"/>
                  <w:sz w:val="20"/>
                </w:rPr>
                <w:t>Other Information</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41" w:type="dxa"/>
            <w:tcBorders/>
            <w:shd w:fill="auto" w:val="clear"/>
            <w:vAlign w:val="center"/>
          </w:tcPr>
          <w:p>
            <w:pPr>
              <w:pStyle w:val="TableContents"/>
              <w:spacing w:lineRule="auto" w:line="328" w:before="0" w:after="0"/>
              <w:ind w:left="0" w:right="0" w:hanging="0"/>
              <w:rPr/>
            </w:pPr>
            <w:hyperlink w:anchor="Item6Exhibits_453635">
              <w:r>
                <w:rPr>
                  <w:rStyle w:val="InternetLink"/>
                  <w:rFonts w:ascii="Times New Roman;Times;serif" w:hAnsi="Times New Roman;Times;serif"/>
                  <w:b/>
                  <w:i w:val="false"/>
                  <w:caps w:val="false"/>
                  <w:smallCaps w:val="false"/>
                  <w:sz w:val="20"/>
                </w:rPr>
                <w:t>Item 6.</w:t>
              </w:r>
            </w:hyperlink>
          </w:p>
        </w:tc>
        <w:tc>
          <w:tcPr>
            <w:tcW w:w="8656" w:type="dxa"/>
            <w:tcBorders/>
            <w:shd w:fill="auto" w:val="clear"/>
            <w:vAlign w:val="center"/>
          </w:tcPr>
          <w:p>
            <w:pPr>
              <w:pStyle w:val="TableContents"/>
              <w:spacing w:lineRule="auto" w:line="328" w:before="0" w:after="0"/>
              <w:ind w:left="0" w:right="0" w:hanging="0"/>
              <w:rPr/>
            </w:pPr>
            <w:hyperlink w:anchor="Item6Exhibits_453635">
              <w:r>
                <w:rPr>
                  <w:rStyle w:val="InternetLink"/>
                  <w:rFonts w:ascii="Times New Roman;Times;serif" w:hAnsi="Times New Roman;Times;serif"/>
                  <w:b/>
                  <w:i w:val="false"/>
                  <w:caps w:val="false"/>
                  <w:smallCaps w:val="false"/>
                  <w:sz w:val="20"/>
                </w:rPr>
                <w:t>Exhibits</w:t>
              </w:r>
            </w:hyperlink>
          </w:p>
        </w:tc>
        <w:tc>
          <w:tcPr>
            <w:tcW w:w="361" w:type="dxa"/>
            <w:tcBorders/>
            <w:shd w:fill="auto" w:val="clear"/>
            <w:vAlign w:val="center"/>
          </w:tcPr>
          <w:p>
            <w:pPr>
              <w:pStyle w:val="TableContents"/>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9" w:name="PART1FINANCIALINFORMATION_304973"/>
      <w:bookmarkStart w:id="20" w:name="_contentSection_288e3e41_4b4b_41aa_96e6_"/>
      <w:bookmarkStart w:id="21" w:name="_01f35a98_7e69_4083_ae91_d18cc2b065fd"/>
      <w:bookmarkEnd w:id="19"/>
      <w:bookmarkEnd w:id="20"/>
      <w:bookmarkEnd w:id="21"/>
      <w:r>
        <w:rPr>
          <w:rFonts w:ascii="Times New Roman;Times;serif" w:hAnsi="Times New Roman;Times;serif"/>
          <w:b/>
          <w:sz w:val="20"/>
        </w:rPr>
        <w:t>PART 1—FINANCIAL INFORMATION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22" w:name="Item1FinancialStatements_869987"/>
      <w:bookmarkEnd w:id="22"/>
      <w:r>
        <w:rPr>
          <w:rFonts w:ascii="Times New Roman;Times;serif" w:hAnsi="Times New Roman;Times;serif"/>
          <w:b/>
          <w:sz w:val="20"/>
        </w:rPr>
        <w:t>Item 1.    Financial Statements.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spacing w:before="0" w:after="0"/>
        <w:ind w:left="0" w:right="0" w:hanging="0"/>
        <w:jc w:val="center"/>
        <w:rPr>
          <w:rFonts w:ascii="Times New Roman;Times;serif" w:hAnsi="Times New Roman;Times;serif"/>
          <w:b/>
          <w:sz w:val="20"/>
        </w:rPr>
      </w:pPr>
      <w:bookmarkStart w:id="23" w:name="ConsolidatedStatementsofOperations_8900"/>
      <w:bookmarkEnd w:id="23"/>
      <w:r>
        <w:rPr>
          <w:rFonts w:ascii="Times New Roman;Times;serif" w:hAnsi="Times New Roman;Times;serif"/>
          <w:b/>
          <w:sz w:val="20"/>
        </w:rPr>
        <w:t>Consolidated Statements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24" w:name="Tc_Atb1zuKMt0yXzn1atrirqg_32_0"/>
      <w:bookmarkStart w:id="25" w:name="Tc_GfgwI69Xek6WEcOFPm3kYw_31_0"/>
      <w:bookmarkStart w:id="26" w:name="Tc_FjD7T908TESuGtLI_pVrgQ_30_0"/>
      <w:bookmarkStart w:id="27" w:name="Tc_wUePvr7U-EmkwZkmQ9wSjQ_29_5"/>
      <w:bookmarkStart w:id="28" w:name="Tc_GDAfPNSunUqvhT4EWRIL9g_29_2"/>
      <w:bookmarkStart w:id="29" w:name="Tc_2NDF9kaJrkemODF0-_YxsQ_29_0"/>
      <w:bookmarkStart w:id="30" w:name="Tc__icD3SvtDUqN-2kC40Ai8A_28_5"/>
      <w:bookmarkStart w:id="31" w:name="Tc_F3tlbd7CSkiAJ6yBYm9soQ_28_2"/>
      <w:bookmarkStart w:id="32" w:name="Tc_UFFJ8haqlEKiYzYtg3Lc4A_28_0"/>
      <w:bookmarkStart w:id="33" w:name="Tc_rbxNMnApjkiKtmaaycT8TA_27_0"/>
      <w:bookmarkStart w:id="34" w:name="Tc_v475GWX2pUqYIbmphZDMqA_26_5"/>
      <w:bookmarkStart w:id="35" w:name="Tc_bWxkjsBZl0SbyL5YALyNsQ_26_2"/>
      <w:bookmarkStart w:id="36" w:name="Tc_F_MGGsuOb0WWiEr_bk80QQ_26_0"/>
      <w:bookmarkStart w:id="37" w:name="Tc_yeXJzrS1ekivfpU473isEg_25_0"/>
      <w:bookmarkStart w:id="38" w:name="Tc_QM2y7Ble9kWJ8BuhxDUMkA_24_0"/>
      <w:bookmarkStart w:id="39" w:name="Tc_uu4_KE-A10iPsE_GLp4tXw_23_0"/>
      <w:bookmarkStart w:id="40" w:name="Tc_DwAr2ymGmkWSREAHhP4Nyg_22_0"/>
      <w:bookmarkStart w:id="41" w:name="Tc_-S1LYUDaO0GgitaQUThJ4w_21_0"/>
      <w:bookmarkStart w:id="42" w:name="Tc_43mksL4iCU2ed4obU4AFiw_20_0"/>
      <w:bookmarkStart w:id="43" w:name="Tc_GIiwZoEG1EeR-POEmpk5-A_19_0"/>
      <w:bookmarkStart w:id="44" w:name="Tc_ZI0FWn6Tdku1lNm8YGWBNg_18_0"/>
      <w:bookmarkStart w:id="45" w:name="Tc_SMZZc6B6SEOoSOs4z3G6Ig_17_0"/>
      <w:bookmarkStart w:id="46" w:name="Tc_SZOCtSA3CkqwNcGSqUlGRQ_16_0"/>
      <w:bookmarkStart w:id="47" w:name="Tc_Isyom4gl90e0u1VVPCoP0A_15_0"/>
      <w:bookmarkStart w:id="48" w:name="Tc_eLCuiZBqJEqN6jjcRm66sA_14_0"/>
      <w:bookmarkStart w:id="49" w:name="Tc_JmppNYVkrkeSbF1Cli0pKA_13_0"/>
      <w:bookmarkStart w:id="50" w:name="Tc_8SWiPvLcwEqix_yvEGoxjA_12_0"/>
      <w:bookmarkStart w:id="51" w:name="Tc_PWh5mQQSgkqCiXD2ruLCiw_11_0"/>
      <w:bookmarkStart w:id="52" w:name="Tc_qFO_sSKKTEONHn0zBTNg3Q_10_0"/>
      <w:bookmarkStart w:id="53" w:name="Tc_Sub9N09kE0yWe83Od4c1Rg_9_0"/>
      <w:bookmarkStart w:id="54" w:name="Tc_8rU7ZAA3mUOP9nycyS6rwA_8_0"/>
      <w:bookmarkStart w:id="55" w:name="Tc_liUKJixBLUqtFgvB6mMeow_7_0"/>
      <w:bookmarkStart w:id="56" w:name="Tc_xnSbbS5FJE-DVuQK4QMx8Q_6_0"/>
      <w:bookmarkStart w:id="57" w:name="Tc_HnDKjor5RUmf48td5ldJfQ_5_5"/>
      <w:bookmarkStart w:id="58" w:name="Tc_lq6G4aZmwk-RGfP5Jgowqg_5_2"/>
      <w:bookmarkStart w:id="59" w:name="Tc_Zk4QJZNZtkCx7HsMVgfLCg_5_0"/>
      <w:bookmarkStart w:id="60" w:name="Tc_dTdzGXkqoE6pbynV_UUqiQ_4_0"/>
      <w:bookmarkStart w:id="61" w:name="Tc_65uyZigxUUezqY3hcBH7Tg_3_5"/>
      <w:bookmarkStart w:id="62" w:name="Tc_HPjSGGpYp0mTxfzouIj0_Q_3_2"/>
      <w:bookmarkStart w:id="63" w:name="Tc_DOAPwssJwkeXtW6rAOL7aw_2_2"/>
      <w:bookmarkStart w:id="64" w:name="Tc_Vxpnff1p6UG_utj_8z03eA_1_2"/>
      <w:bookmarkStart w:id="65" w:name="_daf8d9f8_d863_4aea_b03a_c87de65a0f1b"/>
      <w:bookmarkStart w:id="66" w:name="Tc_Atb1zuKMt0yXzn1atrirqg_32_0"/>
      <w:bookmarkStart w:id="67" w:name="Tc_GfgwI69Xek6WEcOFPm3kYw_31_0"/>
      <w:bookmarkStart w:id="68" w:name="Tc_FjD7T908TESuGtLI_pVrgQ_30_0"/>
      <w:bookmarkStart w:id="69" w:name="Tc_wUePvr7U-EmkwZkmQ9wSjQ_29_5"/>
      <w:bookmarkStart w:id="70" w:name="Tc_GDAfPNSunUqvhT4EWRIL9g_29_2"/>
      <w:bookmarkStart w:id="71" w:name="Tc_2NDF9kaJrkemODF0-_YxsQ_29_0"/>
      <w:bookmarkStart w:id="72" w:name="Tc__icD3SvtDUqN-2kC40Ai8A_28_5"/>
      <w:bookmarkStart w:id="73" w:name="Tc_F3tlbd7CSkiAJ6yBYm9soQ_28_2"/>
      <w:bookmarkStart w:id="74" w:name="Tc_UFFJ8haqlEKiYzYtg3Lc4A_28_0"/>
      <w:bookmarkStart w:id="75" w:name="Tc_rbxNMnApjkiKtmaaycT8TA_27_0"/>
      <w:bookmarkStart w:id="76" w:name="Tc_v475GWX2pUqYIbmphZDMqA_26_5"/>
      <w:bookmarkStart w:id="77" w:name="Tc_bWxkjsBZl0SbyL5YALyNsQ_26_2"/>
      <w:bookmarkStart w:id="78" w:name="Tc_F_MGGsuOb0WWiEr_bk80QQ_26_0"/>
      <w:bookmarkStart w:id="79" w:name="Tc_yeXJzrS1ekivfpU473isEg_25_0"/>
      <w:bookmarkStart w:id="80" w:name="Tc_QM2y7Ble9kWJ8BuhxDUMkA_24_0"/>
      <w:bookmarkStart w:id="81" w:name="Tc_uu4_KE-A10iPsE_GLp4tXw_23_0"/>
      <w:bookmarkStart w:id="82" w:name="Tc_DwAr2ymGmkWSREAHhP4Nyg_22_0"/>
      <w:bookmarkStart w:id="83" w:name="Tc_-S1LYUDaO0GgitaQUThJ4w_21_0"/>
      <w:bookmarkStart w:id="84" w:name="Tc_43mksL4iCU2ed4obU4AFiw_20_0"/>
      <w:bookmarkStart w:id="85" w:name="Tc_GIiwZoEG1EeR-POEmpk5-A_19_0"/>
      <w:bookmarkStart w:id="86" w:name="Tc_ZI0FWn6Tdku1lNm8YGWBNg_18_0"/>
      <w:bookmarkStart w:id="87" w:name="Tc_SMZZc6B6SEOoSOs4z3G6Ig_17_0"/>
      <w:bookmarkStart w:id="88" w:name="Tc_SZOCtSA3CkqwNcGSqUlGRQ_16_0"/>
      <w:bookmarkStart w:id="89" w:name="Tc_Isyom4gl90e0u1VVPCoP0A_15_0"/>
      <w:bookmarkStart w:id="90" w:name="Tc_eLCuiZBqJEqN6jjcRm66sA_14_0"/>
      <w:bookmarkStart w:id="91" w:name="Tc_JmppNYVkrkeSbF1Cli0pKA_13_0"/>
      <w:bookmarkStart w:id="92" w:name="Tc_8SWiPvLcwEqix_yvEGoxjA_12_0"/>
      <w:bookmarkStart w:id="93" w:name="Tc_PWh5mQQSgkqCiXD2ruLCiw_11_0"/>
      <w:bookmarkStart w:id="94" w:name="Tc_qFO_sSKKTEONHn0zBTNg3Q_10_0"/>
      <w:bookmarkStart w:id="95" w:name="Tc_Sub9N09kE0yWe83Od4c1Rg_9_0"/>
      <w:bookmarkStart w:id="96" w:name="Tc_8rU7ZAA3mUOP9nycyS6rwA_8_0"/>
      <w:bookmarkStart w:id="97" w:name="Tc_liUKJixBLUqtFgvB6mMeow_7_0"/>
      <w:bookmarkStart w:id="98" w:name="Tc_xnSbbS5FJE-DVuQK4QMx8Q_6_0"/>
      <w:bookmarkStart w:id="99" w:name="Tc_HnDKjor5RUmf48td5ldJfQ_5_5"/>
      <w:bookmarkStart w:id="100" w:name="Tc_lq6G4aZmwk-RGfP5Jgowqg_5_2"/>
      <w:bookmarkStart w:id="101" w:name="Tc_Zk4QJZNZtkCx7HsMVgfLCg_5_0"/>
      <w:bookmarkStart w:id="102" w:name="Tc_dTdzGXkqoE6pbynV_UUqiQ_4_0"/>
      <w:bookmarkStart w:id="103" w:name="Tc_65uyZigxUUezqY3hcBH7Tg_3_5"/>
      <w:bookmarkStart w:id="104" w:name="Tc_HPjSGGpYp0mTxfzouIj0_Q_3_2"/>
      <w:bookmarkStart w:id="105" w:name="Tc_DOAPwssJwkeXtW6rAOL7aw_2_2"/>
      <w:bookmarkStart w:id="106" w:name="Tc_Vxpnff1p6UG_utj_8z03eA_1_2"/>
      <w:bookmarkStart w:id="107" w:name="_daf8d9f8_d863_4aea_b03a_c87de65a0f1b"/>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tbl>
      <w:tblPr>
        <w:tblW w:w="7193" w:type="dxa"/>
        <w:jc w:val="left"/>
        <w:tblInd w:w="0" w:type="dxa"/>
        <w:tblCellMar>
          <w:top w:w="0" w:type="dxa"/>
          <w:left w:w="0" w:type="dxa"/>
          <w:bottom w:w="0" w:type="dxa"/>
          <w:right w:w="0" w:type="dxa"/>
        </w:tblCellMar>
      </w:tblPr>
      <w:tblGrid>
        <w:gridCol w:w="4186"/>
        <w:gridCol w:w="326"/>
        <w:gridCol w:w="211"/>
        <w:gridCol w:w="781"/>
        <w:gridCol w:w="326"/>
        <w:gridCol w:w="211"/>
        <w:gridCol w:w="781"/>
        <w:gridCol w:w="371"/>
      </w:tblGrid>
      <w:tr>
        <w:trPr/>
        <w:tc>
          <w:tcPr>
            <w:tcW w:w="4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658110" cy="175260"/>
                      <wp:effectExtent l="0" t="0" r="0" b="0"/>
                      <wp:wrapNone/>
                      <wp:docPr id="2" name="Frame2"/>
                      <a:graphic xmlns:a="http://schemas.openxmlformats.org/drawingml/2006/main">
                        <a:graphicData uri="http://schemas.microsoft.com/office/word/2010/wordprocessingShape">
                          <wps:wsp>
                            <wps:cNvSpPr txBox="1"/>
                            <wps:spPr>
                              <a:xfrm>
                                <a:off x="0" y="0"/>
                                <a:ext cx="2658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5935" cy="175260"/>
                      <wp:effectExtent l="0" t="0" r="0" b="0"/>
                      <wp:wrapNone/>
                      <wp:docPr id="5" name="Frame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5935" cy="175260"/>
                      <wp:effectExtent l="0" t="0" r="0" b="0"/>
                      <wp:wrapNone/>
                      <wp:docPr id="8" name="Frame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5585" cy="175260"/>
                      <wp:effectExtent l="0" t="0" r="0" b="0"/>
                      <wp:wrapNone/>
                      <wp:docPr id="9" name="Frame9"/>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1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shd w:fill="auto" w:val="clear"/>
            <w:vAlign w:val="center"/>
          </w:tcPr>
          <w:p>
            <w:pPr>
              <w:pStyle w:val="TableContents"/>
              <w:spacing w:before="0" w:after="0"/>
              <w:ind w:left="0" w:right="0" w:hanging="0"/>
              <w:jc w:val="center"/>
              <w:rPr/>
            </w:pPr>
            <w:r>
              <w:rPr/>
              <w:t>​</w:t>
            </w:r>
          </w:p>
        </w:tc>
      </w:tr>
      <w:tr>
        <w:trPr/>
        <w:tc>
          <w:tcPr>
            <w:tcW w:w="4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71" w:type="dxa"/>
            <w:tcBorders/>
            <w:shd w:fill="auto" w:val="clear"/>
            <w:vAlign w:val="center"/>
          </w:tcPr>
          <w:p>
            <w:pPr>
              <w:pStyle w:val="TableContents"/>
              <w:spacing w:before="0" w:after="0"/>
              <w:ind w:left="0" w:right="0" w:hanging="0"/>
              <w:jc w:val="center"/>
              <w:rPr/>
            </w:pPr>
            <w:r>
              <w:rPr/>
              <w:t>​</w:t>
            </w:r>
          </w:p>
        </w:tc>
      </w:tr>
      <w:tr>
        <w:trPr/>
        <w:tc>
          <w:tcPr>
            <w:tcW w:w="4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0"/>
              <w:ind w:left="0" w:right="0" w:hanging="0"/>
              <w:jc w:val="center"/>
              <w:rPr/>
            </w:pPr>
            <w:r>
              <w:rPr/>
              <w:t>    </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246,007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196,531</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8,013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7,064</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254,020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203,595</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142,771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107,642</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7,230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6,187</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113,829</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104,019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89,766</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23,773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16,973</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14,144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11,291</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14,745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12,579</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52,662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40,843</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51,357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48,923</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(1,518)</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(1,617)</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income (expense)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(3,040)</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52,902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45,883</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provision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5,205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4,269</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47,697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41,614</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per share: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Shares used in computing net income per share: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weighted average shares of common stock</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32,744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33,245</w:t>
            </w:r>
          </w:p>
        </w:tc>
        <w:tc>
          <w:tcPr>
            <w:tcW w:w="37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 weighted average shares of common stock</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33,293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33,974</w:t>
            </w:r>
          </w:p>
        </w:tc>
        <w:tc>
          <w:tcPr>
            <w:tcW w:w="37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bookmarkStart w:id="108" w:name="_49374800_03d8_4ab5_8dd3_2b305cdcd928"/>
      <w:bookmarkEnd w:id="108"/>
      <w:r>
        <w:rPr>
          <w:rFonts w:ascii="Times New Roman;Times;serif" w:hAnsi="Times New Roman;Times;serif"/>
          <w:b/>
          <w:sz w:val="20"/>
        </w:rPr>
        <w:t>Axcelis Technologies, Inc.</w:t>
      </w:r>
    </w:p>
    <w:p>
      <w:pPr>
        <w:pStyle w:val="TextBody"/>
        <w:spacing w:before="0" w:after="0"/>
        <w:ind w:left="0" w:right="0" w:hanging="0"/>
        <w:jc w:val="center"/>
        <w:rPr>
          <w:rFonts w:ascii="Times New Roman;Times;serif" w:hAnsi="Times New Roman;Times;serif"/>
          <w:b/>
          <w:sz w:val="20"/>
        </w:rPr>
      </w:pPr>
      <w:bookmarkStart w:id="109" w:name="ConsolidatedStatementsofComprehensiveInc"/>
      <w:bookmarkEnd w:id="109"/>
      <w:r>
        <w:rPr>
          <w:rFonts w:ascii="Times New Roman;Times;serif" w:hAnsi="Times New Roman;Times;serif"/>
          <w:b/>
          <w:sz w:val="20"/>
        </w:rPr>
        <w:t xml:space="preserve">Consolidated Statements of Comprehensive Income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110" w:name="Tc_-Ropm4yPi0CO4Ak05rgIWw_9_5"/>
      <w:bookmarkStart w:id="111" w:name="Tc_S9Iiy44icUCNo4CBjoFjVQ_9_2"/>
      <w:bookmarkStart w:id="112" w:name="Tc_3xtle6AvGEqdZLbyNIq05A_9_0"/>
      <w:bookmarkStart w:id="113" w:name="Tc_usm9c_n9-UGbT7guwAHkyg_8_0"/>
      <w:bookmarkStart w:id="114" w:name="Tc_ORlynvfRYE-7H6DJCNPh6g_7_3"/>
      <w:bookmarkStart w:id="115" w:name="Tc_Z5bDPIGgcku0KuCpCNZTRA_7_0"/>
      <w:bookmarkStart w:id="116" w:name="Tc_hUYZOWgRYU-xsrXpMoTFpA_6_0"/>
      <w:bookmarkStart w:id="117" w:name="Tc_a6vzE3xDFUKsEm1Qm0Jcpg_5_0"/>
      <w:bookmarkStart w:id="118" w:name="Tc_JihuM5egIkC0YAb0nbxXMA_4_5"/>
      <w:bookmarkStart w:id="119" w:name="Tc_WrliPj6NkEeKkF5RdakQCg_4_2"/>
      <w:bookmarkStart w:id="120" w:name="Tc_MxGdq7Aop0KWEgMFYyXTxw_4_0"/>
      <w:bookmarkStart w:id="121" w:name="Tc_t2MAeMwIwE-EcvpH-CNsUA_3_5"/>
      <w:bookmarkStart w:id="122" w:name="Tc_e8WPQwSfXE2c6NcQaAeKSA_3_2"/>
      <w:bookmarkStart w:id="123" w:name="Tc_BQyAdFHtHUK7rKHvGSQrow_2_2"/>
      <w:bookmarkStart w:id="124" w:name="Tc_95Vl2ibbWE6JNoSK9k8eWw_1_2"/>
      <w:bookmarkStart w:id="125" w:name="_58c763bb_79e9_4cec_9333_ec0753e72401"/>
      <w:bookmarkStart w:id="126" w:name="Tc_-Ropm4yPi0CO4Ak05rgIWw_9_5"/>
      <w:bookmarkStart w:id="127" w:name="Tc_S9Iiy44icUCNo4CBjoFjVQ_9_2"/>
      <w:bookmarkStart w:id="128" w:name="Tc_3xtle6AvGEqdZLbyNIq05A_9_0"/>
      <w:bookmarkStart w:id="129" w:name="Tc_usm9c_n9-UGbT7guwAHkyg_8_0"/>
      <w:bookmarkStart w:id="130" w:name="Tc_ORlynvfRYE-7H6DJCNPh6g_7_3"/>
      <w:bookmarkStart w:id="131" w:name="Tc_Z5bDPIGgcku0KuCpCNZTRA_7_0"/>
      <w:bookmarkStart w:id="132" w:name="Tc_hUYZOWgRYU-xsrXpMoTFpA_6_0"/>
      <w:bookmarkStart w:id="133" w:name="Tc_a6vzE3xDFUKsEm1Qm0Jcpg_5_0"/>
      <w:bookmarkStart w:id="134" w:name="Tc_JihuM5egIkC0YAb0nbxXMA_4_5"/>
      <w:bookmarkStart w:id="135" w:name="Tc_WrliPj6NkEeKkF5RdakQCg_4_2"/>
      <w:bookmarkStart w:id="136" w:name="Tc_MxGdq7Aop0KWEgMFYyXTxw_4_0"/>
      <w:bookmarkStart w:id="137" w:name="Tc_t2MAeMwIwE-EcvpH-CNsUA_3_5"/>
      <w:bookmarkStart w:id="138" w:name="Tc_e8WPQwSfXE2c6NcQaAeKSA_3_2"/>
      <w:bookmarkStart w:id="139" w:name="Tc_BQyAdFHtHUK7rKHvGSQrow_2_2"/>
      <w:bookmarkStart w:id="140" w:name="Tc_95Vl2ibbWE6JNoSK9k8eWw_1_2"/>
      <w:bookmarkStart w:id="141" w:name="_58c763bb_79e9_4cec_9333_ec0753e72401"/>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9878" w:type="dxa"/>
        <w:jc w:val="left"/>
        <w:tblInd w:w="0" w:type="dxa"/>
        <w:tblCellMar>
          <w:top w:w="0" w:type="dxa"/>
          <w:left w:w="0" w:type="dxa"/>
          <w:bottom w:w="0" w:type="dxa"/>
          <w:right w:w="0" w:type="dxa"/>
        </w:tblCellMar>
      </w:tblPr>
      <w:tblGrid>
        <w:gridCol w:w="7066"/>
        <w:gridCol w:w="326"/>
        <w:gridCol w:w="211"/>
        <w:gridCol w:w="676"/>
        <w:gridCol w:w="326"/>
        <w:gridCol w:w="211"/>
        <w:gridCol w:w="691"/>
        <w:gridCol w:w="371"/>
      </w:tblGrid>
      <w:tr>
        <w:trPr/>
        <w:tc>
          <w:tcPr>
            <w:tcW w:w="7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486910" cy="175260"/>
                      <wp:effectExtent l="0" t="0" r="0" b="0"/>
                      <wp:wrapNone/>
                      <wp:docPr id="10" name="Frame10"/>
                      <a:graphic xmlns:a="http://schemas.openxmlformats.org/drawingml/2006/main">
                        <a:graphicData uri="http://schemas.microsoft.com/office/word/2010/wordprocessingShape">
                          <wps:wsp>
                            <wps:cNvSpPr txBox="1"/>
                            <wps:spPr>
                              <a:xfrm>
                                <a:off x="0" y="0"/>
                                <a:ext cx="448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29260" cy="175260"/>
                      <wp:effectExtent l="0" t="0" r="0" b="0"/>
                      <wp:wrapNone/>
                      <wp:docPr id="13" name="Frame1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38785" cy="175260"/>
                      <wp:effectExtent l="0" t="0" r="0" b="0"/>
                      <wp:wrapNone/>
                      <wp:docPr id="16" name="Frame1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35585" cy="175260"/>
                      <wp:effectExtent l="0" t="0" r="0" b="0"/>
                      <wp:wrapNone/>
                      <wp:docPr id="17" name="Frame17"/>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shd w:fill="auto" w:val="clear"/>
            <w:vAlign w:val="center"/>
          </w:tcPr>
          <w:p>
            <w:pPr>
              <w:pStyle w:val="TableContents"/>
              <w:spacing w:before="0" w:after="0"/>
              <w:ind w:left="0" w:right="0" w:hanging="0"/>
              <w:jc w:val="center"/>
              <w:rPr/>
            </w:pPr>
            <w:r>
              <w:rPr/>
              <w:t>​</w:t>
            </w:r>
          </w:p>
        </w:tc>
      </w:tr>
      <w:tr>
        <w:trPr/>
        <w:tc>
          <w:tcPr>
            <w:tcW w:w="7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71" w:type="dxa"/>
            <w:tcBorders/>
            <w:shd w:fill="auto" w:val="clear"/>
            <w:vAlign w:val="center"/>
          </w:tcPr>
          <w:p>
            <w:pPr>
              <w:pStyle w:val="TableContents"/>
              <w:spacing w:before="0" w:after="0"/>
              <w:ind w:left="0" w:right="0" w:hanging="0"/>
              <w:jc w:val="center"/>
              <w:rPr/>
            </w:pPr>
            <w:r>
              <w:rPr/>
              <w:t>​</w:t>
            </w:r>
          </w:p>
        </w:tc>
      </w:tr>
      <w:tr>
        <w:trPr/>
        <w:tc>
          <w:tcPr>
            <w:tcW w:w="7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0"/>
              <w:ind w:left="0" w:right="0" w:hanging="0"/>
              <w:jc w:val="center"/>
              <w:rPr/>
            </w:pPr>
            <w:r>
              <w:rPr/>
              <w:t>    </w:t>
            </w:r>
          </w:p>
        </w:tc>
      </w:tr>
      <w:tr>
        <w:trPr/>
        <w:tc>
          <w:tcPr>
            <w:tcW w:w="70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47,697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41,614</w:t>
            </w:r>
          </w:p>
        </w:tc>
        <w:tc>
          <w:tcPr>
            <w:tcW w:w="371" w:type="dxa"/>
            <w:tcBorders/>
            <w:shd w:fill="CCEEFF" w:val="clear"/>
            <w:vAlign w:val="center"/>
          </w:tcPr>
          <w:p>
            <w:pPr>
              <w:pStyle w:val="TableContents"/>
              <w:spacing w:before="0" w:after="0"/>
              <w:ind w:left="0" w:right="0" w:hanging="0"/>
              <w:rPr/>
            </w:pPr>
            <w:r>
              <w:rPr/>
              <w:t>​</w:t>
            </w:r>
          </w:p>
        </w:tc>
      </w:tr>
      <w:tr>
        <w:trPr/>
        <w:tc>
          <w:tcPr>
            <w:tcW w:w="70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70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71" w:type="dxa"/>
            <w:tcBorders/>
            <w:shd w:fill="CCEEFF" w:val="clear"/>
            <w:vAlign w:val="center"/>
          </w:tcPr>
          <w:p>
            <w:pPr>
              <w:pStyle w:val="TableContents"/>
              <w:spacing w:before="0" w:after="0"/>
              <w:ind w:left="0" w:right="0" w:hanging="0"/>
              <w:rPr/>
            </w:pPr>
            <w:r>
              <w:rPr/>
              <w:t>​</w:t>
            </w:r>
          </w:p>
        </w:tc>
      </w:tr>
      <w:tr>
        <w:trPr/>
        <w:tc>
          <w:tcPr>
            <w:tcW w:w="70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actuarial net gain and other adjustments from pension plan, net of tax</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71" w:type="dxa"/>
            <w:tcBorders/>
            <w:shd w:fill="auto" w:val="clear"/>
            <w:vAlign w:val="center"/>
          </w:tcPr>
          <w:p>
            <w:pPr>
              <w:pStyle w:val="TableContents"/>
              <w:spacing w:before="0" w:after="0"/>
              <w:ind w:left="0" w:right="0" w:hanging="0"/>
              <w:rPr/>
            </w:pPr>
            <w:r>
              <w:rPr/>
              <w:t>​</w:t>
            </w:r>
          </w:p>
        </w:tc>
      </w:tr>
      <w:tr>
        <w:trPr/>
        <w:tc>
          <w:tcPr>
            <w:tcW w:w="70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other comprehensive income (loss)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(1,177)</w:t>
            </w:r>
          </w:p>
        </w:tc>
        <w:tc>
          <w:tcPr>
            <w:tcW w:w="371" w:type="dxa"/>
            <w:tcBorders/>
            <w:shd w:fill="CCEEFF" w:val="clear"/>
            <w:vAlign w:val="center"/>
          </w:tcPr>
          <w:p>
            <w:pPr>
              <w:pStyle w:val="TableContents"/>
              <w:spacing w:before="0" w:after="0"/>
              <w:ind w:left="0" w:right="0" w:hanging="0"/>
              <w:rPr/>
            </w:pPr>
            <w:r>
              <w:rPr/>
              <w:t>​</w:t>
            </w:r>
          </w:p>
        </w:tc>
      </w:tr>
      <w:tr>
        <w:trPr/>
        <w:tc>
          <w:tcPr>
            <w:tcW w:w="70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47,747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40,437</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spacing w:before="0" w:after="0"/>
        <w:ind w:left="0" w:right="0" w:hanging="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bookmarkStart w:id="142" w:name="_e90c53dd_5501_4193_a006_7492dd12b6d8"/>
      <w:bookmarkEnd w:id="142"/>
      <w:r>
        <w:rPr>
          <w:rFonts w:ascii="Times New Roman;Times;serif" w:hAnsi="Times New Roman;Times;serif"/>
          <w:b/>
          <w:sz w:val="20"/>
        </w:rPr>
        <w:t>Axcelis Technologies, Inc.</w:t>
      </w:r>
    </w:p>
    <w:p>
      <w:pPr>
        <w:pStyle w:val="TextBody"/>
        <w:spacing w:before="0" w:after="0"/>
        <w:ind w:left="0" w:right="0" w:hanging="0"/>
        <w:jc w:val="center"/>
        <w:rPr>
          <w:rFonts w:ascii="Times New Roman;Times;serif" w:hAnsi="Times New Roman;Times;serif"/>
          <w:b/>
          <w:sz w:val="20"/>
        </w:rPr>
      </w:pPr>
      <w:bookmarkStart w:id="143" w:name="ConsolidatedBalanceSheets_859153"/>
      <w:bookmarkEnd w:id="143"/>
      <w:r>
        <w:rPr>
          <w:rFonts w:ascii="Times New Roman;Times;serif" w:hAnsi="Times New Roman;Times;serif"/>
          <w:b/>
          <w:sz w:val="20"/>
        </w:rPr>
        <w:t>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144" w:name="Tc_gVR3zNi_nEWHMAKdEkN9AQ_39_5"/>
      <w:bookmarkStart w:id="145" w:name="Tc_0nkBawmPfE2rrsCLAdf1Zg_39_2"/>
      <w:bookmarkStart w:id="146" w:name="Tc_PJWKWADGMUyR4uatGMnVfw_39_0"/>
      <w:bookmarkStart w:id="147" w:name="Tc_XKl49Qcg5UKaP6w3tqHONQ_38_0"/>
      <w:bookmarkStart w:id="148" w:name="Tc_1oFzsUzAnEWACF_PGY6eTA_37_0"/>
      <w:bookmarkStart w:id="149" w:name="Tc_hRvUUWQt8EuLSA6ic4nMNg_36_0"/>
      <w:bookmarkStart w:id="150" w:name="Tc_OUif50FTM0iSf8h9IZ8UJA_35_0"/>
      <w:bookmarkStart w:id="151" w:name="Tc_E7GGb93WlEazBWKE8u9-Pw_34_0"/>
      <w:bookmarkStart w:id="152" w:name="Tc_XMDkK9O2t0yaOQHJKb102g_33_0"/>
      <w:bookmarkStart w:id="153" w:name="Tc_EZJEUbuNnkqm3Qrr0ogJWw_32_0"/>
      <w:bookmarkStart w:id="154" w:name="Tc_rR8Cd9A6UEaeHTorGUJUVA_31_0"/>
      <w:bookmarkStart w:id="155" w:name="Tc_Up6vBdUd-02QM07rb9TRPg_30_0"/>
      <w:bookmarkStart w:id="156" w:name="Tc_QpT7PJlkNkWpulh0W8CPVQ_29_0"/>
      <w:bookmarkStart w:id="157" w:name="Tc_TNPrYz_3Mk-UUc0ESp9MQQ_28_0"/>
      <w:bookmarkStart w:id="158" w:name="Tc_zXKz54UjAECCwhuS7AfmCA_27_0"/>
      <w:bookmarkStart w:id="159" w:name="Tc_G9EjhuE9Fkebf6sSmqcFgg_26_0"/>
      <w:bookmarkStart w:id="160" w:name="Tc_Kvn6hMLYxUONyW6V3bqXDQ_25_0"/>
      <w:bookmarkStart w:id="161" w:name="Tc_4P_hEjUB9kqj1WeaCyYlQQ_24_0"/>
      <w:bookmarkStart w:id="162" w:name="Tc_66AiHm3JP0-h8BKj7p9QQQ_23_0"/>
      <w:bookmarkStart w:id="163" w:name="Tc_SfVQQfn27UO19KNDo75UUg_22_0"/>
      <w:bookmarkStart w:id="164" w:name="Tc_zFp59CWbe0CJaWhtqrtiAA_21_0"/>
      <w:bookmarkStart w:id="165" w:name="Tc_5vTdGYLm4kq2ycEpsN0K1A_20_5"/>
      <w:bookmarkStart w:id="166" w:name="Tc_Q1nolus-dUux3U_oN3VlAw_20_2"/>
      <w:bookmarkStart w:id="167" w:name="Tc_9F1eUwpkukeD2Vujwshi6w_20_0"/>
      <w:bookmarkStart w:id="168" w:name="Tc_yAiFFC70E0aPQdIVqpIKCg_19_0"/>
      <w:bookmarkStart w:id="169" w:name="Tc_4YtK_G1RsUqlfcSag2X75Q_18_0"/>
      <w:bookmarkStart w:id="170" w:name="Tc_1DEgTJlq3EasWHKa4XISrA_17_5"/>
      <w:bookmarkStart w:id="171" w:name="Tc_utZFFeOZZU23adaDzC1xlA_17_2"/>
      <w:bookmarkStart w:id="172" w:name="Tc_-4zjnaeo1ECqroXKIZMXSA_17_0"/>
      <w:bookmarkStart w:id="173" w:name="Tc_2gOUpvzUwEaPfOsg8JKBBQ_16_0"/>
      <w:bookmarkStart w:id="174" w:name="Tc_QquqnPF8SUSyOksewMAnfg_15_0"/>
      <w:bookmarkStart w:id="175" w:name="Tc_eKoVx_q26k-aaL8f0Y8xsg_14_0"/>
      <w:bookmarkStart w:id="176" w:name="Tc_LJu8DafBXU6tAC66LZ5Blg_13_0"/>
      <w:bookmarkStart w:id="177" w:name="Tc_50n9DVtnykqhgseFuJLq3Q_12_0"/>
      <w:bookmarkStart w:id="178" w:name="Tc_I8TeqPhV-0WkAyWvzigDfQ_11_0"/>
      <w:bookmarkStart w:id="179" w:name="Tc_sBO5UxXnX0yOkVFZJEdFIw_10_0"/>
      <w:bookmarkStart w:id="180" w:name="Tc_0DIce93ry0CLndtI3E9Fcw_9_0"/>
      <w:bookmarkStart w:id="181" w:name="Tc_CVwhIYD-hEKZSghKFMcTSA_8_0"/>
      <w:bookmarkStart w:id="182" w:name="Tc_2Q-_4qShIEGr9qJEN7aijg_7_0"/>
      <w:bookmarkStart w:id="183" w:name="Tc_ZOwGkS2G506B8lCrn4OfLQ_6_0"/>
      <w:bookmarkStart w:id="184" w:name="Tc_uiXsZi484ka-S9ziQq9CdA_5_5"/>
      <w:bookmarkStart w:id="185" w:name="Tc_vd-p_bDoTUuQV-mYWU838A_5_2"/>
      <w:bookmarkStart w:id="186" w:name="Tc_CSalx5dLyE-ILTZQ5n1jOA_5_0"/>
      <w:bookmarkStart w:id="187" w:name="Tc_8kFscj1YeEKd34066_ELdQ_4_0"/>
      <w:bookmarkStart w:id="188" w:name="Tc_Vgs-RVULpEinnCnCwK95ag_3_0"/>
      <w:bookmarkStart w:id="189" w:name="Tc_yyAX4BjG6EKd9QYNkGYYLA_2_5"/>
      <w:bookmarkStart w:id="190" w:name="Tc_ct9PrJBD7EiwoadiGWsDxQ_2_2"/>
      <w:bookmarkStart w:id="191" w:name="Tc_NTN6LYsri0an5RpAhR1rfQ_1_5"/>
      <w:bookmarkStart w:id="192" w:name="Tc_HTvKZjnKwkq2H9wQ7NH5dg_1_2"/>
      <w:bookmarkStart w:id="193" w:name="_c4d31299_f8ea_44f8_a1db_9c93247ed33d"/>
      <w:bookmarkStart w:id="194" w:name="Tc_gVR3zNi_nEWHMAKdEkN9AQ_39_5"/>
      <w:bookmarkStart w:id="195" w:name="Tc_0nkBawmPfE2rrsCLAdf1Zg_39_2"/>
      <w:bookmarkStart w:id="196" w:name="Tc_PJWKWADGMUyR4uatGMnVfw_39_0"/>
      <w:bookmarkStart w:id="197" w:name="Tc_XKl49Qcg5UKaP6w3tqHONQ_38_0"/>
      <w:bookmarkStart w:id="198" w:name="Tc_1oFzsUzAnEWACF_PGY6eTA_37_0"/>
      <w:bookmarkStart w:id="199" w:name="Tc_hRvUUWQt8EuLSA6ic4nMNg_36_0"/>
      <w:bookmarkStart w:id="200" w:name="Tc_OUif50FTM0iSf8h9IZ8UJA_35_0"/>
      <w:bookmarkStart w:id="201" w:name="Tc_E7GGb93WlEazBWKE8u9-Pw_34_0"/>
      <w:bookmarkStart w:id="202" w:name="Tc_XMDkK9O2t0yaOQHJKb102g_33_0"/>
      <w:bookmarkStart w:id="203" w:name="Tc_EZJEUbuNnkqm3Qrr0ogJWw_32_0"/>
      <w:bookmarkStart w:id="204" w:name="Tc_rR8Cd9A6UEaeHTorGUJUVA_31_0"/>
      <w:bookmarkStart w:id="205" w:name="Tc_Up6vBdUd-02QM07rb9TRPg_30_0"/>
      <w:bookmarkStart w:id="206" w:name="Tc_QpT7PJlkNkWpulh0W8CPVQ_29_0"/>
      <w:bookmarkStart w:id="207" w:name="Tc_TNPrYz_3Mk-UUc0ESp9MQQ_28_0"/>
      <w:bookmarkStart w:id="208" w:name="Tc_zXKz54UjAECCwhuS7AfmCA_27_0"/>
      <w:bookmarkStart w:id="209" w:name="Tc_G9EjhuE9Fkebf6sSmqcFgg_26_0"/>
      <w:bookmarkStart w:id="210" w:name="Tc_Kvn6hMLYxUONyW6V3bqXDQ_25_0"/>
      <w:bookmarkStart w:id="211" w:name="Tc_4P_hEjUB9kqj1WeaCyYlQQ_24_0"/>
      <w:bookmarkStart w:id="212" w:name="Tc_66AiHm3JP0-h8BKj7p9QQQ_23_0"/>
      <w:bookmarkStart w:id="213" w:name="Tc_SfVQQfn27UO19KNDo75UUg_22_0"/>
      <w:bookmarkStart w:id="214" w:name="Tc_zFp59CWbe0CJaWhtqrtiAA_21_0"/>
      <w:bookmarkStart w:id="215" w:name="Tc_5vTdGYLm4kq2ycEpsN0K1A_20_5"/>
      <w:bookmarkStart w:id="216" w:name="Tc_Q1nolus-dUux3U_oN3VlAw_20_2"/>
      <w:bookmarkStart w:id="217" w:name="Tc_9F1eUwpkukeD2Vujwshi6w_20_0"/>
      <w:bookmarkStart w:id="218" w:name="Tc_yAiFFC70E0aPQdIVqpIKCg_19_0"/>
      <w:bookmarkStart w:id="219" w:name="Tc_4YtK_G1RsUqlfcSag2X75Q_18_0"/>
      <w:bookmarkStart w:id="220" w:name="Tc_1DEgTJlq3EasWHKa4XISrA_17_5"/>
      <w:bookmarkStart w:id="221" w:name="Tc_utZFFeOZZU23adaDzC1xlA_17_2"/>
      <w:bookmarkStart w:id="222" w:name="Tc_-4zjnaeo1ECqroXKIZMXSA_17_0"/>
      <w:bookmarkStart w:id="223" w:name="Tc_2gOUpvzUwEaPfOsg8JKBBQ_16_0"/>
      <w:bookmarkStart w:id="224" w:name="Tc_QquqnPF8SUSyOksewMAnfg_15_0"/>
      <w:bookmarkStart w:id="225" w:name="Tc_eKoVx_q26k-aaL8f0Y8xsg_14_0"/>
      <w:bookmarkStart w:id="226" w:name="Tc_LJu8DafBXU6tAC66LZ5Blg_13_0"/>
      <w:bookmarkStart w:id="227" w:name="Tc_50n9DVtnykqhgseFuJLq3Q_12_0"/>
      <w:bookmarkStart w:id="228" w:name="Tc_I8TeqPhV-0WkAyWvzigDfQ_11_0"/>
      <w:bookmarkStart w:id="229" w:name="Tc_sBO5UxXnX0yOkVFZJEdFIw_10_0"/>
      <w:bookmarkStart w:id="230" w:name="Tc_0DIce93ry0CLndtI3E9Fcw_9_0"/>
      <w:bookmarkStart w:id="231" w:name="Tc_CVwhIYD-hEKZSghKFMcTSA_8_0"/>
      <w:bookmarkStart w:id="232" w:name="Tc_2Q-_4qShIEGr9qJEN7aijg_7_0"/>
      <w:bookmarkStart w:id="233" w:name="Tc_ZOwGkS2G506B8lCrn4OfLQ_6_0"/>
      <w:bookmarkStart w:id="234" w:name="Tc_uiXsZi484ka-S9ziQq9CdA_5_5"/>
      <w:bookmarkStart w:id="235" w:name="Tc_vd-p_bDoTUuQV-mYWU838A_5_2"/>
      <w:bookmarkStart w:id="236" w:name="Tc_CSalx5dLyE-ILTZQ5n1jOA_5_0"/>
      <w:bookmarkStart w:id="237" w:name="Tc_8kFscj1YeEKd34066_ELdQ_4_0"/>
      <w:bookmarkStart w:id="238" w:name="Tc_Vgs-RVULpEinnCnCwK95ag_3_0"/>
      <w:bookmarkStart w:id="239" w:name="Tc_yyAX4BjG6EKd9QYNkGYYLA_2_5"/>
      <w:bookmarkStart w:id="240" w:name="Tc_ct9PrJBD7EiwoadiGWsDxQ_2_2"/>
      <w:bookmarkStart w:id="241" w:name="Tc_NTN6LYsri0an5RpAhR1rfQ_1_5"/>
      <w:bookmarkStart w:id="242" w:name="Tc_HTvKZjnKwkq2H9wQ7NH5dg_1_2"/>
      <w:bookmarkStart w:id="243" w:name="_c4d31299_f8ea_44f8_a1db_9c93247ed33d"/>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tbl>
      <w:tblPr>
        <w:tblW w:w="10205" w:type="dxa"/>
        <w:jc w:val="left"/>
        <w:tblInd w:w="0" w:type="dxa"/>
        <w:tblCellMar>
          <w:top w:w="0" w:type="dxa"/>
          <w:left w:w="0" w:type="dxa"/>
          <w:bottom w:w="0" w:type="dxa"/>
          <w:right w:w="0" w:type="dxa"/>
        </w:tblCellMar>
      </w:tblPr>
      <w:tblGrid>
        <w:gridCol w:w="7059"/>
        <w:gridCol w:w="326"/>
        <w:gridCol w:w="211"/>
        <w:gridCol w:w="931"/>
        <w:gridCol w:w="326"/>
        <w:gridCol w:w="214"/>
        <w:gridCol w:w="946"/>
        <w:gridCol w:w="192"/>
      </w:tblGrid>
      <w:tr>
        <w:trPr/>
        <w:tc>
          <w:tcPr>
            <w:tcW w:w="70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482465" cy="175260"/>
                      <wp:effectExtent l="0" t="0" r="0" b="0"/>
                      <wp:wrapNone/>
                      <wp:docPr id="18" name="Frame18"/>
                      <a:graphic xmlns:a="http://schemas.openxmlformats.org/drawingml/2006/main">
                        <a:graphicData uri="http://schemas.microsoft.com/office/word/2010/wordprocessingShape">
                          <wps:wsp>
                            <wps:cNvSpPr txBox="1"/>
                            <wps:spPr>
                              <a:xfrm>
                                <a:off x="0" y="0"/>
                                <a:ext cx="44824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1185" cy="175260"/>
                      <wp:effectExtent l="0" t="0" r="0" b="0"/>
                      <wp:wrapNone/>
                      <wp:docPr id="21" name="Frame2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5890" cy="175260"/>
                      <wp:effectExtent l="0" t="0" r="0" b="0"/>
                      <wp:wrapNone/>
                      <wp:docPr id="23" name="Frame23"/>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00710" cy="175260"/>
                      <wp:effectExtent l="0" t="0" r="0" b="0"/>
                      <wp:wrapNone/>
                      <wp:docPr id="24" name="Frame24"/>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920" cy="175260"/>
                      <wp:effectExtent l="0" t="0" r="0" b="0"/>
                      <wp:wrapNone/>
                      <wp:docPr id="25" name="Frame25"/>
                      <a:graphic xmlns:a="http://schemas.openxmlformats.org/drawingml/2006/main">
                        <a:graphicData uri="http://schemas.microsoft.com/office/word/2010/wordprocessingShape">
                          <wps:wsp>
                            <wps:cNvSpPr txBox="1"/>
                            <wps:spPr>
                              <a:xfrm>
                                <a:off x="0" y="0"/>
                                <a:ext cx="121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05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March 31, </w:t>
            </w:r>
          </w:p>
        </w:tc>
        <w:tc>
          <w:tcPr>
            <w:tcW w:w="326" w:type="dxa"/>
            <w:tcBorders/>
            <w:shd w:fill="auto" w:val="clear"/>
            <w:vAlign w:val="center"/>
          </w:tcPr>
          <w:p>
            <w:pPr>
              <w:pStyle w:val="TableContents"/>
              <w:spacing w:before="0" w:after="0"/>
              <w:ind w:left="0" w:right="0" w:hanging="0"/>
              <w:jc w:val="center"/>
              <w:rPr/>
            </w:pPr>
            <w:r>
              <w:rPr/>
              <w:t>    </w:t>
            </w:r>
          </w:p>
        </w:tc>
        <w:tc>
          <w:tcPr>
            <w:tcW w:w="11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192" w:type="dxa"/>
            <w:tcBorders/>
            <w:shd w:fill="auto" w:val="clear"/>
            <w:vAlign w:val="center"/>
          </w:tcPr>
          <w:p>
            <w:pPr>
              <w:pStyle w:val="TableContents"/>
              <w:spacing w:before="0" w:after="0"/>
              <w:ind w:left="0" w:right="0" w:hanging="0"/>
              <w:jc w:val="center"/>
              <w:rPr/>
            </w:pPr>
            <w:r>
              <w:rPr/>
              <w:t> </w:t>
            </w:r>
          </w:p>
        </w:tc>
      </w:tr>
      <w:tr>
        <w:trPr/>
        <w:tc>
          <w:tcPr>
            <w:tcW w:w="705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shd w:fill="auto" w:val="clear"/>
            <w:vAlign w:val="center"/>
          </w:tcPr>
          <w:p>
            <w:pPr>
              <w:pStyle w:val="TableContents"/>
              <w:spacing w:before="0" w:after="0"/>
              <w:ind w:left="0" w:right="0" w:hanging="0"/>
              <w:jc w:val="center"/>
              <w:rPr/>
            </w:pPr>
            <w:r>
              <w:rPr/>
              <w:t>​</w:t>
            </w:r>
          </w:p>
        </w:tc>
        <w:tc>
          <w:tcPr>
            <w:tcW w:w="11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2" w:type="dxa"/>
            <w:tcBorders/>
            <w:shd w:fill="auto" w:val="clear"/>
            <w:vAlign w:val="center"/>
          </w:tcPr>
          <w:p>
            <w:pPr>
              <w:pStyle w:val="TableContents"/>
              <w:spacing w:before="0" w:after="0"/>
              <w:ind w:left="0" w:right="0" w:hanging="0"/>
              <w:jc w:val="center"/>
              <w:rPr/>
            </w:pPr>
            <w:r>
              <w:rPr/>
              <w:t> </w:t>
            </w:r>
          </w:p>
        </w:tc>
      </w:tr>
      <w:tr>
        <w:trPr/>
        <w:tc>
          <w:tcPr>
            <w:tcW w:w="10013" w:type="dxa"/>
            <w:gridSpan w:val="7"/>
            <w:tcBorders/>
            <w:shd w:fill="CCEE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164,479</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185,595</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280,220</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246,571</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189,597</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169,773</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Inventories,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262,054</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242,406</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38,092</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33,300</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934,442</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877,645</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40,970</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39,664</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10,660</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12,146</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 assets,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17,623</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17,942</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restricted cash</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6,653</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35,428</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31,701</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34,050</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33,791</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1,079,826</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1,013,641</w:t>
            </w:r>
          </w:p>
        </w:tc>
        <w:tc>
          <w:tcPr>
            <w:tcW w:w="192" w:type="dxa"/>
            <w:tcBorders/>
            <w:shd w:fill="CCEEFF" w:val="clear"/>
            <w:vAlign w:val="center"/>
          </w:tcPr>
          <w:p>
            <w:pPr>
              <w:pStyle w:val="TableContents"/>
              <w:spacing w:before="0" w:after="0"/>
              <w:ind w:left="0" w:right="0" w:hanging="0"/>
              <w:rPr/>
            </w:pPr>
            <w:r>
              <w:rPr/>
              <w:t>​</w:t>
            </w:r>
          </w:p>
        </w:tc>
      </w:tr>
      <w:tr>
        <w:trPr/>
        <w:tc>
          <w:tcPr>
            <w:tcW w:w="10013"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60,473</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62,346</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14,180</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35,540</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9,599</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8,299</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13,183</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4,304</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156,876</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123,471</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portion of finance lease obligation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12,334</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12,943</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267,942</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248,132</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finance lease obligation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44,831</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45,185</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deferred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44,849</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31,306</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20,383</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21,762</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378,005</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346,385</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Commitments and contingencies (Note 16)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rPr/>
            </w:pPr>
            <w:r>
              <w:rPr/>
              <w:t>​</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Common stock, $0.001 par value, 75,000 shares authorized; 32,726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March 31, 2023; 32,775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547,692</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jc w:val="right"/>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550,299</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Retained earnings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156,014</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jc w:val="right"/>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118,892</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(1,918)</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(1,968)</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701,821</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667,256</w:t>
            </w:r>
          </w:p>
        </w:tc>
        <w:tc>
          <w:tcPr>
            <w:tcW w:w="192" w:type="dxa"/>
            <w:tcBorders/>
            <w:shd w:fill="auto" w:val="clear"/>
            <w:vAlign w:val="center"/>
          </w:tcPr>
          <w:p>
            <w:pPr>
              <w:pStyle w:val="TableContents"/>
              <w:spacing w:before="0" w:after="0"/>
              <w:ind w:left="0" w:right="0" w:hanging="0"/>
              <w:rPr/>
            </w:pPr>
            <w:r>
              <w:rPr/>
              <w:t>​</w:t>
            </w:r>
          </w:p>
        </w:tc>
      </w:tr>
      <w:tr>
        <w:trPr/>
        <w:tc>
          <w:tcPr>
            <w:tcW w:w="705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1,079,826</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1,013,641</w:t>
            </w:r>
          </w:p>
        </w:tc>
        <w:tc>
          <w:tcPr>
            <w:tcW w:w="192" w:type="dxa"/>
            <w:tcBorders/>
            <w:shd w:fill="CCEEFF" w:val="clear"/>
            <w:vAlign w:val="center"/>
          </w:tcPr>
          <w:p>
            <w:pPr>
              <w:pStyle w:val="TableContents"/>
              <w:spacing w:before="0" w:after="0"/>
              <w:ind w:left="0" w:right="0" w:hanging="0"/>
              <w:rPr/>
            </w:pPr>
            <w:r>
              <w:rPr/>
              <w:t>​</w:t>
            </w:r>
          </w:p>
        </w:tc>
      </w:tr>
      <w:tr>
        <w:trPr/>
        <w:tc>
          <w:tcPr>
            <w:tcW w:w="705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192"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spacing w:before="0" w:after="0"/>
        <w:ind w:left="0" w:right="0" w:hanging="0"/>
        <w:jc w:val="center"/>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44" w:name="_2e8dac7b_c22f_4103_9e5b_4a8a6cd5d0aa"/>
      <w:bookmarkEnd w:id="244"/>
      <w:r>
        <w:rPr>
          <w:rFonts w:ascii="Times New Roman;Times;serif" w:hAnsi="Times New Roman;Times;serif"/>
          <w:b/>
          <w:sz w:val="20"/>
        </w:rPr>
        <w:t>Axcelis Technologies, Inc.</w:t>
      </w:r>
    </w:p>
    <w:p>
      <w:pPr>
        <w:pStyle w:val="TextBody"/>
        <w:spacing w:before="0" w:after="0"/>
        <w:ind w:left="0" w:right="0" w:hanging="0"/>
        <w:jc w:val="center"/>
        <w:rPr>
          <w:rFonts w:ascii="Times New Roman;Times;serif" w:hAnsi="Times New Roman;Times;serif"/>
          <w:b/>
          <w:sz w:val="20"/>
        </w:rPr>
      </w:pPr>
      <w:bookmarkStart w:id="245" w:name="ConsolidatedStatementEquity"/>
      <w:bookmarkEnd w:id="245"/>
      <w:r>
        <w:rPr>
          <w:rFonts w:ascii="Times New Roman;Times;serif" w:hAnsi="Times New Roman;Times;serif"/>
          <w:b/>
          <w:sz w:val="20"/>
        </w:rPr>
        <w:t>Consolidated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246" w:name="Tc_PUkbw8M1s0WnHZzSotCfPg_13_17"/>
      <w:bookmarkStart w:id="247" w:name="Tc_cxJTmsDBFUqRlCALaUQGDw_13_14"/>
      <w:bookmarkStart w:id="248" w:name="Tc_8hcXtM_UVkaD3OECFSQkfw_13_11"/>
      <w:bookmarkStart w:id="249" w:name="Tc_6hFpDtsGrUymGp4ZUMKUQg_13_8"/>
      <w:bookmarkStart w:id="250" w:name="Tc_rYJzTEKnWEKZP4s7LavyKw_13_5"/>
      <w:bookmarkStart w:id="251" w:name="Tc_70PHsuJmwEm39CBx8BSrTw_13_0"/>
      <w:bookmarkStart w:id="252" w:name="Tc_i_YsOtmAXkGkADOQjfqI6w_12_15"/>
      <w:bookmarkStart w:id="253" w:name="Tc_RoGDlDZKvU-mP-6T1y_jHQ_12_6"/>
      <w:bookmarkStart w:id="254" w:name="Tc_2YfIe5H4iUSyScnwOSrbUA_12_0"/>
      <w:bookmarkStart w:id="255" w:name="Tc_5nDSYvEOFUinCKuD1uNtkA_11_15"/>
      <w:bookmarkStart w:id="256" w:name="Tc_Xh_xlbWkZEK5uHI8fk--bw_11_12"/>
      <w:bookmarkStart w:id="257" w:name="Tc_sB8F2u9WvEadNPD3_XYO-w_11_6"/>
      <w:bookmarkStart w:id="258" w:name="Tc_MRAWgxpDqkuF3-7K4S9q8g_11_3"/>
      <w:bookmarkStart w:id="259" w:name="Tc_VtImyabyjUejENDwGNMrFw_11_0"/>
      <w:bookmarkStart w:id="260" w:name="Tc_Z3uQ8ki15kSKfRqV5Q38uQ_10_15"/>
      <w:bookmarkStart w:id="261" w:name="Tc_1gw82E7b2keE49BshJ5w-g_10_12"/>
      <w:bookmarkStart w:id="262" w:name="Tc_HtkwPsq-s0eobkYKT-Mw-g_10_6"/>
      <w:bookmarkStart w:id="263" w:name="Tc_0mIhsdNiKEOlkEfbksmSRg_10_0"/>
      <w:bookmarkStart w:id="264" w:name="Tc_O5K5X3z-BUq0Gq8KWhG3Rg_9_15"/>
      <w:bookmarkStart w:id="265" w:name="Tc_fFGPQjDJJk6Y-mIpXzyHAQ_9_12"/>
      <w:bookmarkStart w:id="266" w:name="Tc_SVazjND1kUG7R_NO4jTgIw_9_6"/>
      <w:bookmarkStart w:id="267" w:name="Tc_AYhhSGwZRkKT9xr4Cv7tqA_9_0"/>
      <w:bookmarkStart w:id="268" w:name="Tc_p0exF-mGzEObS6R276jgWA_8_12"/>
      <w:bookmarkStart w:id="269" w:name="Tc_yYYXDXEzzEKLwtJiU9u_-Q_8_9"/>
      <w:bookmarkStart w:id="270" w:name="Tc_vuwalbXhnUyAszY5dwJcYg_8_6"/>
      <w:bookmarkStart w:id="271" w:name="Tc_2PBjP6nSuEy6VZotbqmMxw_8_3"/>
      <w:bookmarkStart w:id="272" w:name="Tc_e8QPyBf5yU6dG6B6xhXd7A_8_0"/>
      <w:bookmarkStart w:id="273" w:name="Tc_qMyFsL5ReUar3Q2x0JKhPQ_7_12"/>
      <w:bookmarkStart w:id="274" w:name="Tc_Mp8ORxZ4tkCC8iNtfEhoVw_7_9"/>
      <w:bookmarkStart w:id="275" w:name="Tc_mS_xjT4ZSUaoWHEDINlF0A_7_6"/>
      <w:bookmarkStart w:id="276" w:name="Tc_1hxJpVuWVU2J5QYp3i2EhQ_7_3"/>
      <w:bookmarkStart w:id="277" w:name="Tc_mDiEwu75xEezYEMjARHBHg_7_0"/>
      <w:bookmarkStart w:id="278" w:name="Tc_JmduRoclokuO6m46qCFwlQ_6_15"/>
      <w:bookmarkStart w:id="279" w:name="Tc_qXgbyLf7pkyNwmnRIv5MBw_6_9"/>
      <w:bookmarkStart w:id="280" w:name="Tc_dibXqY29N0ayAS8ImH2Kmw_6_6"/>
      <w:bookmarkStart w:id="281" w:name="Tc_p8z3ZAu5rUy3R9LRZQsqUA_6_3"/>
      <w:bookmarkStart w:id="282" w:name="Tc_ZxfBUsuRf0OVtfVfsIlaeg_6_0"/>
      <w:bookmarkStart w:id="283" w:name="Tc_4PqVjQRALESTMNhUwILZGQ_5_17"/>
      <w:bookmarkStart w:id="284" w:name="Tc_vy19Lms3E0269jEIsHkZbg_5_14"/>
      <w:bookmarkStart w:id="285" w:name="Tc_tQ_-oXTa60eHVfc9gfvq5Q_5_11"/>
      <w:bookmarkStart w:id="286" w:name="Tc_H0oub9wB8E-MtYMivdGUJA_5_8"/>
      <w:bookmarkStart w:id="287" w:name="Tc_mnTQD3Pl8U-tE8ABz25L8A_5_5"/>
      <w:bookmarkStart w:id="288" w:name="Tc_e_Uw_QSx00eoAKdb_QXNhA_5_0"/>
      <w:bookmarkStart w:id="289" w:name="Tc_J2Df3bSL7EuwlD_WnOyMMQ_4_17"/>
      <w:bookmarkStart w:id="290" w:name="Tc_PVZKwyLatEqbz8M2_bXZMQ_4_14"/>
      <w:bookmarkStart w:id="291" w:name="Tc_iQFUWeSaiUmfDUdObWzf0A_4_11"/>
      <w:bookmarkStart w:id="292" w:name="Tc_7el04ENO-0WwmHmyWTBjjg_4_8"/>
      <w:bookmarkStart w:id="293" w:name="Tc_M-dhGa7f9EG36V6niFlpbQ_4_5"/>
      <w:bookmarkStart w:id="294" w:name="Tc_TnderCDKX0OWylFcKXgi1A_4_3"/>
      <w:bookmarkStart w:id="295" w:name="Tc_QkiafKTmsk-giGWuhlhUVQ_3_17"/>
      <w:bookmarkStart w:id="296" w:name="Tc_sOwzijGzr06yccW8Rriqlg_3_14"/>
      <w:bookmarkStart w:id="297" w:name="Tc_dwab7o12zkGnAdVDZ6c-7Q_3_11"/>
      <w:bookmarkStart w:id="298" w:name="Tc_FJ9xUi2g2Uqk23a9_qHvkw_3_8"/>
      <w:bookmarkStart w:id="299" w:name="Tc_v-rk6ObVp0qQs3_7R000Kg_3_3"/>
      <w:bookmarkStart w:id="300" w:name="Tc_MHv178sllUumOO1cPr0yZw_2_17"/>
      <w:bookmarkStart w:id="301" w:name="Tc_qbZBRg5Lnku8VSshlIwUag_2_14"/>
      <w:bookmarkStart w:id="302" w:name="Tc_p2IBJyjrRUyMy1Wr9jGqxg_2_11"/>
      <w:bookmarkStart w:id="303" w:name="Tc_2-f1YYQSZ0Cg_CW4bWSACA_2_8"/>
      <w:bookmarkStart w:id="304" w:name="Tc_QiqjT2zUEEShuang9rkUbQ_1_14"/>
      <w:bookmarkStart w:id="305" w:name="Tc_Xlw4rjgOK0ecCVMn_IKtKQ_1_11"/>
      <w:bookmarkStart w:id="306" w:name="_99eff1d5_ee31_432e_b99b_6582f5cfd9fe"/>
      <w:bookmarkStart w:id="307" w:name="Tc_PUkbw8M1s0WnHZzSotCfPg_13_17"/>
      <w:bookmarkStart w:id="308" w:name="Tc_cxJTmsDBFUqRlCALaUQGDw_13_14"/>
      <w:bookmarkStart w:id="309" w:name="Tc_8hcXtM_UVkaD3OECFSQkfw_13_11"/>
      <w:bookmarkStart w:id="310" w:name="Tc_6hFpDtsGrUymGp4ZUMKUQg_13_8"/>
      <w:bookmarkStart w:id="311" w:name="Tc_rYJzTEKnWEKZP4s7LavyKw_13_5"/>
      <w:bookmarkStart w:id="312" w:name="Tc_70PHsuJmwEm39CBx8BSrTw_13_0"/>
      <w:bookmarkStart w:id="313" w:name="Tc_i_YsOtmAXkGkADOQjfqI6w_12_15"/>
      <w:bookmarkStart w:id="314" w:name="Tc_RoGDlDZKvU-mP-6T1y_jHQ_12_6"/>
      <w:bookmarkStart w:id="315" w:name="Tc_2YfIe5H4iUSyScnwOSrbUA_12_0"/>
      <w:bookmarkStart w:id="316" w:name="Tc_5nDSYvEOFUinCKuD1uNtkA_11_15"/>
      <w:bookmarkStart w:id="317" w:name="Tc_Xh_xlbWkZEK5uHI8fk--bw_11_12"/>
      <w:bookmarkStart w:id="318" w:name="Tc_sB8F2u9WvEadNPD3_XYO-w_11_6"/>
      <w:bookmarkStart w:id="319" w:name="Tc_MRAWgxpDqkuF3-7K4S9q8g_11_3"/>
      <w:bookmarkStart w:id="320" w:name="Tc_VtImyabyjUejENDwGNMrFw_11_0"/>
      <w:bookmarkStart w:id="321" w:name="Tc_Z3uQ8ki15kSKfRqV5Q38uQ_10_15"/>
      <w:bookmarkStart w:id="322" w:name="Tc_1gw82E7b2keE49BshJ5w-g_10_12"/>
      <w:bookmarkStart w:id="323" w:name="Tc_HtkwPsq-s0eobkYKT-Mw-g_10_6"/>
      <w:bookmarkStart w:id="324" w:name="Tc_0mIhsdNiKEOlkEfbksmSRg_10_0"/>
      <w:bookmarkStart w:id="325" w:name="Tc_O5K5X3z-BUq0Gq8KWhG3Rg_9_15"/>
      <w:bookmarkStart w:id="326" w:name="Tc_fFGPQjDJJk6Y-mIpXzyHAQ_9_12"/>
      <w:bookmarkStart w:id="327" w:name="Tc_SVazjND1kUG7R_NO4jTgIw_9_6"/>
      <w:bookmarkStart w:id="328" w:name="Tc_AYhhSGwZRkKT9xr4Cv7tqA_9_0"/>
      <w:bookmarkStart w:id="329" w:name="Tc_p0exF-mGzEObS6R276jgWA_8_12"/>
      <w:bookmarkStart w:id="330" w:name="Tc_yYYXDXEzzEKLwtJiU9u_-Q_8_9"/>
      <w:bookmarkStart w:id="331" w:name="Tc_vuwalbXhnUyAszY5dwJcYg_8_6"/>
      <w:bookmarkStart w:id="332" w:name="Tc_2PBjP6nSuEy6VZotbqmMxw_8_3"/>
      <w:bookmarkStart w:id="333" w:name="Tc_e8QPyBf5yU6dG6B6xhXd7A_8_0"/>
      <w:bookmarkStart w:id="334" w:name="Tc_qMyFsL5ReUar3Q2x0JKhPQ_7_12"/>
      <w:bookmarkStart w:id="335" w:name="Tc_Mp8ORxZ4tkCC8iNtfEhoVw_7_9"/>
      <w:bookmarkStart w:id="336" w:name="Tc_mS_xjT4ZSUaoWHEDINlF0A_7_6"/>
      <w:bookmarkStart w:id="337" w:name="Tc_1hxJpVuWVU2J5QYp3i2EhQ_7_3"/>
      <w:bookmarkStart w:id="338" w:name="Tc_mDiEwu75xEezYEMjARHBHg_7_0"/>
      <w:bookmarkStart w:id="339" w:name="Tc_JmduRoclokuO6m46qCFwlQ_6_15"/>
      <w:bookmarkStart w:id="340" w:name="Tc_qXgbyLf7pkyNwmnRIv5MBw_6_9"/>
      <w:bookmarkStart w:id="341" w:name="Tc_dibXqY29N0ayAS8ImH2Kmw_6_6"/>
      <w:bookmarkStart w:id="342" w:name="Tc_p8z3ZAu5rUy3R9LRZQsqUA_6_3"/>
      <w:bookmarkStart w:id="343" w:name="Tc_ZxfBUsuRf0OVtfVfsIlaeg_6_0"/>
      <w:bookmarkStart w:id="344" w:name="Tc_4PqVjQRALESTMNhUwILZGQ_5_17"/>
      <w:bookmarkStart w:id="345" w:name="Tc_vy19Lms3E0269jEIsHkZbg_5_14"/>
      <w:bookmarkStart w:id="346" w:name="Tc_tQ_-oXTa60eHVfc9gfvq5Q_5_11"/>
      <w:bookmarkStart w:id="347" w:name="Tc_H0oub9wB8E-MtYMivdGUJA_5_8"/>
      <w:bookmarkStart w:id="348" w:name="Tc_mnTQD3Pl8U-tE8ABz25L8A_5_5"/>
      <w:bookmarkStart w:id="349" w:name="Tc_e_Uw_QSx00eoAKdb_QXNhA_5_0"/>
      <w:bookmarkStart w:id="350" w:name="Tc_J2Df3bSL7EuwlD_WnOyMMQ_4_17"/>
      <w:bookmarkStart w:id="351" w:name="Tc_PVZKwyLatEqbz8M2_bXZMQ_4_14"/>
      <w:bookmarkStart w:id="352" w:name="Tc_iQFUWeSaiUmfDUdObWzf0A_4_11"/>
      <w:bookmarkStart w:id="353" w:name="Tc_7el04ENO-0WwmHmyWTBjjg_4_8"/>
      <w:bookmarkStart w:id="354" w:name="Tc_M-dhGa7f9EG36V6niFlpbQ_4_5"/>
      <w:bookmarkStart w:id="355" w:name="Tc_TnderCDKX0OWylFcKXgi1A_4_3"/>
      <w:bookmarkStart w:id="356" w:name="Tc_QkiafKTmsk-giGWuhlhUVQ_3_17"/>
      <w:bookmarkStart w:id="357" w:name="Tc_sOwzijGzr06yccW8Rriqlg_3_14"/>
      <w:bookmarkStart w:id="358" w:name="Tc_dwab7o12zkGnAdVDZ6c-7Q_3_11"/>
      <w:bookmarkStart w:id="359" w:name="Tc_FJ9xUi2g2Uqk23a9_qHvkw_3_8"/>
      <w:bookmarkStart w:id="360" w:name="Tc_v-rk6ObVp0qQs3_7R000Kg_3_3"/>
      <w:bookmarkStart w:id="361" w:name="Tc_MHv178sllUumOO1cPr0yZw_2_17"/>
      <w:bookmarkStart w:id="362" w:name="Tc_qbZBRg5Lnku8VSshlIwUag_2_14"/>
      <w:bookmarkStart w:id="363" w:name="Tc_p2IBJyjrRUyMy1Wr9jGqxg_2_11"/>
      <w:bookmarkStart w:id="364" w:name="Tc_2-f1YYQSZ0Cg_CW4bWSACA_2_8"/>
      <w:bookmarkStart w:id="365" w:name="Tc_QiqjT2zUEEShuang9rkUbQ_1_14"/>
      <w:bookmarkStart w:id="366" w:name="Tc_Xlw4rjgOK0ecCVMn_IKtKQ_1_11"/>
      <w:bookmarkStart w:id="367" w:name="_99eff1d5_ee31_432e_b99b_6582f5cfd9fe"/>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tbl>
      <w:tblPr>
        <w:tblW w:w="10205" w:type="dxa"/>
        <w:jc w:val="left"/>
        <w:tblInd w:w="0" w:type="dxa"/>
        <w:tblCellMar>
          <w:top w:w="0" w:type="dxa"/>
          <w:left w:w="0" w:type="dxa"/>
          <w:bottom w:w="0" w:type="dxa"/>
          <w:right w:w="0" w:type="dxa"/>
        </w:tblCellMar>
      </w:tblPr>
      <w:tblGrid>
        <w:gridCol w:w="2389"/>
        <w:gridCol w:w="326"/>
        <w:gridCol w:w="109"/>
        <w:gridCol w:w="601"/>
        <w:gridCol w:w="326"/>
        <w:gridCol w:w="249"/>
        <w:gridCol w:w="442"/>
        <w:gridCol w:w="326"/>
        <w:gridCol w:w="196"/>
        <w:gridCol w:w="691"/>
        <w:gridCol w:w="326"/>
        <w:gridCol w:w="254"/>
        <w:gridCol w:w="857"/>
        <w:gridCol w:w="326"/>
        <w:gridCol w:w="310"/>
        <w:gridCol w:w="906"/>
        <w:gridCol w:w="326"/>
        <w:gridCol w:w="231"/>
        <w:gridCol w:w="821"/>
        <w:gridCol w:w="193"/>
      </w:tblGrid>
      <w:tr>
        <w:trPr/>
        <w:tc>
          <w:tcPr>
            <w:tcW w:w="23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517015" cy="175260"/>
                      <wp:effectExtent l="0" t="0" r="0" b="0"/>
                      <wp:wrapNone/>
                      <wp:docPr id="26" name="Frame26"/>
                      <a:graphic xmlns:a="http://schemas.openxmlformats.org/drawingml/2006/main">
                        <a:graphicData uri="http://schemas.microsoft.com/office/word/2010/wordprocessingShape">
                          <wps:wsp>
                            <wps:cNvSpPr txBox="1"/>
                            <wps:spPr>
                              <a:xfrm>
                                <a:off x="0" y="0"/>
                                <a:ext cx="1517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8" name="Frame2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81635" cy="175260"/>
                      <wp:effectExtent l="0" t="0" r="0" b="0"/>
                      <wp:wrapNone/>
                      <wp:docPr id="29" name="Frame29"/>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8115" cy="175260"/>
                      <wp:effectExtent l="0" t="0" r="0" b="0"/>
                      <wp:wrapNone/>
                      <wp:docPr id="31" name="Frame31"/>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80670" cy="175260"/>
                      <wp:effectExtent l="0" t="0" r="0" b="0"/>
                      <wp:wrapNone/>
                      <wp:docPr id="32" name="Frame32"/>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38785" cy="175260"/>
                      <wp:effectExtent l="0" t="0" r="0" b="0"/>
                      <wp:wrapNone/>
                      <wp:docPr id="35" name="Frame3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61290" cy="175260"/>
                      <wp:effectExtent l="0" t="0" r="0" b="0"/>
                      <wp:wrapNone/>
                      <wp:docPr id="37" name="Frame37"/>
                      <a:graphic xmlns:a="http://schemas.openxmlformats.org/drawingml/2006/main">
                        <a:graphicData uri="http://schemas.microsoft.com/office/word/2010/wordprocessingShape">
                          <wps:wsp>
                            <wps:cNvSpPr txBox="1"/>
                            <wps:spPr>
                              <a:xfrm>
                                <a:off x="0" y="0"/>
                                <a:ext cx="161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44195" cy="175260"/>
                      <wp:effectExtent l="0" t="0" r="0" b="0"/>
                      <wp:wrapNone/>
                      <wp:docPr id="38" name="Frame38"/>
                      <a:graphic xmlns:a="http://schemas.openxmlformats.org/drawingml/2006/main">
                        <a:graphicData uri="http://schemas.microsoft.com/office/word/2010/wordprocessingShape">
                          <wps:wsp>
                            <wps:cNvSpPr txBox="1"/>
                            <wps:spPr>
                              <a:xfrm>
                                <a:off x="0" y="0"/>
                                <a:ext cx="544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96850" cy="175260"/>
                      <wp:effectExtent l="0" t="0" r="0" b="0"/>
                      <wp:wrapNone/>
                      <wp:docPr id="40" name="Frame40"/>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75310" cy="175260"/>
                      <wp:effectExtent l="0" t="0" r="0" b="0"/>
                      <wp:wrapNone/>
                      <wp:docPr id="41" name="Frame41"/>
                      <a:graphic xmlns:a="http://schemas.openxmlformats.org/drawingml/2006/main">
                        <a:graphicData uri="http://schemas.microsoft.com/office/word/2010/wordprocessingShape">
                          <wps:wsp>
                            <wps:cNvSpPr txBox="1"/>
                            <wps:spPr>
                              <a:xfrm>
                                <a:off x="0" y="0"/>
                                <a:ext cx="575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6685" cy="175260"/>
                      <wp:effectExtent l="0" t="0" r="0" b="0"/>
                      <wp:wrapNone/>
                      <wp:docPr id="43" name="Frame43"/>
                      <a:graphic xmlns:a="http://schemas.openxmlformats.org/drawingml/2006/main">
                        <a:graphicData uri="http://schemas.microsoft.com/office/word/2010/wordprocessingShape">
                          <wps:wsp>
                            <wps:cNvSpPr txBox="1"/>
                            <wps:spPr>
                              <a:xfrm>
                                <a:off x="0" y="0"/>
                                <a:ext cx="146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21335" cy="175260"/>
                      <wp:effectExtent l="0" t="0" r="0" b="0"/>
                      <wp:wrapNone/>
                      <wp:docPr id="44" name="Frame44"/>
                      <a:graphic xmlns:a="http://schemas.openxmlformats.org/drawingml/2006/main">
                        <a:graphicData uri="http://schemas.microsoft.com/office/word/2010/wordprocessingShape">
                          <wps:wsp>
                            <wps:cNvSpPr txBox="1"/>
                            <wps:spPr>
                              <a:xfrm>
                                <a:off x="0" y="0"/>
                                <a:ext cx="521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2555" cy="175260"/>
                      <wp:effectExtent l="0" t="0" r="0" b="0"/>
                      <wp:wrapNone/>
                      <wp:docPr id="45" name="Frame45"/>
                      <a:graphic xmlns:a="http://schemas.openxmlformats.org/drawingml/2006/main">
                        <a:graphicData uri="http://schemas.microsoft.com/office/word/2010/wordprocessingShape">
                          <wps:wsp>
                            <wps:cNvSpPr txBox="1"/>
                            <wps:spPr>
                              <a:xfrm>
                                <a:off x="0" y="0"/>
                                <a:ext cx="122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9" w:type="dxa"/>
            <w:tcBorders/>
            <w:shd w:fill="auto" w:val="clear"/>
            <w:vAlign w:val="center"/>
          </w:tcPr>
          <w:p>
            <w:pPr>
              <w:pStyle w:val="TableContents"/>
              <w:spacing w:before="0" w:after="0"/>
              <w:ind w:left="0" w:right="0" w:hanging="0"/>
              <w:jc w:val="center"/>
              <w:rPr/>
            </w:pPr>
            <w:r>
              <w:rPr/>
              <w:t>​</w:t>
            </w:r>
          </w:p>
        </w:tc>
        <w:tc>
          <w:tcPr>
            <w:tcW w:w="4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jc w:val="center"/>
              <w:rPr/>
            </w:pPr>
            <w:r>
              <w:rPr/>
              <w:t>​</w:t>
            </w:r>
          </w:p>
        </w:tc>
        <w:tc>
          <w:tcPr>
            <w:tcW w:w="231" w:type="dxa"/>
            <w:tcBorders/>
            <w:shd w:fill="auto" w:val="clear"/>
            <w:vAlign w:val="center"/>
          </w:tcPr>
          <w:p>
            <w:pPr>
              <w:pStyle w:val="TableContents"/>
              <w:spacing w:before="0" w:after="0"/>
              <w:ind w:left="0" w:right="0" w:hanging="0"/>
              <w:jc w:val="center"/>
              <w:rPr/>
            </w:pPr>
            <w:r>
              <w:rPr/>
              <w:t>​</w:t>
            </w:r>
          </w:p>
        </w:tc>
        <w:tc>
          <w:tcPr>
            <w:tcW w:w="821" w:type="dxa"/>
            <w:tcBorders/>
            <w:shd w:fill="auto" w:val="clear"/>
            <w:vAlign w:val="center"/>
          </w:tcPr>
          <w:p>
            <w:pPr>
              <w:pStyle w:val="TableContents"/>
              <w:spacing w:before="0" w:after="0"/>
              <w:ind w:left="0" w:right="0" w:hanging="0"/>
              <w:jc w:val="center"/>
              <w:rPr/>
            </w:pPr>
            <w:r>
              <w:rPr/>
              <w:t>​</w:t>
            </w:r>
          </w:p>
        </w:tc>
        <w:tc>
          <w:tcPr>
            <w:tcW w:w="193" w:type="dxa"/>
            <w:tcBorders/>
            <w:shd w:fill="auto" w:val="clear"/>
            <w:vAlign w:val="center"/>
          </w:tcPr>
          <w:p>
            <w:pPr>
              <w:pStyle w:val="TableContents"/>
              <w:spacing w:before="0" w:after="0"/>
              <w:ind w:left="0" w:right="0" w:hanging="0"/>
              <w:jc w:val="center"/>
              <w:rPr/>
            </w:pPr>
            <w:r>
              <w:rPr/>
              <w:t> </w:t>
            </w:r>
          </w:p>
        </w:tc>
      </w:tr>
      <w:tr>
        <w:trPr/>
        <w:tc>
          <w:tcPr>
            <w:tcW w:w="23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9" w:type="dxa"/>
            <w:tcBorders/>
            <w:shd w:fill="auto" w:val="clear"/>
            <w:vAlign w:val="center"/>
          </w:tcPr>
          <w:p>
            <w:pPr>
              <w:pStyle w:val="TableContents"/>
              <w:spacing w:before="0" w:after="0"/>
              <w:ind w:left="0" w:right="0" w:hanging="0"/>
              <w:jc w:val="center"/>
              <w:rPr/>
            </w:pPr>
            <w:r>
              <w:rPr/>
              <w:t>​</w:t>
            </w:r>
          </w:p>
        </w:tc>
        <w:tc>
          <w:tcPr>
            <w:tcW w:w="4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jc w:val="center"/>
              <w:rPr/>
            </w:pPr>
            <w:r>
              <w:rPr/>
              <w:t>​</w:t>
            </w:r>
          </w:p>
        </w:tc>
        <w:tc>
          <w:tcPr>
            <w:tcW w:w="111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w:t>
            </w:r>
          </w:p>
        </w:tc>
        <w:tc>
          <w:tcPr>
            <w:tcW w:w="10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3" w:type="dxa"/>
            <w:tcBorders/>
            <w:shd w:fill="auto" w:val="clear"/>
            <w:vAlign w:val="center"/>
          </w:tcPr>
          <w:p>
            <w:pPr>
              <w:pStyle w:val="TableContents"/>
              <w:spacing w:before="0" w:after="0"/>
              <w:ind w:left="0" w:right="0" w:hanging="0"/>
              <w:jc w:val="center"/>
              <w:rPr/>
            </w:pPr>
            <w:r>
              <w:rPr/>
              <w:t> </w:t>
            </w:r>
          </w:p>
        </w:tc>
      </w:tr>
      <w:tr>
        <w:trPr/>
        <w:tc>
          <w:tcPr>
            <w:tcW w:w="23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618"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0"/>
              <w:ind w:left="0" w:right="0" w:hanging="0"/>
              <w:jc w:val="center"/>
              <w:rPr/>
            </w:pPr>
            <w:r>
              <w:rPr/>
              <w:t>​</w:t>
            </w:r>
          </w:p>
        </w:tc>
        <w:tc>
          <w:tcPr>
            <w:tcW w:w="111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0"/>
              <w:ind w:left="0" w:right="0" w:hanging="0"/>
              <w:jc w:val="center"/>
              <w:rPr/>
            </w:pPr>
            <w:r>
              <w:rPr/>
              <w:t>​</w:t>
            </w:r>
          </w:p>
        </w:tc>
        <w:tc>
          <w:tcPr>
            <w:tcW w:w="10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193" w:type="dxa"/>
            <w:tcBorders/>
            <w:shd w:fill="auto" w:val="clear"/>
            <w:vAlign w:val="center"/>
          </w:tcPr>
          <w:p>
            <w:pPr>
              <w:pStyle w:val="TableContents"/>
              <w:spacing w:before="0" w:after="0"/>
              <w:ind w:left="0" w:right="0" w:hanging="0"/>
              <w:jc w:val="center"/>
              <w:rPr/>
            </w:pPr>
            <w:r>
              <w:rPr/>
              <w:t> </w:t>
            </w:r>
          </w:p>
        </w:tc>
      </w:tr>
      <w:tr>
        <w:trPr/>
        <w:tc>
          <w:tcPr>
            <w:tcW w:w="238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jc w:val="center"/>
              <w:rPr/>
            </w:pPr>
            <w:r>
              <w:rPr/>
              <w:t>    </w:t>
            </w:r>
          </w:p>
        </w:tc>
        <w:tc>
          <w:tcPr>
            <w:tcW w:w="11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93" w:type="dxa"/>
            <w:tcBorders/>
            <w:shd w:fill="auto" w:val="clear"/>
            <w:vAlign w:val="center"/>
          </w:tcPr>
          <w:p>
            <w:pPr>
              <w:pStyle w:val="TableContents"/>
              <w:spacing w:before="0" w:after="0"/>
              <w:ind w:left="0" w:right="0" w:hanging="0"/>
              <w:jc w:val="center"/>
              <w:rPr/>
            </w:pPr>
            <w:r>
              <w:rPr/>
              <w:t> </w:t>
            </w:r>
          </w:p>
        </w:tc>
      </w:tr>
      <w:tr>
        <w:trPr/>
        <w:tc>
          <w:tcPr>
            <w:tcW w:w="238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at December 31, 2021</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33,240</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559,883</w:t>
            </w:r>
          </w:p>
        </w:tc>
        <w:tc>
          <w:tcPr>
            <w:tcW w:w="326" w:type="dxa"/>
            <w:tcBorders/>
            <w:shd w:fill="CCEEFF" w:val="clear"/>
            <w:vAlign w:val="center"/>
          </w:tcPr>
          <w:p>
            <w:pPr>
              <w:pStyle w:val="TableContents"/>
              <w:spacing w:before="0" w:after="0"/>
              <w:ind w:left="0" w:right="0" w:hanging="0"/>
              <w:rPr/>
            </w:pPr>
            <w:r>
              <w:rPr/>
              <w:t>​</w:t>
            </w:r>
          </w:p>
        </w:tc>
        <w:tc>
          <w:tcPr>
            <w:tcW w:w="25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(22,722)</w:t>
            </w:r>
          </w:p>
        </w:tc>
        <w:tc>
          <w:tcPr>
            <w:tcW w:w="326" w:type="dxa"/>
            <w:tcBorders/>
            <w:shd w:fill="CCEEFF" w:val="clear"/>
            <w:vAlign w:val="center"/>
          </w:tcPr>
          <w:p>
            <w:pPr>
              <w:pStyle w:val="TableContents"/>
              <w:spacing w:before="0" w:after="0"/>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1,765</w:t>
            </w:r>
          </w:p>
        </w:tc>
        <w:tc>
          <w:tcPr>
            <w:tcW w:w="326" w:type="dxa"/>
            <w:tcBorders/>
            <w:shd w:fill="CCEEFF" w:val="clear"/>
            <w:vAlign w:val="center"/>
          </w:tcPr>
          <w:p>
            <w:pPr>
              <w:pStyle w:val="TableContents"/>
              <w:spacing w:before="0" w:after="0"/>
              <w:ind w:left="0" w:right="0" w:hanging="0"/>
              <w:rPr/>
            </w:pPr>
            <w:r>
              <w:rPr/>
              <w:t>​</w:t>
            </w:r>
          </w:p>
        </w:tc>
        <w:tc>
          <w:tcPr>
            <w:tcW w:w="23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538,959</w:t>
            </w:r>
          </w:p>
        </w:tc>
        <w:tc>
          <w:tcPr>
            <w:tcW w:w="193" w:type="dxa"/>
            <w:tcBorders/>
            <w:shd w:fill="CCEEFF" w:val="clear"/>
            <w:vAlign w:val="center"/>
          </w:tcPr>
          <w:p>
            <w:pPr>
              <w:pStyle w:val="TableContents"/>
              <w:spacing w:before="0" w:after="0"/>
              <w:ind w:left="0" w:right="0" w:hanging="0"/>
              <w:rPr/>
            </w:pPr>
            <w:r>
              <w:rPr/>
              <w:t>​</w:t>
            </w:r>
          </w:p>
        </w:tc>
      </w:tr>
      <w:tr>
        <w:trPr/>
        <w:tc>
          <w:tcPr>
            <w:tcW w:w="238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income</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jc w:val="righ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41,614</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jc w:val="right"/>
              <w:rPr/>
            </w:pPr>
            <w:r>
              <w:rPr/>
              <w:t> </w:t>
            </w:r>
          </w:p>
        </w:tc>
        <w:tc>
          <w:tcPr>
            <w:tcW w:w="9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1" w:type="dxa"/>
            <w:tcBorders/>
            <w:shd w:fill="auto" w:val="clear"/>
            <w:vAlign w:val="center"/>
          </w:tcPr>
          <w:p>
            <w:pPr>
              <w:pStyle w:val="TableContents"/>
              <w:spacing w:before="0" w:after="0"/>
              <w:ind w:left="0" w:right="0" w:hanging="0"/>
              <w:jc w:val="right"/>
              <w:rPr/>
            </w:pPr>
            <w:r>
              <w:rPr/>
              <w:t> </w:t>
            </w:r>
          </w:p>
        </w:tc>
        <w:tc>
          <w:tcPr>
            <w:tcW w:w="8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41,614</w:t>
            </w:r>
          </w:p>
        </w:tc>
        <w:tc>
          <w:tcPr>
            <w:tcW w:w="193" w:type="dxa"/>
            <w:tcBorders/>
            <w:shd w:fill="auto" w:val="clear"/>
            <w:vAlign w:val="center"/>
          </w:tcPr>
          <w:p>
            <w:pPr>
              <w:pStyle w:val="TableContents"/>
              <w:spacing w:before="0" w:after="0"/>
              <w:ind w:left="0" w:right="0" w:hanging="0"/>
              <w:rPr/>
            </w:pPr>
            <w:r>
              <w:rPr/>
              <w:t>​</w:t>
            </w:r>
          </w:p>
        </w:tc>
      </w:tr>
      <w:tr>
        <w:trPr/>
        <w:tc>
          <w:tcPr>
            <w:tcW w:w="238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Foreign currency translation adjustments</w:t>
            </w:r>
          </w:p>
        </w:tc>
        <w:tc>
          <w:tcPr>
            <w:tcW w:w="32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jc w:val="right"/>
              <w:rPr/>
            </w:pPr>
            <w:r>
              <w:rPr/>
              <w:t> </w:t>
            </w:r>
          </w:p>
        </w:tc>
        <w:tc>
          <w:tcPr>
            <w:tcW w:w="44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jc w:val="right"/>
              <w:rPr/>
            </w:pPr>
            <w:r>
              <w:rPr/>
              <w:t> </w:t>
            </w:r>
          </w:p>
        </w:tc>
        <w:tc>
          <w:tcPr>
            <w:tcW w:w="85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jc w:val="right"/>
              <w:rPr/>
            </w:pPr>
            <w:r>
              <w:rPr/>
              <w:t> </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(1,186)</w:t>
            </w:r>
          </w:p>
        </w:tc>
        <w:tc>
          <w:tcPr>
            <w:tcW w:w="326" w:type="dxa"/>
            <w:tcBorders/>
            <w:shd w:fill="CCEEFF" w:val="clear"/>
            <w:vAlign w:val="center"/>
          </w:tcPr>
          <w:p>
            <w:pPr>
              <w:pStyle w:val="TableContents"/>
              <w:spacing w:before="0" w:after="0"/>
              <w:ind w:left="0" w:right="0" w:hanging="0"/>
              <w:rPr/>
            </w:pPr>
            <w:r>
              <w:rPr/>
              <w:t>​</w:t>
            </w:r>
          </w:p>
        </w:tc>
        <w:tc>
          <w:tcPr>
            <w:tcW w:w="231" w:type="dxa"/>
            <w:tcBorders/>
            <w:shd w:fill="CCEEFF" w:val="clear"/>
            <w:vAlign w:val="center"/>
          </w:tcPr>
          <w:p>
            <w:pPr>
              <w:pStyle w:val="TableContents"/>
              <w:spacing w:before="0" w:after="0"/>
              <w:ind w:left="0" w:right="0" w:hanging="0"/>
              <w:jc w:val="right"/>
              <w:rPr/>
            </w:pPr>
            <w:r>
              <w:rPr/>
              <w:t> </w:t>
            </w:r>
          </w:p>
        </w:tc>
        <w:tc>
          <w:tcPr>
            <w:tcW w:w="8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(1,186)</w:t>
            </w:r>
          </w:p>
        </w:tc>
        <w:tc>
          <w:tcPr>
            <w:tcW w:w="193" w:type="dxa"/>
            <w:tcBorders/>
            <w:shd w:fill="CCEEFF" w:val="clear"/>
            <w:vAlign w:val="center"/>
          </w:tcPr>
          <w:p>
            <w:pPr>
              <w:pStyle w:val="TableContents"/>
              <w:spacing w:before="0" w:after="0"/>
              <w:ind w:left="0" w:right="0" w:hanging="0"/>
              <w:rPr/>
            </w:pPr>
            <w:r>
              <w:rPr/>
              <w:t>​</w:t>
            </w:r>
          </w:p>
        </w:tc>
      </w:tr>
      <w:tr>
        <w:trPr/>
        <w:tc>
          <w:tcPr>
            <w:tcW w:w="238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Change in pension obligation</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jc w:val="righ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jc w:val="right"/>
              <w:rPr/>
            </w:pPr>
            <w:r>
              <w:rPr/>
              <w:t> </w:t>
            </w:r>
          </w:p>
        </w:tc>
        <w:tc>
          <w:tcPr>
            <w:tcW w:w="90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26" w:type="dxa"/>
            <w:tcBorders/>
            <w:shd w:fill="auto" w:val="clear"/>
            <w:vAlign w:val="center"/>
          </w:tcPr>
          <w:p>
            <w:pPr>
              <w:pStyle w:val="TableContents"/>
              <w:spacing w:before="0" w:after="0"/>
              <w:ind w:left="0" w:right="0" w:hanging="0"/>
              <w:rPr/>
            </w:pPr>
            <w:r>
              <w:rPr/>
              <w:t>​</w:t>
            </w:r>
          </w:p>
        </w:tc>
        <w:tc>
          <w:tcPr>
            <w:tcW w:w="231" w:type="dxa"/>
            <w:tcBorders/>
            <w:shd w:fill="auto" w:val="clear"/>
            <w:vAlign w:val="center"/>
          </w:tcPr>
          <w:p>
            <w:pPr>
              <w:pStyle w:val="TableContents"/>
              <w:spacing w:before="0" w:after="0"/>
              <w:ind w:left="0" w:right="0" w:hanging="0"/>
              <w:jc w:val="right"/>
              <w:rPr/>
            </w:pPr>
            <w:r>
              <w:rPr/>
              <w:t> </w:t>
            </w:r>
          </w:p>
        </w:tc>
        <w:tc>
          <w:tcPr>
            <w:tcW w:w="8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93" w:type="dxa"/>
            <w:tcBorders/>
            <w:shd w:fill="auto" w:val="clear"/>
            <w:vAlign w:val="center"/>
          </w:tcPr>
          <w:p>
            <w:pPr>
              <w:pStyle w:val="TableContents"/>
              <w:spacing w:before="0" w:after="0"/>
              <w:ind w:left="0" w:right="0" w:hanging="0"/>
              <w:rPr/>
            </w:pPr>
            <w:r>
              <w:rPr/>
              <w:t>​</w:t>
            </w:r>
          </w:p>
        </w:tc>
      </w:tr>
      <w:tr>
        <w:trPr/>
        <w:tc>
          <w:tcPr>
            <w:tcW w:w="238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Exercise of stock options</w:t>
            </w:r>
          </w:p>
        </w:tc>
        <w:tc>
          <w:tcPr>
            <w:tcW w:w="32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jc w:val="right"/>
              <w:rPr/>
            </w:pPr>
            <w:r>
              <w:rPr/>
              <w:t> </w:t>
            </w:r>
          </w:p>
        </w:tc>
        <w:tc>
          <w:tcPr>
            <w:tcW w:w="44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491</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jc w:val="right"/>
              <w:rPr/>
            </w:pPr>
            <w:r>
              <w:rPr/>
              <w:t> </w:t>
            </w:r>
          </w:p>
        </w:tc>
        <w:tc>
          <w:tcPr>
            <w:tcW w:w="85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jc w:val="right"/>
              <w:rPr/>
            </w:pPr>
            <w:r>
              <w:rPr/>
              <w:t> </w:t>
            </w:r>
          </w:p>
        </w:tc>
        <w:tc>
          <w:tcPr>
            <w:tcW w:w="9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1" w:type="dxa"/>
            <w:tcBorders/>
            <w:shd w:fill="CCEEFF" w:val="clear"/>
            <w:vAlign w:val="center"/>
          </w:tcPr>
          <w:p>
            <w:pPr>
              <w:pStyle w:val="TableContents"/>
              <w:spacing w:before="0" w:after="0"/>
              <w:ind w:left="0" w:right="0" w:hanging="0"/>
              <w:jc w:val="right"/>
              <w:rPr/>
            </w:pPr>
            <w:r>
              <w:rPr/>
              <w:t> </w:t>
            </w:r>
          </w:p>
        </w:tc>
        <w:tc>
          <w:tcPr>
            <w:tcW w:w="8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491</w:t>
            </w:r>
          </w:p>
        </w:tc>
        <w:tc>
          <w:tcPr>
            <w:tcW w:w="193" w:type="dxa"/>
            <w:tcBorders/>
            <w:shd w:fill="CCEEFF" w:val="clear"/>
            <w:vAlign w:val="center"/>
          </w:tcPr>
          <w:p>
            <w:pPr>
              <w:pStyle w:val="TableContents"/>
              <w:spacing w:before="0" w:after="0"/>
              <w:ind w:left="0" w:right="0" w:hanging="0"/>
              <w:rPr/>
            </w:pPr>
            <w:r>
              <w:rPr/>
              <w:t>​</w:t>
            </w:r>
          </w:p>
        </w:tc>
      </w:tr>
      <w:tr>
        <w:trPr/>
        <w:tc>
          <w:tcPr>
            <w:tcW w:w="238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jc w:val="righ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(3,315)</w:t>
            </w:r>
          </w:p>
        </w:tc>
        <w:tc>
          <w:tcPr>
            <w:tcW w:w="326" w:type="dxa"/>
            <w:tcBorders/>
            <w:shd w:fill="auto" w:val="clear"/>
            <w:vAlign w:val="center"/>
          </w:tcPr>
          <w:p>
            <w:pPr>
              <w:pStyle w:val="TableContents"/>
              <w:spacing w:before="0" w:after="0"/>
              <w:ind w:left="0" w:right="0" w:hanging="0"/>
              <w:rPr/>
            </w:pPr>
            <w:r>
              <w:rPr/>
              <w:t>​</w:t>
            </w:r>
          </w:p>
        </w:tc>
        <w:tc>
          <w:tcPr>
            <w:tcW w:w="254" w:type="dxa"/>
            <w:tcBorders/>
            <w:shd w:fill="auto" w:val="clear"/>
            <w:vAlign w:val="center"/>
          </w:tcPr>
          <w:p>
            <w:pPr>
              <w:pStyle w:val="TableContents"/>
              <w:spacing w:before="0" w:after="0"/>
              <w:ind w:left="0" w:right="0" w:hanging="0"/>
              <w:jc w:val="right"/>
              <w:rPr/>
            </w:pPr>
            <w:r>
              <w:rPr/>
              <w:t> </w:t>
            </w:r>
          </w:p>
        </w:tc>
        <w:tc>
          <w:tcPr>
            <w:tcW w:w="85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jc w:val="right"/>
              <w:rPr/>
            </w:pPr>
            <w:r>
              <w:rPr/>
              <w:t> </w:t>
            </w:r>
          </w:p>
        </w:tc>
        <w:tc>
          <w:tcPr>
            <w:tcW w:w="9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1" w:type="dxa"/>
            <w:tcBorders/>
            <w:shd w:fill="auto" w:val="clear"/>
            <w:vAlign w:val="center"/>
          </w:tcPr>
          <w:p>
            <w:pPr>
              <w:pStyle w:val="TableContents"/>
              <w:spacing w:before="0" w:after="0"/>
              <w:ind w:left="0" w:right="0" w:hanging="0"/>
              <w:jc w:val="right"/>
              <w:rPr/>
            </w:pPr>
            <w:r>
              <w:rPr/>
              <w:t> </w:t>
            </w:r>
          </w:p>
        </w:tc>
        <w:tc>
          <w:tcPr>
            <w:tcW w:w="8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(3,315)</w:t>
            </w:r>
          </w:p>
        </w:tc>
        <w:tc>
          <w:tcPr>
            <w:tcW w:w="193" w:type="dxa"/>
            <w:tcBorders/>
            <w:shd w:fill="auto" w:val="clear"/>
            <w:vAlign w:val="center"/>
          </w:tcPr>
          <w:p>
            <w:pPr>
              <w:pStyle w:val="TableContents"/>
              <w:spacing w:before="0" w:after="0"/>
              <w:ind w:left="0" w:right="0" w:hanging="0"/>
              <w:rPr/>
            </w:pPr>
            <w:r>
              <w:rPr/>
              <w:t>​</w:t>
            </w:r>
          </w:p>
        </w:tc>
      </w:tr>
      <w:tr>
        <w:trPr/>
        <w:tc>
          <w:tcPr>
            <w:tcW w:w="238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2,701</w:t>
            </w:r>
          </w:p>
        </w:tc>
        <w:tc>
          <w:tcPr>
            <w:tcW w:w="326" w:type="dxa"/>
            <w:tcBorders/>
            <w:shd w:fill="CCEEFF" w:val="clear"/>
            <w:vAlign w:val="center"/>
          </w:tcPr>
          <w:p>
            <w:pPr>
              <w:pStyle w:val="TableContents"/>
              <w:spacing w:before="0" w:after="0"/>
              <w:ind w:left="0" w:right="0" w:hanging="0"/>
              <w:rPr/>
            </w:pPr>
            <w:r>
              <w:rPr/>
              <w:t>​</w:t>
            </w:r>
          </w:p>
        </w:tc>
        <w:tc>
          <w:tcPr>
            <w:tcW w:w="254" w:type="dxa"/>
            <w:tcBorders/>
            <w:shd w:fill="CCEEFF" w:val="clear"/>
            <w:vAlign w:val="center"/>
          </w:tcPr>
          <w:p>
            <w:pPr>
              <w:pStyle w:val="TableContents"/>
              <w:spacing w:before="0" w:after="0"/>
              <w:ind w:left="0" w:right="0" w:hanging="0"/>
              <w:jc w:val="right"/>
              <w:rPr/>
            </w:pPr>
            <w:r>
              <w:rPr/>
              <w:t> </w:t>
            </w:r>
          </w:p>
        </w:tc>
        <w:tc>
          <w:tcPr>
            <w:tcW w:w="85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jc w:val="right"/>
              <w:rPr/>
            </w:pPr>
            <w:r>
              <w:rPr/>
              <w:t> </w:t>
            </w:r>
          </w:p>
        </w:tc>
        <w:tc>
          <w:tcPr>
            <w:tcW w:w="9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1" w:type="dxa"/>
            <w:tcBorders/>
            <w:shd w:fill="CCEEFF" w:val="clear"/>
            <w:vAlign w:val="center"/>
          </w:tcPr>
          <w:p>
            <w:pPr>
              <w:pStyle w:val="TableContents"/>
              <w:spacing w:before="0" w:after="0"/>
              <w:ind w:left="0" w:right="0" w:hanging="0"/>
              <w:jc w:val="right"/>
              <w:rPr/>
            </w:pPr>
            <w:r>
              <w:rPr/>
              <w:t> </w:t>
            </w:r>
          </w:p>
        </w:tc>
        <w:tc>
          <w:tcPr>
            <w:tcW w:w="8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2,701</w:t>
            </w:r>
          </w:p>
        </w:tc>
        <w:tc>
          <w:tcPr>
            <w:tcW w:w="193" w:type="dxa"/>
            <w:tcBorders/>
            <w:shd w:fill="CCEEFF" w:val="clear"/>
            <w:vAlign w:val="center"/>
          </w:tcPr>
          <w:p>
            <w:pPr>
              <w:pStyle w:val="TableContents"/>
              <w:spacing w:before="0" w:after="0"/>
              <w:ind w:left="0" w:right="0" w:hanging="0"/>
              <w:rPr/>
            </w:pPr>
            <w:r>
              <w:rPr/>
              <w:t>​</w:t>
            </w:r>
          </w:p>
        </w:tc>
      </w:tr>
      <w:tr>
        <w:trPr/>
        <w:tc>
          <w:tcPr>
            <w:tcW w:w="238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Repurchase of common stock</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(284)</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44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(5,127)</w:t>
            </w:r>
          </w:p>
        </w:tc>
        <w:tc>
          <w:tcPr>
            <w:tcW w:w="326" w:type="dxa"/>
            <w:tcBorders/>
            <w:shd w:fill="auto" w:val="clear"/>
            <w:vAlign w:val="center"/>
          </w:tcPr>
          <w:p>
            <w:pPr>
              <w:pStyle w:val="TableContents"/>
              <w:spacing w:before="0" w:after="0"/>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8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(14,873)</w:t>
            </w:r>
          </w:p>
        </w:tc>
        <w:tc>
          <w:tcPr>
            <w:tcW w:w="326" w:type="dxa"/>
            <w:tcBorders/>
            <w:shd w:fill="auto" w:val="clear"/>
            <w:vAlign w:val="center"/>
          </w:tcPr>
          <w:p>
            <w:pPr>
              <w:pStyle w:val="TableContents"/>
              <w:spacing w:before="0" w:after="0"/>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9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8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93" w:type="dxa"/>
            <w:tcBorders/>
            <w:shd w:fill="auto" w:val="clear"/>
            <w:vAlign w:val="center"/>
          </w:tcPr>
          <w:p>
            <w:pPr>
              <w:pStyle w:val="TableContents"/>
              <w:spacing w:before="0" w:after="0"/>
              <w:ind w:left="0" w:right="0" w:hanging="0"/>
              <w:rPr/>
            </w:pPr>
            <w:r>
              <w:rPr/>
              <w:t>​</w:t>
            </w:r>
          </w:p>
        </w:tc>
      </w:tr>
      <w:tr>
        <w:trPr/>
        <w:tc>
          <w:tcPr>
            <w:tcW w:w="238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at March 31, 2022</w:t>
            </w:r>
          </w:p>
        </w:tc>
        <w:tc>
          <w:tcPr>
            <w:tcW w:w="32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6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33,064</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554,633</w:t>
            </w:r>
          </w:p>
        </w:tc>
        <w:tc>
          <w:tcPr>
            <w:tcW w:w="326" w:type="dxa"/>
            <w:tcBorders/>
            <w:shd w:fill="CCEEFF" w:val="clear"/>
            <w:vAlign w:val="center"/>
          </w:tcPr>
          <w:p>
            <w:pPr>
              <w:pStyle w:val="TableContents"/>
              <w:spacing w:before="0" w:after="0"/>
              <w:ind w:left="0" w:right="0" w:hanging="0"/>
              <w:rPr/>
            </w:pPr>
            <w:r>
              <w:rPr/>
              <w:t>​</w:t>
            </w:r>
          </w:p>
        </w:tc>
        <w:tc>
          <w:tcPr>
            <w:tcW w:w="25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5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4,019</w:t>
            </w:r>
          </w:p>
        </w:tc>
        <w:tc>
          <w:tcPr>
            <w:tcW w:w="326" w:type="dxa"/>
            <w:tcBorders/>
            <w:shd w:fill="CCEEFF" w:val="clear"/>
            <w:vAlign w:val="center"/>
          </w:tcPr>
          <w:p>
            <w:pPr>
              <w:pStyle w:val="TableContents"/>
              <w:spacing w:before="0" w:after="0"/>
              <w:ind w:left="0" w:right="0" w:hanging="0"/>
              <w:rPr/>
            </w:pPr>
            <w:r>
              <w:rPr/>
              <w:t>​</w:t>
            </w:r>
          </w:p>
        </w:tc>
        <w:tc>
          <w:tcPr>
            <w:tcW w:w="31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588</w:t>
            </w:r>
          </w:p>
        </w:tc>
        <w:tc>
          <w:tcPr>
            <w:tcW w:w="326" w:type="dxa"/>
            <w:tcBorders/>
            <w:shd w:fill="CCEEFF" w:val="clear"/>
            <w:vAlign w:val="center"/>
          </w:tcPr>
          <w:p>
            <w:pPr>
              <w:pStyle w:val="TableContents"/>
              <w:spacing w:before="0" w:after="0"/>
              <w:ind w:left="0" w:right="0" w:hanging="0"/>
              <w:rPr/>
            </w:pPr>
            <w:r>
              <w:rPr/>
              <w:t>​</w:t>
            </w:r>
          </w:p>
        </w:tc>
        <w:tc>
          <w:tcPr>
            <w:tcW w:w="23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559,273</w:t>
            </w:r>
          </w:p>
        </w:tc>
        <w:tc>
          <w:tcPr>
            <w:tcW w:w="193"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jc w:val="center"/>
        <w:rPr/>
      </w:pPr>
      <w:r>
        <w:rPr/>
        <w:t>​</w:t>
      </w:r>
    </w:p>
    <w:p>
      <w:pPr>
        <w:pStyle w:val="TextBody"/>
        <w:spacing w:before="0" w:after="0"/>
        <w:ind w:left="0" w:right="0" w:hanging="0"/>
        <w:rPr/>
      </w:pPr>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368" w:name="Tc_gk4dDysk1EWfwQ_a6pgUXQ_12_17"/>
      <w:bookmarkStart w:id="369" w:name="Tc_Jtp3Jeef-k-7ftVMuY6MzA_12_14"/>
      <w:bookmarkStart w:id="370" w:name="Tc_4Z3I-vS6AUOiVrgF9xETtg_12_11"/>
      <w:bookmarkStart w:id="371" w:name="Tc_p88F2mVqYUKcdLdV-t9PWA_12_8"/>
      <w:bookmarkStart w:id="372" w:name="Tc_asvVaPu3HUSycIdSN2u2Cw_12_5"/>
      <w:bookmarkStart w:id="373" w:name="Tc_Kzd6S4cfe0Gtqn5vRuBp1g_12_0"/>
      <w:bookmarkStart w:id="374" w:name="Tc_u-kCClueIUeEW_GJ1eAyTQ_11_15"/>
      <w:bookmarkStart w:id="375" w:name="Tc_Qsm3-YAfWEel4WRLHNtNoA_11_6"/>
      <w:bookmarkStart w:id="376" w:name="Tc_l1SjJgD410O3SKTZpAj8gw_11_0"/>
      <w:bookmarkStart w:id="377" w:name="Tc_p3Ug_IDJ7UqV8xi_bZy7CQ_10_15"/>
      <w:bookmarkStart w:id="378" w:name="Tc_R7_0DSSZo0u5R8kdtiKgtA_10_12"/>
      <w:bookmarkStart w:id="379" w:name="Tc_YnOt37B7-k6fZK6ybdmGsw_10_6"/>
      <w:bookmarkStart w:id="380" w:name="Tc_JwNvZnOfNU2huttj9RxaNA_10_3"/>
      <w:bookmarkStart w:id="381" w:name="Tc_7M1V-T8EoUqwCbxuMkAq4g_10_0"/>
      <w:bookmarkStart w:id="382" w:name="Tc_GDZnULSl40eVBiy6CjmoTA_9_15"/>
      <w:bookmarkStart w:id="383" w:name="Tc_UTvDChjC2UeJ1IFaM8f-wA_9_12"/>
      <w:bookmarkStart w:id="384" w:name="Tc_9Q4pSutp8Ei3v9YZs8B_1A_9_6"/>
      <w:bookmarkStart w:id="385" w:name="Tc_pNdrbYEPuE6nMBb-RfYuxQ_9_0"/>
      <w:bookmarkStart w:id="386" w:name="Tc_ybCJA7fuTEOXPBA2Ngkwkg_8_12"/>
      <w:bookmarkStart w:id="387" w:name="Tc_oi2-_Oo3T0WIxZvxvY6wZw_8_6"/>
      <w:bookmarkStart w:id="388" w:name="Tc_HEzFIb8U5U6_oojAmYCImw_8_0"/>
      <w:bookmarkStart w:id="389" w:name="Tc_aPz650SdFU6WFv3YxzRdWw_7_12"/>
      <w:bookmarkStart w:id="390" w:name="Tc_IcjxVcLpnEiFjYc6-4gqxw_7_9"/>
      <w:bookmarkStart w:id="391" w:name="Tc_lV8BrVtYKUe74_3jspclhQ_7_6"/>
      <w:bookmarkStart w:id="392" w:name="Tc_Hix6zj715UekBqFjq7Hpfw_7_3"/>
      <w:bookmarkStart w:id="393" w:name="Tc_mqkL9hGllEaDEwbVanlVOA_7_0"/>
      <w:bookmarkStart w:id="394" w:name="Tc_KhN9gCbubE26mrh5Hi-bLQ_6_15"/>
      <w:bookmarkStart w:id="395" w:name="Tc_e6RAbjxEwkCYlOfPBxurBQ_6_9"/>
      <w:bookmarkStart w:id="396" w:name="Tc_y8YrioUhIUK6afCZlxLOPQ_6_6"/>
      <w:bookmarkStart w:id="397" w:name="Tc_7OyHvVXNEk2sp6PS5hd8OA_6_3"/>
      <w:bookmarkStart w:id="398" w:name="Tc_0v8yHvnDDE6RGjRGznRloQ_6_0"/>
      <w:bookmarkStart w:id="399" w:name="Tc_OA8qlYv2lESpnqvjqmnbNQ_5_17"/>
      <w:bookmarkStart w:id="400" w:name="Tc_r11GyPX_gEStbH8CQiOdMA_5_14"/>
      <w:bookmarkStart w:id="401" w:name="Tc_IzAzZFiqqkyHOdEsckl66g_5_11"/>
      <w:bookmarkStart w:id="402" w:name="Tc_aADOgBF5U0WToZqn96gJ9w_5_8"/>
      <w:bookmarkStart w:id="403" w:name="Tc_dn_nG2LnUUy_cAtM630q3A_5_5"/>
      <w:bookmarkStart w:id="404" w:name="Tc_oxDNlIaa4EOjMkDjz_6bQg_5_0"/>
      <w:bookmarkStart w:id="405" w:name="Tc_Zrqqve4_E0-ja8jykxmRVA_4_17"/>
      <w:bookmarkStart w:id="406" w:name="Tc_fELtedJvh06wE3fr9TD9BQ_4_14"/>
      <w:bookmarkStart w:id="407" w:name="Tc_pB3ZpckNVUyVZD2V7IJMSQ_4_11"/>
      <w:bookmarkStart w:id="408" w:name="Tc_01F9EAJVikenBS2CSf1qTg_4_8"/>
      <w:bookmarkStart w:id="409" w:name="Tc_c1ty-1rPEkiIHaf87mvroA_4_5"/>
      <w:bookmarkStart w:id="410" w:name="Tc_BGfImQYQ6E-5PRXudI5nUA_4_3"/>
      <w:bookmarkStart w:id="411" w:name="Tc_p4iCVwSwLk6anvz0pO2TzA_3_17"/>
      <w:bookmarkStart w:id="412" w:name="Tc_RyaCm5NyskiY2UUKL4r0rQ_3_14"/>
      <w:bookmarkStart w:id="413" w:name="Tc_VB4VlDj6IEO7HBh2drNtYw_3_11"/>
      <w:bookmarkStart w:id="414" w:name="Tc_TZYmf37kOk2zNQ6kgzUzEw_3_8"/>
      <w:bookmarkStart w:id="415" w:name="Tc_buObGiOfAkWWGE2VrWfCmw_3_3"/>
      <w:bookmarkStart w:id="416" w:name="Tc_Uvs8og5KTE-oNJp-YXjNWw_2_17"/>
      <w:bookmarkStart w:id="417" w:name="Tc_9J-Uf4sd90-IC_b-brs5ww_2_14"/>
      <w:bookmarkStart w:id="418" w:name="Tc_r5QzpXwoUUaAX_KBPNQBtg_2_8"/>
      <w:bookmarkStart w:id="419" w:name="Tc_C868d8Z7lUanBY5alvAcyQ_1_14"/>
      <w:bookmarkStart w:id="420" w:name="_31f43722_1500_48af_8e5f_4e7b75ebd19e"/>
      <w:bookmarkStart w:id="421" w:name="Tc_gk4dDysk1EWfwQ_a6pgUXQ_12_17"/>
      <w:bookmarkStart w:id="422" w:name="Tc_Jtp3Jeef-k-7ftVMuY6MzA_12_14"/>
      <w:bookmarkStart w:id="423" w:name="Tc_4Z3I-vS6AUOiVrgF9xETtg_12_11"/>
      <w:bookmarkStart w:id="424" w:name="Tc_p88F2mVqYUKcdLdV-t9PWA_12_8"/>
      <w:bookmarkStart w:id="425" w:name="Tc_asvVaPu3HUSycIdSN2u2Cw_12_5"/>
      <w:bookmarkStart w:id="426" w:name="Tc_Kzd6S4cfe0Gtqn5vRuBp1g_12_0"/>
      <w:bookmarkStart w:id="427" w:name="Tc_u-kCClueIUeEW_GJ1eAyTQ_11_15"/>
      <w:bookmarkStart w:id="428" w:name="Tc_Qsm3-YAfWEel4WRLHNtNoA_11_6"/>
      <w:bookmarkStart w:id="429" w:name="Tc_l1SjJgD410O3SKTZpAj8gw_11_0"/>
      <w:bookmarkStart w:id="430" w:name="Tc_p3Ug_IDJ7UqV8xi_bZy7CQ_10_15"/>
      <w:bookmarkStart w:id="431" w:name="Tc_R7_0DSSZo0u5R8kdtiKgtA_10_12"/>
      <w:bookmarkStart w:id="432" w:name="Tc_YnOt37B7-k6fZK6ybdmGsw_10_6"/>
      <w:bookmarkStart w:id="433" w:name="Tc_JwNvZnOfNU2huttj9RxaNA_10_3"/>
      <w:bookmarkStart w:id="434" w:name="Tc_7M1V-T8EoUqwCbxuMkAq4g_10_0"/>
      <w:bookmarkStart w:id="435" w:name="Tc_GDZnULSl40eVBiy6CjmoTA_9_15"/>
      <w:bookmarkStart w:id="436" w:name="Tc_UTvDChjC2UeJ1IFaM8f-wA_9_12"/>
      <w:bookmarkStart w:id="437" w:name="Tc_9Q4pSutp8Ei3v9YZs8B_1A_9_6"/>
      <w:bookmarkStart w:id="438" w:name="Tc_pNdrbYEPuE6nMBb-RfYuxQ_9_0"/>
      <w:bookmarkStart w:id="439" w:name="Tc_ybCJA7fuTEOXPBA2Ngkwkg_8_12"/>
      <w:bookmarkStart w:id="440" w:name="Tc_oi2-_Oo3T0WIxZvxvY6wZw_8_6"/>
      <w:bookmarkStart w:id="441" w:name="Tc_HEzFIb8U5U6_oojAmYCImw_8_0"/>
      <w:bookmarkStart w:id="442" w:name="Tc_aPz650SdFU6WFv3YxzRdWw_7_12"/>
      <w:bookmarkStart w:id="443" w:name="Tc_IcjxVcLpnEiFjYc6-4gqxw_7_9"/>
      <w:bookmarkStart w:id="444" w:name="Tc_lV8BrVtYKUe74_3jspclhQ_7_6"/>
      <w:bookmarkStart w:id="445" w:name="Tc_Hix6zj715UekBqFjq7Hpfw_7_3"/>
      <w:bookmarkStart w:id="446" w:name="Tc_mqkL9hGllEaDEwbVanlVOA_7_0"/>
      <w:bookmarkStart w:id="447" w:name="Tc_KhN9gCbubE26mrh5Hi-bLQ_6_15"/>
      <w:bookmarkStart w:id="448" w:name="Tc_e6RAbjxEwkCYlOfPBxurBQ_6_9"/>
      <w:bookmarkStart w:id="449" w:name="Tc_y8YrioUhIUK6afCZlxLOPQ_6_6"/>
      <w:bookmarkStart w:id="450" w:name="Tc_7OyHvVXNEk2sp6PS5hd8OA_6_3"/>
      <w:bookmarkStart w:id="451" w:name="Tc_0v8yHvnDDE6RGjRGznRloQ_6_0"/>
      <w:bookmarkStart w:id="452" w:name="Tc_OA8qlYv2lESpnqvjqmnbNQ_5_17"/>
      <w:bookmarkStart w:id="453" w:name="Tc_r11GyPX_gEStbH8CQiOdMA_5_14"/>
      <w:bookmarkStart w:id="454" w:name="Tc_IzAzZFiqqkyHOdEsckl66g_5_11"/>
      <w:bookmarkStart w:id="455" w:name="Tc_aADOgBF5U0WToZqn96gJ9w_5_8"/>
      <w:bookmarkStart w:id="456" w:name="Tc_dn_nG2LnUUy_cAtM630q3A_5_5"/>
      <w:bookmarkStart w:id="457" w:name="Tc_oxDNlIaa4EOjMkDjz_6bQg_5_0"/>
      <w:bookmarkStart w:id="458" w:name="Tc_Zrqqve4_E0-ja8jykxmRVA_4_17"/>
      <w:bookmarkStart w:id="459" w:name="Tc_fELtedJvh06wE3fr9TD9BQ_4_14"/>
      <w:bookmarkStart w:id="460" w:name="Tc_pB3ZpckNVUyVZD2V7IJMSQ_4_11"/>
      <w:bookmarkStart w:id="461" w:name="Tc_01F9EAJVikenBS2CSf1qTg_4_8"/>
      <w:bookmarkStart w:id="462" w:name="Tc_c1ty-1rPEkiIHaf87mvroA_4_5"/>
      <w:bookmarkStart w:id="463" w:name="Tc_BGfImQYQ6E-5PRXudI5nUA_4_3"/>
      <w:bookmarkStart w:id="464" w:name="Tc_p4iCVwSwLk6anvz0pO2TzA_3_17"/>
      <w:bookmarkStart w:id="465" w:name="Tc_RyaCm5NyskiY2UUKL4r0rQ_3_14"/>
      <w:bookmarkStart w:id="466" w:name="Tc_VB4VlDj6IEO7HBh2drNtYw_3_11"/>
      <w:bookmarkStart w:id="467" w:name="Tc_TZYmf37kOk2zNQ6kgzUzEw_3_8"/>
      <w:bookmarkStart w:id="468" w:name="Tc_buObGiOfAkWWGE2VrWfCmw_3_3"/>
      <w:bookmarkStart w:id="469" w:name="Tc_Uvs8og5KTE-oNJp-YXjNWw_2_17"/>
      <w:bookmarkStart w:id="470" w:name="Tc_9J-Uf4sd90-IC_b-brs5ww_2_14"/>
      <w:bookmarkStart w:id="471" w:name="Tc_r5QzpXwoUUaAX_KBPNQBtg_2_8"/>
      <w:bookmarkStart w:id="472" w:name="Tc_C868d8Z7lUanBY5alvAcyQ_1_14"/>
      <w:bookmarkStart w:id="473" w:name="_31f43722_1500_48af_8e5f_4e7b75ebd19e"/>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tbl>
      <w:tblPr>
        <w:tblW w:w="10205" w:type="dxa"/>
        <w:jc w:val="left"/>
        <w:tblInd w:w="0" w:type="dxa"/>
        <w:tblCellMar>
          <w:top w:w="0" w:type="dxa"/>
          <w:left w:w="0" w:type="dxa"/>
          <w:bottom w:w="0" w:type="dxa"/>
          <w:right w:w="0" w:type="dxa"/>
        </w:tblCellMar>
      </w:tblPr>
      <w:tblGrid>
        <w:gridCol w:w="2742"/>
        <w:gridCol w:w="326"/>
        <w:gridCol w:w="109"/>
        <w:gridCol w:w="601"/>
        <w:gridCol w:w="326"/>
        <w:gridCol w:w="249"/>
        <w:gridCol w:w="442"/>
        <w:gridCol w:w="326"/>
        <w:gridCol w:w="196"/>
        <w:gridCol w:w="691"/>
        <w:gridCol w:w="326"/>
        <w:gridCol w:w="196"/>
        <w:gridCol w:w="702"/>
        <w:gridCol w:w="326"/>
        <w:gridCol w:w="310"/>
        <w:gridCol w:w="906"/>
        <w:gridCol w:w="326"/>
        <w:gridCol w:w="217"/>
        <w:gridCol w:w="888"/>
      </w:tblGrid>
      <w:tr>
        <w:trPr/>
        <w:tc>
          <w:tcPr>
            <w:tcW w:w="27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741170" cy="175260"/>
                      <wp:effectExtent l="0" t="0" r="0" b="0"/>
                      <wp:wrapNone/>
                      <wp:docPr id="46" name="Frame46"/>
                      <a:graphic xmlns:a="http://schemas.openxmlformats.org/drawingml/2006/main">
                        <a:graphicData uri="http://schemas.microsoft.com/office/word/2010/wordprocessingShape">
                          <wps:wsp>
                            <wps:cNvSpPr txBox="1"/>
                            <wps:spPr>
                              <a:xfrm>
                                <a:off x="0" y="0"/>
                                <a:ext cx="1741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81635" cy="175260"/>
                      <wp:effectExtent l="0" t="0" r="0" b="0"/>
                      <wp:wrapNone/>
                      <wp:docPr id="49" name="Frame49"/>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58115" cy="175260"/>
                      <wp:effectExtent l="0" t="0" r="0" b="0"/>
                      <wp:wrapNone/>
                      <wp:docPr id="51" name="Frame51"/>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80670" cy="175260"/>
                      <wp:effectExtent l="0" t="0" r="0" b="0"/>
                      <wp:wrapNone/>
                      <wp:docPr id="52" name="Frame52"/>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38785" cy="175260"/>
                      <wp:effectExtent l="0" t="0" r="0" b="0"/>
                      <wp:wrapNone/>
                      <wp:docPr id="55" name="Frame5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45770" cy="175260"/>
                      <wp:effectExtent l="0" t="0" r="0" b="0"/>
                      <wp:wrapNone/>
                      <wp:docPr id="58" name="Frame58"/>
                      <a:graphic xmlns:a="http://schemas.openxmlformats.org/drawingml/2006/main">
                        <a:graphicData uri="http://schemas.microsoft.com/office/word/2010/wordprocessingShape">
                          <wps:wsp>
                            <wps:cNvSpPr txBox="1"/>
                            <wps:spPr>
                              <a:xfrm>
                                <a:off x="0" y="0"/>
                                <a:ext cx="4457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96850" cy="175260"/>
                      <wp:effectExtent l="0" t="0" r="0" b="0"/>
                      <wp:wrapNone/>
                      <wp:docPr id="60" name="Frame60"/>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75310" cy="175260"/>
                      <wp:effectExtent l="0" t="0" r="0" b="0"/>
                      <wp:wrapNone/>
                      <wp:docPr id="61" name="Frame61"/>
                      <a:graphic xmlns:a="http://schemas.openxmlformats.org/drawingml/2006/main">
                        <a:graphicData uri="http://schemas.microsoft.com/office/word/2010/wordprocessingShape">
                          <wps:wsp>
                            <wps:cNvSpPr txBox="1"/>
                            <wps:spPr>
                              <a:xfrm>
                                <a:off x="0" y="0"/>
                                <a:ext cx="575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7795" cy="175260"/>
                      <wp:effectExtent l="0" t="0" r="0" b="0"/>
                      <wp:wrapNone/>
                      <wp:docPr id="63" name="Frame63"/>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63880" cy="175260"/>
                      <wp:effectExtent l="0" t="0" r="0" b="0"/>
                      <wp:wrapNone/>
                      <wp:docPr id="64" name="Frame64"/>
                      <a:graphic xmlns:a="http://schemas.openxmlformats.org/drawingml/2006/main">
                        <a:graphicData uri="http://schemas.microsoft.com/office/word/2010/wordprocessingShape">
                          <wps:wsp>
                            <wps:cNvSpPr txBox="1"/>
                            <wps:spPr>
                              <a:xfrm>
                                <a:off x="0" y="0"/>
                                <a:ext cx="563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9" w:type="dxa"/>
            <w:tcBorders/>
            <w:shd w:fill="auto" w:val="clear"/>
            <w:vAlign w:val="center"/>
          </w:tcPr>
          <w:p>
            <w:pPr>
              <w:pStyle w:val="TableContents"/>
              <w:spacing w:before="0" w:after="0"/>
              <w:ind w:left="0" w:right="0" w:hanging="0"/>
              <w:jc w:val="center"/>
              <w:rPr/>
            </w:pPr>
            <w:r>
              <w:rPr/>
              <w:t>​</w:t>
            </w:r>
          </w:p>
        </w:tc>
        <w:tc>
          <w:tcPr>
            <w:tcW w:w="4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98"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jc w:val="center"/>
              <w:rPr/>
            </w:pPr>
            <w:r>
              <w:rPr/>
              <w:t>​</w:t>
            </w:r>
          </w:p>
        </w:tc>
        <w:tc>
          <w:tcPr>
            <w:tcW w:w="217" w:type="dxa"/>
            <w:tcBorders/>
            <w:shd w:fill="auto" w:val="clear"/>
            <w:vAlign w:val="center"/>
          </w:tcPr>
          <w:p>
            <w:pPr>
              <w:pStyle w:val="TableContents"/>
              <w:spacing w:before="0" w:after="0"/>
              <w:ind w:left="0" w:right="0" w:hanging="0"/>
              <w:jc w:val="center"/>
              <w:rPr/>
            </w:pPr>
            <w:r>
              <w:rPr/>
              <w:t>​</w:t>
            </w:r>
          </w:p>
        </w:tc>
        <w:tc>
          <w:tcPr>
            <w:tcW w:w="888" w:type="dxa"/>
            <w:tcBorders/>
            <w:shd w:fill="auto" w:val="clear"/>
            <w:vAlign w:val="center"/>
          </w:tcPr>
          <w:p>
            <w:pPr>
              <w:pStyle w:val="TableContents"/>
              <w:spacing w:before="0" w:after="0"/>
              <w:ind w:left="0" w:right="0" w:hanging="0"/>
              <w:jc w:val="center"/>
              <w:rPr/>
            </w:pPr>
            <w:r>
              <w:rPr/>
              <w:t>​</w:t>
            </w:r>
          </w:p>
        </w:tc>
      </w:tr>
      <w:tr>
        <w:trPr/>
        <w:tc>
          <w:tcPr>
            <w:tcW w:w="27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9" w:type="dxa"/>
            <w:tcBorders/>
            <w:shd w:fill="auto" w:val="clear"/>
            <w:vAlign w:val="center"/>
          </w:tcPr>
          <w:p>
            <w:pPr>
              <w:pStyle w:val="TableContents"/>
              <w:spacing w:before="0" w:after="0"/>
              <w:ind w:left="0" w:right="0" w:hanging="0"/>
              <w:jc w:val="center"/>
              <w:rPr/>
            </w:pPr>
            <w:r>
              <w:rPr/>
              <w:t>​</w:t>
            </w:r>
          </w:p>
        </w:tc>
        <w:tc>
          <w:tcPr>
            <w:tcW w:w="4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jc w:val="center"/>
              <w:rPr/>
            </w:pPr>
            <w:r>
              <w:rPr/>
              <w:t>​</w:t>
            </w:r>
          </w:p>
        </w:tc>
        <w:tc>
          <w:tcPr>
            <w:tcW w:w="898"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jc w:val="center"/>
              <w:rPr/>
            </w:pPr>
            <w:r>
              <w:rPr/>
              <w:t>​</w:t>
            </w:r>
          </w:p>
        </w:tc>
        <w:tc>
          <w:tcPr>
            <w:tcW w:w="11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618"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0"/>
              <w:ind w:left="0" w:right="0" w:hanging="0"/>
              <w:jc w:val="center"/>
              <w:rPr/>
            </w:pPr>
            <w:r>
              <w:rPr/>
              <w:t>​</w:t>
            </w:r>
          </w:p>
        </w:tc>
        <w:tc>
          <w:tcPr>
            <w:tcW w:w="89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0"/>
              <w:ind w:left="0" w:right="0" w:hanging="0"/>
              <w:jc w:val="center"/>
              <w:rPr/>
            </w:pPr>
            <w:r>
              <w:rPr/>
              <w:t>​</w:t>
            </w:r>
          </w:p>
        </w:tc>
        <w:tc>
          <w:tcPr>
            <w:tcW w:w="11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7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jc w:val="center"/>
              <w:rPr/>
            </w:pPr>
            <w:r>
              <w:rPr/>
              <w:t>    </w:t>
            </w:r>
          </w:p>
        </w:tc>
        <w:tc>
          <w:tcPr>
            <w:tcW w:w="8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shd w:fill="auto" w:val="clear"/>
            <w:vAlign w:val="center"/>
          </w:tcPr>
          <w:p>
            <w:pPr>
              <w:pStyle w:val="TableContents"/>
              <w:spacing w:before="0" w:after="0"/>
              <w:ind w:left="0" w:right="0" w:hanging="0"/>
              <w:jc w:val="center"/>
              <w:rPr/>
            </w:pPr>
            <w:r>
              <w:rPr/>
              <w:t>    </w:t>
            </w:r>
          </w:p>
        </w:tc>
        <w:tc>
          <w:tcPr>
            <w:tcW w:w="11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74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at December 31, 2022</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32,775</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550,299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118,892</w:t>
            </w:r>
          </w:p>
        </w:tc>
        <w:tc>
          <w:tcPr>
            <w:tcW w:w="326" w:type="dxa"/>
            <w:tcBorders/>
            <w:shd w:fill="CCEEFF" w:val="clear"/>
            <w:vAlign w:val="center"/>
          </w:tcPr>
          <w:p>
            <w:pPr>
              <w:pStyle w:val="TableContents"/>
              <w:spacing w:before="0" w:after="0"/>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(1,968)</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667,256</w:t>
            </w:r>
          </w:p>
        </w:tc>
      </w:tr>
      <w:tr>
        <w:trPr/>
        <w:tc>
          <w:tcPr>
            <w:tcW w:w="274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income</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jc w:val="righ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0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47,697</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jc w:val="right"/>
              <w:rPr/>
            </w:pPr>
            <w:r>
              <w:rPr/>
              <w:t> </w:t>
            </w:r>
          </w:p>
        </w:tc>
        <w:tc>
          <w:tcPr>
            <w:tcW w:w="9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47,697</w:t>
            </w:r>
          </w:p>
        </w:tc>
      </w:tr>
      <w:tr>
        <w:trPr/>
        <w:tc>
          <w:tcPr>
            <w:tcW w:w="274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Foreign currency translation adjustments</w:t>
            </w:r>
          </w:p>
        </w:tc>
        <w:tc>
          <w:tcPr>
            <w:tcW w:w="32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jc w:val="right"/>
              <w:rPr/>
            </w:pPr>
            <w:r>
              <w:rPr/>
              <w:t> </w:t>
            </w:r>
          </w:p>
        </w:tc>
        <w:tc>
          <w:tcPr>
            <w:tcW w:w="44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0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jc w:val="right"/>
              <w:rPr/>
            </w:pPr>
            <w:r>
              <w:rPr/>
              <w:t> </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jc w:val="right"/>
              <w:rPr/>
            </w:pPr>
            <w:r>
              <w:rPr/>
              <w:t> </w:t>
            </w:r>
          </w:p>
        </w:tc>
        <w:tc>
          <w:tcPr>
            <w:tcW w:w="88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r>
      <w:tr>
        <w:trPr/>
        <w:tc>
          <w:tcPr>
            <w:tcW w:w="274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Exercise of stock options</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jc w:val="righ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0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jc w:val="right"/>
              <w:rPr/>
            </w:pPr>
            <w:r>
              <w:rPr/>
              <w:t> </w:t>
            </w:r>
          </w:p>
        </w:tc>
        <w:tc>
          <w:tcPr>
            <w:tcW w:w="9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r>
      <w:tr>
        <w:trPr/>
        <w:tc>
          <w:tcPr>
            <w:tcW w:w="274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Issuance of common stock on restricted stock units, net of shares withheld</w:t>
            </w:r>
          </w:p>
        </w:tc>
        <w:tc>
          <w:tcPr>
            <w:tcW w:w="32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jc w:val="right"/>
              <w:rPr/>
            </w:pPr>
            <w:r>
              <w:rPr/>
              <w:t> </w:t>
            </w:r>
          </w:p>
        </w:tc>
        <w:tc>
          <w:tcPr>
            <w:tcW w:w="44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(3,907)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70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jc w:val="right"/>
              <w:rPr/>
            </w:pPr>
            <w:r>
              <w:rPr/>
              <w:t> </w:t>
            </w:r>
          </w:p>
        </w:tc>
        <w:tc>
          <w:tcPr>
            <w:tcW w:w="9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jc w:val="right"/>
              <w:rPr/>
            </w:pPr>
            <w:r>
              <w:rPr/>
              <w:t> </w:t>
            </w:r>
          </w:p>
        </w:tc>
        <w:tc>
          <w:tcPr>
            <w:tcW w:w="88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(3,907)</w:t>
            </w:r>
          </w:p>
        </w:tc>
      </w:tr>
      <w:tr>
        <w:trPr/>
        <w:tc>
          <w:tcPr>
            <w:tcW w:w="274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jc w:val="righ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3,199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70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jc w:val="right"/>
              <w:rPr/>
            </w:pPr>
            <w:r>
              <w:rPr/>
              <w:t> </w:t>
            </w:r>
          </w:p>
        </w:tc>
        <w:tc>
          <w:tcPr>
            <w:tcW w:w="9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3,199</w:t>
            </w:r>
          </w:p>
        </w:tc>
      </w:tr>
      <w:tr>
        <w:trPr/>
        <w:tc>
          <w:tcPr>
            <w:tcW w:w="274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Repurchase of common stock</w:t>
            </w:r>
          </w:p>
        </w:tc>
        <w:tc>
          <w:tcPr>
            <w:tcW w:w="32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(1,924)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0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(10,575)</w:t>
            </w:r>
          </w:p>
        </w:tc>
        <w:tc>
          <w:tcPr>
            <w:tcW w:w="326" w:type="dxa"/>
            <w:tcBorders/>
            <w:shd w:fill="CCEEFF" w:val="clear"/>
            <w:vAlign w:val="center"/>
          </w:tcPr>
          <w:p>
            <w:pPr>
              <w:pStyle w:val="TableContents"/>
              <w:spacing w:before="0" w:after="0"/>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8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(12,499)</w:t>
            </w:r>
          </w:p>
        </w:tc>
      </w:tr>
      <w:tr>
        <w:trPr/>
        <w:tc>
          <w:tcPr>
            <w:tcW w:w="274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at March 31, 2023</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6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32,726</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44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547,692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156,014</w:t>
            </w:r>
          </w:p>
        </w:tc>
        <w:tc>
          <w:tcPr>
            <w:tcW w:w="326" w:type="dxa"/>
            <w:tcBorders/>
            <w:shd w:fill="auto" w:val="clear"/>
            <w:vAlign w:val="center"/>
          </w:tcPr>
          <w:p>
            <w:pPr>
              <w:pStyle w:val="TableContents"/>
              <w:spacing w:before="0" w:after="0"/>
              <w:ind w:left="0" w:right="0" w:hanging="0"/>
              <w:rPr/>
            </w:pPr>
            <w:r>
              <w:rPr/>
              <w:t>​</w:t>
            </w:r>
          </w:p>
        </w:tc>
        <w:tc>
          <w:tcPr>
            <w:tcW w:w="31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(1,918)</w:t>
            </w:r>
          </w:p>
        </w:tc>
        <w:tc>
          <w:tcPr>
            <w:tcW w:w="326" w:type="dxa"/>
            <w:tcBorders/>
            <w:shd w:fill="auto" w:val="clear"/>
            <w:vAlign w:val="center"/>
          </w:tcPr>
          <w:p>
            <w:pPr>
              <w:pStyle w:val="TableContents"/>
              <w:spacing w:before="0" w:after="0"/>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88"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701,821</w:t>
            </w:r>
          </w:p>
        </w:tc>
      </w:tr>
    </w:tbl>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474" w:name="_b0422473_674f_4c4b_abec_274b7370c82b"/>
      <w:bookmarkEnd w:id="474"/>
      <w:r>
        <w:rPr>
          <w:rFonts w:ascii="Times New Roman;Times;serif" w:hAnsi="Times New Roman;Times;serif"/>
          <w:b/>
          <w:sz w:val="20"/>
        </w:rPr>
        <w:t>Axcelis Technologies, Inc.</w:t>
      </w:r>
    </w:p>
    <w:p>
      <w:pPr>
        <w:pStyle w:val="TextBody"/>
        <w:spacing w:before="0" w:after="0"/>
        <w:ind w:left="0" w:right="0" w:hanging="0"/>
        <w:jc w:val="center"/>
        <w:rPr>
          <w:rFonts w:ascii="Times New Roman;Times;serif" w:hAnsi="Times New Roman;Times;serif"/>
          <w:b/>
          <w:sz w:val="20"/>
        </w:rPr>
      </w:pPr>
      <w:bookmarkStart w:id="475" w:name="ConsolidatedStatementsofCashFlows_699712"/>
      <w:bookmarkEnd w:id="475"/>
      <w:r>
        <w:rPr>
          <w:rFonts w:ascii="Times New Roman;Times;serif" w:hAnsi="Times New Roman;Times;serif"/>
          <w:b/>
          <w:sz w:val="20"/>
        </w:rPr>
        <w:t>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476" w:name="Tc__i9kkggMaUGqnS4E8ydrKQ_40_5"/>
      <w:bookmarkStart w:id="477" w:name="Tc_ZsL_WqyMcUOgupv62ZXczw_40_2"/>
      <w:bookmarkStart w:id="478" w:name="Tc_sLnMsCaFbUCBQius3FtPTQ_40_0"/>
      <w:bookmarkStart w:id="479" w:name="Tc_KNN6zAhMf0WIdsdPZknKjg_39_0"/>
      <w:bookmarkStart w:id="480" w:name="Tc__VKDDukQJ0SgtgY3FwKi7A_37_0"/>
      <w:bookmarkStart w:id="481" w:name="Tc_q00lz0R7VkWoU79mPDxGPg_36_0"/>
      <w:bookmarkStart w:id="482" w:name="Tc_eaONDCqNIUKYameKZroHjA_34_0"/>
      <w:bookmarkStart w:id="483" w:name="Tc_TJRUMipNmUCY2FeQQcLVCw_33_0"/>
      <w:bookmarkStart w:id="484" w:name="Tc_xIAzcbrL10yMlKDBdK4GGA_32_0"/>
      <w:bookmarkStart w:id="485" w:name="Tc_FqaicLdgBUeaX_vp8uWHxw_31_0"/>
      <w:bookmarkStart w:id="486" w:name="Tc_S3xnFSNgKkO6FlbZXry5Pg_30_0"/>
      <w:bookmarkStart w:id="487" w:name="Tc_sT-9l0NQWkeVF3mpDKCjlA_29_0"/>
      <w:bookmarkStart w:id="488" w:name="Tc_t00-e42pL0GJefmXPCKZvw_27_0"/>
      <w:bookmarkStart w:id="489" w:name="Tc_ylJ7zKYpw0eFmzax-mQ_4g_26_6"/>
      <w:bookmarkStart w:id="490" w:name="Tc_b-98B_0y8EiLCpuUT1urKQ_26_0"/>
      <w:bookmarkStart w:id="491" w:name="Tc_Md02VOthLE2GkWDZT8w-PQ_25_6"/>
      <w:bookmarkStart w:id="492" w:name="Tc_DqcTyHIyKEaqRJtW22-JZQ_25_0"/>
      <w:bookmarkStart w:id="493" w:name="Tc_fVTRKbCCDU6ifcXxZYvOoQ_24_0"/>
      <w:bookmarkStart w:id="494" w:name="Tc_4QeKuY2ap0aOnZiDS2J5FA_23_0"/>
      <w:bookmarkStart w:id="495" w:name="Tc_CdFOrYrdW0Ob-ufFnYX5cw_21_0"/>
      <w:bookmarkStart w:id="496" w:name="Tc_T35jhf9U9ka1VIpDyu8XRA_20_0"/>
      <w:bookmarkStart w:id="497" w:name="Tc_ZQm5IRKzvkav254hQ8NUeA_19_0"/>
      <w:bookmarkStart w:id="498" w:name="Tc_1fiPF9KgzUqzHqj254yqCw_18_0"/>
      <w:bookmarkStart w:id="499" w:name="Tc_AbOxIJIlQEqS8ymcHu2VrQ_17_0"/>
      <w:bookmarkStart w:id="500" w:name="Tc_9NnHcSlOj0yO8MZC8Ith5w_16_0"/>
      <w:bookmarkStart w:id="501" w:name="Tc_oQnsCEB7c0-7YXmoEkjeng_15_0"/>
      <w:bookmarkStart w:id="502" w:name="Tc_8CHwLFBlyky0CpQQE6QUIg_14_0"/>
      <w:bookmarkStart w:id="503" w:name="Tc_aKfuLWE2nUCaH8FuoR2nqw_13_0"/>
      <w:bookmarkStart w:id="504" w:name="Tc_VulKNnHmYkaQF1PlySi_cQ_12_6"/>
      <w:bookmarkStart w:id="505" w:name="Tc_DbH-9DGVpEOtULdRZQLrJQ_12_0"/>
      <w:bookmarkStart w:id="506" w:name="Tc_CcfndzmDMkiPeUr4iOeJdA_11_6"/>
      <w:bookmarkStart w:id="507" w:name="Tc_PNsms0WbUUWb2fc5rwhikw_11_0"/>
      <w:bookmarkStart w:id="508" w:name="Tc_M-8Vp9JsnkCP3xukNqL1vw_10_0"/>
      <w:bookmarkStart w:id="509" w:name="Tc_dpIR6GTQZkufzZV6AU7GUw_9_0"/>
      <w:bookmarkStart w:id="510" w:name="Tc_aJR5mXJLbUWvcR8uv7T9aA_8_0"/>
      <w:bookmarkStart w:id="511" w:name="Tc_T1fF7lpU9k6XVaPSsv0nyQ_7_0"/>
      <w:bookmarkStart w:id="512" w:name="Tc_Yb7q2usc-k-tgFWSozJUFQ_6_0"/>
      <w:bookmarkStart w:id="513" w:name="Tc_lFOzu01uyUyfGDp83LsKzw_5_5"/>
      <w:bookmarkStart w:id="514" w:name="Tc_yTsOKqFBp0udLUnUcJEUsg_5_2"/>
      <w:bookmarkStart w:id="515" w:name="Tc_aG7ba2dk2kOX-mDyniaPSw_5_0"/>
      <w:bookmarkStart w:id="516" w:name="Tc_xjiD8JMzhUm3biXr7k2S4w_4_0"/>
      <w:bookmarkStart w:id="517" w:name="Tc_DNobXMVfLUivSwx9hzRkKg_3_5"/>
      <w:bookmarkStart w:id="518" w:name="Tc_zI9q1xdqkECH4TWGeAQKww_3_2"/>
      <w:bookmarkStart w:id="519" w:name="Tc_qeo_3IpSdE-2Kh90WRpMPg_2_2"/>
      <w:bookmarkStart w:id="520" w:name="Tc_c_5pKQATWE6Pl6d7s_NTNA_1_2"/>
      <w:bookmarkStart w:id="521" w:name="_6fd0c57d_fe5e_4340_bc7e_11cc65357b31"/>
      <w:bookmarkStart w:id="522" w:name="Tc__i9kkggMaUGqnS4E8ydrKQ_40_5"/>
      <w:bookmarkStart w:id="523" w:name="Tc_ZsL_WqyMcUOgupv62ZXczw_40_2"/>
      <w:bookmarkStart w:id="524" w:name="Tc_sLnMsCaFbUCBQius3FtPTQ_40_0"/>
      <w:bookmarkStart w:id="525" w:name="Tc_KNN6zAhMf0WIdsdPZknKjg_39_0"/>
      <w:bookmarkStart w:id="526" w:name="Tc__VKDDukQJ0SgtgY3FwKi7A_37_0"/>
      <w:bookmarkStart w:id="527" w:name="Tc_q00lz0R7VkWoU79mPDxGPg_36_0"/>
      <w:bookmarkStart w:id="528" w:name="Tc_eaONDCqNIUKYameKZroHjA_34_0"/>
      <w:bookmarkStart w:id="529" w:name="Tc_TJRUMipNmUCY2FeQQcLVCw_33_0"/>
      <w:bookmarkStart w:id="530" w:name="Tc_xIAzcbrL10yMlKDBdK4GGA_32_0"/>
      <w:bookmarkStart w:id="531" w:name="Tc_FqaicLdgBUeaX_vp8uWHxw_31_0"/>
      <w:bookmarkStart w:id="532" w:name="Tc_S3xnFSNgKkO6FlbZXry5Pg_30_0"/>
      <w:bookmarkStart w:id="533" w:name="Tc_sT-9l0NQWkeVF3mpDKCjlA_29_0"/>
      <w:bookmarkStart w:id="534" w:name="Tc_t00-e42pL0GJefmXPCKZvw_27_0"/>
      <w:bookmarkStart w:id="535" w:name="Tc_ylJ7zKYpw0eFmzax-mQ_4g_26_6"/>
      <w:bookmarkStart w:id="536" w:name="Tc_b-98B_0y8EiLCpuUT1urKQ_26_0"/>
      <w:bookmarkStart w:id="537" w:name="Tc_Md02VOthLE2GkWDZT8w-PQ_25_6"/>
      <w:bookmarkStart w:id="538" w:name="Tc_DqcTyHIyKEaqRJtW22-JZQ_25_0"/>
      <w:bookmarkStart w:id="539" w:name="Tc_fVTRKbCCDU6ifcXxZYvOoQ_24_0"/>
      <w:bookmarkStart w:id="540" w:name="Tc_4QeKuY2ap0aOnZiDS2J5FA_23_0"/>
      <w:bookmarkStart w:id="541" w:name="Tc_CdFOrYrdW0Ob-ufFnYX5cw_21_0"/>
      <w:bookmarkStart w:id="542" w:name="Tc_T35jhf9U9ka1VIpDyu8XRA_20_0"/>
      <w:bookmarkStart w:id="543" w:name="Tc_ZQm5IRKzvkav254hQ8NUeA_19_0"/>
      <w:bookmarkStart w:id="544" w:name="Tc_1fiPF9KgzUqzHqj254yqCw_18_0"/>
      <w:bookmarkStart w:id="545" w:name="Tc_AbOxIJIlQEqS8ymcHu2VrQ_17_0"/>
      <w:bookmarkStart w:id="546" w:name="Tc_9NnHcSlOj0yO8MZC8Ith5w_16_0"/>
      <w:bookmarkStart w:id="547" w:name="Tc_oQnsCEB7c0-7YXmoEkjeng_15_0"/>
      <w:bookmarkStart w:id="548" w:name="Tc_8CHwLFBlyky0CpQQE6QUIg_14_0"/>
      <w:bookmarkStart w:id="549" w:name="Tc_aKfuLWE2nUCaH8FuoR2nqw_13_0"/>
      <w:bookmarkStart w:id="550" w:name="Tc_VulKNnHmYkaQF1PlySi_cQ_12_6"/>
      <w:bookmarkStart w:id="551" w:name="Tc_DbH-9DGVpEOtULdRZQLrJQ_12_0"/>
      <w:bookmarkStart w:id="552" w:name="Tc_CcfndzmDMkiPeUr4iOeJdA_11_6"/>
      <w:bookmarkStart w:id="553" w:name="Tc_PNsms0WbUUWb2fc5rwhikw_11_0"/>
      <w:bookmarkStart w:id="554" w:name="Tc_M-8Vp9JsnkCP3xukNqL1vw_10_0"/>
      <w:bookmarkStart w:id="555" w:name="Tc_dpIR6GTQZkufzZV6AU7GUw_9_0"/>
      <w:bookmarkStart w:id="556" w:name="Tc_aJR5mXJLbUWvcR8uv7T9aA_8_0"/>
      <w:bookmarkStart w:id="557" w:name="Tc_T1fF7lpU9k6XVaPSsv0nyQ_7_0"/>
      <w:bookmarkStart w:id="558" w:name="Tc_Yb7q2usc-k-tgFWSozJUFQ_6_0"/>
      <w:bookmarkStart w:id="559" w:name="Tc_lFOzu01uyUyfGDp83LsKzw_5_5"/>
      <w:bookmarkStart w:id="560" w:name="Tc_yTsOKqFBp0udLUnUcJEUsg_5_2"/>
      <w:bookmarkStart w:id="561" w:name="Tc_aG7ba2dk2kOX-mDyniaPSw_5_0"/>
      <w:bookmarkStart w:id="562" w:name="Tc_xjiD8JMzhUm3biXr7k2S4w_4_0"/>
      <w:bookmarkStart w:id="563" w:name="Tc_DNobXMVfLUivSwx9hzRkKg_3_5"/>
      <w:bookmarkStart w:id="564" w:name="Tc_zI9q1xdqkECH4TWGeAQKww_3_2"/>
      <w:bookmarkStart w:id="565" w:name="Tc_qeo_3IpSdE-2Kh90WRpMPg_2_2"/>
      <w:bookmarkStart w:id="566" w:name="Tc_c_5pKQATWE6Pl6d7s_NTNA_1_2"/>
      <w:bookmarkStart w:id="567" w:name="_6fd0c57d_fe5e_4340_bc7e_11cc65357b3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tbl>
      <w:tblPr>
        <w:tblW w:w="9758" w:type="dxa"/>
        <w:jc w:val="left"/>
        <w:tblInd w:w="0" w:type="dxa"/>
        <w:tblCellMar>
          <w:top w:w="0" w:type="dxa"/>
          <w:left w:w="0" w:type="dxa"/>
          <w:bottom w:w="0" w:type="dxa"/>
          <w:right w:w="0" w:type="dxa"/>
        </w:tblCellMar>
      </w:tblPr>
      <w:tblGrid>
        <w:gridCol w:w="6721"/>
        <w:gridCol w:w="326"/>
        <w:gridCol w:w="211"/>
        <w:gridCol w:w="796"/>
        <w:gridCol w:w="326"/>
        <w:gridCol w:w="211"/>
        <w:gridCol w:w="796"/>
        <w:gridCol w:w="371"/>
      </w:tblGrid>
      <w:tr>
        <w:trPr/>
        <w:tc>
          <w:tcPr>
            <w:tcW w:w="6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267835" cy="175260"/>
                      <wp:effectExtent l="0" t="0" r="0" b="0"/>
                      <wp:wrapNone/>
                      <wp:docPr id="65" name="Frame65"/>
                      <a:graphic xmlns:a="http://schemas.openxmlformats.org/drawingml/2006/main">
                        <a:graphicData uri="http://schemas.microsoft.com/office/word/2010/wordprocessingShape">
                          <wps:wsp>
                            <wps:cNvSpPr txBox="1"/>
                            <wps:spPr>
                              <a:xfrm>
                                <a:off x="0" y="0"/>
                                <a:ext cx="426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05460" cy="175260"/>
                      <wp:effectExtent l="0" t="0" r="0" b="0"/>
                      <wp:wrapNone/>
                      <wp:docPr id="68" name="Frame6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05460" cy="175260"/>
                      <wp:effectExtent l="0" t="0" r="0" b="0"/>
                      <wp:wrapNone/>
                      <wp:docPr id="71" name="Frame7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35585" cy="175260"/>
                      <wp:effectExtent l="0" t="0" r="0" b="0"/>
                      <wp:wrapNone/>
                      <wp:docPr id="72" name="Frame72"/>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4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71" w:type="dxa"/>
            <w:tcBorders/>
            <w:shd w:fill="auto" w:val="clear"/>
            <w:vAlign w:val="center"/>
          </w:tcPr>
          <w:p>
            <w:pPr>
              <w:pStyle w:val="TableContents"/>
              <w:spacing w:before="0" w:after="0"/>
              <w:ind w:left="0" w:right="0" w:hanging="0"/>
              <w:jc w:val="center"/>
              <w:rPr/>
            </w:pPr>
            <w:r>
              <w:rPr/>
              <w:t>​</w:t>
            </w:r>
          </w:p>
        </w:tc>
      </w:tr>
      <w:tr>
        <w:trPr/>
        <w:tc>
          <w:tcPr>
            <w:tcW w:w="6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March 31, </w:t>
            </w:r>
          </w:p>
        </w:tc>
        <w:tc>
          <w:tcPr>
            <w:tcW w:w="371" w:type="dxa"/>
            <w:tcBorders/>
            <w:shd w:fill="auto" w:val="clear"/>
            <w:vAlign w:val="center"/>
          </w:tcPr>
          <w:p>
            <w:pPr>
              <w:pStyle w:val="TableContents"/>
              <w:spacing w:before="0" w:after="0"/>
              <w:ind w:left="0" w:right="0" w:hanging="0"/>
              <w:jc w:val="center"/>
              <w:rPr/>
            </w:pPr>
            <w:r>
              <w:rPr/>
              <w:t>​</w:t>
            </w:r>
          </w:p>
        </w:tc>
      </w:tr>
      <w:tr>
        <w:trPr/>
        <w:tc>
          <w:tcPr>
            <w:tcW w:w="6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0"/>
              <w:ind w:left="0" w:right="0" w:hanging="0"/>
              <w:jc w:val="center"/>
              <w:rPr/>
            </w:pPr>
            <w:r>
              <w:rPr/>
              <w:t>    </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47,697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41,614</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2,848</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2,252</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2,701</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excess and obsolete inventory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Accretion of discounts and premiums on marketable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Currency loss on foreign denominated transactions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(20,762)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(15,199)</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(11,490)</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(1,852)</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 and other current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(22,976)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(3,582)</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47,160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6,418</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8,891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 and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34,559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25,770</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Expenditures for property, plant and equipment and capitalized software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(1,503)</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 of short-term 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(61,809)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Maturities of short-term 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(33,049)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(1,503)</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settlement on restricted stock grants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(3,315)</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Repurchase of common stock</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(12,499)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payments on finance lease obligation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(16,670)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(23,053)</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2,216</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right"/>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6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186,347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295,680</w:t>
            </w:r>
          </w:p>
        </w:tc>
        <w:tc>
          <w:tcPr>
            <w:tcW w:w="371" w:type="dxa"/>
            <w:tcBorders/>
            <w:shd w:fill="auto" w:val="clear"/>
            <w:vAlign w:val="center"/>
          </w:tcPr>
          <w:p>
            <w:pPr>
              <w:pStyle w:val="TableContents"/>
              <w:spacing w:before="0" w:after="0"/>
              <w:ind w:left="0" w:right="0" w:hanging="0"/>
              <w:rPr/>
            </w:pPr>
            <w:r>
              <w:rPr/>
              <w:t>​</w:t>
            </w:r>
          </w:p>
        </w:tc>
      </w:tr>
      <w:tr>
        <w:trPr/>
        <w:tc>
          <w:tcPr>
            <w:tcW w:w="6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cash equivalents and restricted cash at end of period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171,132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297,896</w:t>
            </w:r>
          </w:p>
        </w:tc>
        <w:tc>
          <w:tcPr>
            <w:tcW w:w="37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 (Unaudited)</w:t>
      </w:r>
    </w:p>
    <w:p>
      <w:pPr>
        <w:pStyle w:val="TextBody"/>
        <w:spacing w:before="0" w:after="0"/>
        <w:ind w:left="0" w:right="0" w:hanging="0"/>
        <w:jc w:val="center"/>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68" w:name="_94ff7f4b_5eb2_40a9_b341_49da4549f9fe"/>
      <w:bookmarkEnd w:id="568"/>
      <w:r>
        <w:rPr>
          <w:rFonts w:ascii="Times New Roman;Times;serif" w:hAnsi="Times New Roman;Times;serif"/>
          <w:b/>
          <w:sz w:val="20"/>
        </w:rPr>
        <w:t>Axcelis Technologies, Inc.</w:t>
      </w:r>
    </w:p>
    <w:p>
      <w:pPr>
        <w:pStyle w:val="TextBody"/>
        <w:spacing w:before="0" w:after="0"/>
        <w:ind w:left="0" w:right="0" w:hanging="0"/>
        <w:jc w:val="center"/>
        <w:rPr>
          <w:rFonts w:ascii="Times New Roman;Times;serif" w:hAnsi="Times New Roman;Times;serif"/>
          <w:b/>
          <w:sz w:val="20"/>
        </w:rPr>
      </w:pPr>
      <w:bookmarkStart w:id="569" w:name="NotestoConsolidatedFinancialStatementsUn"/>
      <w:bookmarkEnd w:id="569"/>
      <w:r>
        <w:rPr>
          <w:rFonts w:ascii="Times New Roman;Times;serif" w:hAnsi="Times New Roman;Times;serif"/>
          <w:b/>
          <w:sz w:val="20"/>
        </w:rPr>
        <w:t>Notes to Consolidated Financial Statements (Unaudited)</w:t>
      </w:r>
    </w:p>
    <w:p>
      <w:pPr>
        <w:pStyle w:val="TextBody"/>
        <w:spacing w:before="0" w:after="0"/>
        <w:ind w:left="0" w:right="0" w:hanging="0"/>
        <w:rPr/>
      </w:pPr>
      <w:r>
        <w:rPr/>
        <w:t>​</w:t>
      </w:r>
    </w:p>
    <w:p>
      <w:pPr>
        <w:pStyle w:val="TextBody"/>
        <w:pBdr/>
        <w:spacing w:before="0" w:after="0"/>
        <w:ind w:left="0" w:right="0" w:hanging="720"/>
        <w:rPr>
          <w:rFonts w:ascii="Times New Roman;Times;serif" w:hAnsi="Times New Roman;Times;serif"/>
          <w:b/>
          <w:sz w:val="20"/>
        </w:rPr>
      </w:pPr>
      <w:r>
        <w:rPr>
          <w:rFonts w:ascii="Times New Roman;Times;serif" w:hAnsi="Times New Roman;Times;serif"/>
          <w:b/>
          <w:sz w:val="20"/>
        </w:rPr>
        <w:t>Note 1.  Nature of Business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 </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balance sheet at December 31, 2022 has been derived from the audited consolidated financial statements at that date but does not include all the information and footnotes required by generally accepted accounting principles for complete financial statements. As of March 31, 2023, there have been no material changes in the Company’s significant accounting policies. For further information, refer to the consolidated financial statements and footnotes thereto included in the Company’s Annual Report on Form 10-K for the year ended December 31, 2022.</w:t>
      </w:r>
    </w:p>
    <w:p>
      <w:pPr>
        <w:pStyle w:val="TextBody"/>
        <w:spacing w:before="0" w:after="0"/>
        <w:ind w:left="0" w:right="0" w:hanging="0"/>
        <w:rPr/>
      </w:pPr>
      <w:r>
        <w:rPr/>
        <w:t>​</w:t>
      </w:r>
    </w:p>
    <w:p>
      <w:pPr>
        <w:pStyle w:val="TextBody"/>
        <w:spacing w:before="0" w:after="0"/>
        <w:ind w:left="0" w:right="0" w:firstLine="720"/>
        <w:rPr/>
      </w:pPr>
      <w:r>
        <w:rPr/>
        <w:t>​</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570" w:name="_contentSection_2483b59b_abe4_4e14_a38e_"/>
      <w:bookmarkEnd w:id="570"/>
      <w:r>
        <w:rPr>
          <w:rFonts w:ascii="Times New Roman;Times;serif" w:hAnsi="Times New Roman;Times;serif"/>
          <w:b/>
          <w:sz w:val="20"/>
        </w:rPr>
        <w:t>Note 2.  Stock-Based Compensation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maintain the Axcelis Technologies, Inc. 2012 Equity Incentive Plan, as amended (the “2012 Equity Plan”), an Internal Revenue Code Section 423 plan, which became effective on May 2, 2012, and permits the issuance of options, restricted stock, restricted stock units (“RSUs”) and performance awards to selected employees, directors and consultants of the Company.</w:t>
      </w:r>
    </w:p>
    <w:p>
      <w:pPr>
        <w:pStyle w:val="TextBody"/>
        <w:spacing w:before="0" w:after="0"/>
        <w:ind w:left="0" w:right="0" w:firstLine="54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2012 Equity Plan is more fully described in Note 13 to the consolidated financial statements in our Annual Report on Form 10-K for the year ended December 31, 2022.</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recognized stock-based compensation expense of $3.2 million and $2.7 million for the three-month periods ended March 31, 2023 and 2022, respectively. These amounts include compensation expense related to RSUs and non-qualified stock options.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the three-month periods ended March 31, 2023 and 2022, we issued 58.0 thousand and 0.1 million shares of common stock, respectively, upon stock option exercises and vesting of RSUs. In the three-month periods ended March 31, 2023 and 2022, we received proceeds of $25.0 thousand and $0.5 million, respectively, in connection with the exercise of stock options.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Note 3.  Leases </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for the use of a specific physical space or a specific physical item.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recognize operating lease obligations under Accounting Standards Codification Topic 842, </w:t>
      </w:r>
      <w:r>
        <w:rPr>
          <w:rFonts w:ascii="Times New Roman;Times;serif" w:hAnsi="Times New Roman;Times;serif"/>
          <w:i/>
          <w:sz w:val="20"/>
        </w:rPr>
        <w:t>Leases</w:t>
      </w:r>
      <w:r>
        <w:rPr>
          <w:rFonts w:ascii="Times New Roman;Times;serif" w:hAnsi="Times New Roman;Times;serif"/>
          <w:sz w:val="20"/>
        </w:rPr>
        <w:t xml:space="preserve">. The guidance in Topic 842 requires recognition of lease assets and related liabilities on a discounted basis using the explicit or implicit discount rate stated within the agreement. We recognize a corresponding right-of-use asset, which is initially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571" w:name="Tc_RJsTRCy3hkawKlqWyefl5w_16_0"/>
      <w:bookmarkStart w:id="572" w:name="Tc_jfHITIhSQkajxEZdC07epg_14_6"/>
      <w:bookmarkStart w:id="573" w:name="Tc_fTd9jZPAtUShY0IT9UgTIA_14_3"/>
      <w:bookmarkStart w:id="574" w:name="Tc_ziHHvmXbmEOZtV5RKfS5Nw_13_1"/>
      <w:bookmarkStart w:id="575" w:name="Tc_Dxq1yE5M7UW5chyTyXeUtA_12_1"/>
      <w:bookmarkStart w:id="576" w:name="Tc_3bayFhCm80KL9VmVY3OeIA_11_0"/>
      <w:bookmarkStart w:id="577" w:name="Tc_uxH7ezV880a0_sZu8r5Pnw_10_1"/>
      <w:bookmarkStart w:id="578" w:name="Tc_zQWZ5BbvXkKuO0-sSYUCGw_9_6"/>
      <w:bookmarkStart w:id="579" w:name="Tc_wy-OpYuyl0ih_WhZkRCgDw_9_3"/>
      <w:bookmarkStart w:id="580" w:name="Tc__988Ij6IZESzmyte1tmiyA_9_1"/>
      <w:bookmarkStart w:id="581" w:name="Tc_1H11TYeMBUq52pF3_qveHw_8_0"/>
      <w:bookmarkStart w:id="582" w:name="Tc_5VlOrekp8kC4q4LhsRdURA_7_0"/>
      <w:bookmarkStart w:id="583" w:name="Tc_eghrW7exZEyCBWuYPOujAA_6_6"/>
      <w:bookmarkStart w:id="584" w:name="Tc_hPe-M2w-DEi4qxon_lQm-w_6_3"/>
      <w:bookmarkStart w:id="585" w:name="Tc_M9tX9FIbNEOEM62lKQ-i5g_6_0"/>
      <w:bookmarkStart w:id="586" w:name="Tc_WNVS0W1KL0-vuDwrBM_H4A_5_1"/>
      <w:bookmarkStart w:id="587" w:name="Tc_PKggfahs_UuvIjKoOfFCBg_4_6"/>
      <w:bookmarkStart w:id="588" w:name="Tc_hjzFBcykJU-x6LVLt61nLg_4_3"/>
      <w:bookmarkStart w:id="589" w:name="Tc_a3GcTj0QBUSr9Yrr4F0mAg_4_1"/>
      <w:bookmarkStart w:id="590" w:name="Tc_6bgDz6xKwUmXtF07jbxiOA_3_3"/>
      <w:bookmarkStart w:id="591" w:name="Tc_yZGQ8dXDpkW7Ofc0qFetjQ_3_0"/>
      <w:bookmarkStart w:id="592" w:name="Tc_jlJ-b8-Mi0y_MHOYW_OKUg_2_6"/>
      <w:bookmarkStart w:id="593" w:name="Tc_R6Rgba2hkEmznDclDCjx7A_2_3"/>
      <w:bookmarkStart w:id="594" w:name="Tc_vCWTEJQMNUeocVC5e_GSJQ_2_1"/>
      <w:bookmarkStart w:id="595" w:name="Tc_HmJXhTPFzkyga0rD-VRyEg_2_0"/>
      <w:bookmarkStart w:id="596" w:name="Tc_wzWROuyEs0yZ2d5dobFCHA_1_6"/>
      <w:bookmarkStart w:id="597" w:name="Tc_0B-dBzeJ7EeIOrVOgja1cA_1_3"/>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rPr>
          <w:rFonts w:ascii="Times New Roman;Times;serif" w:hAnsi="Times New Roman;Times;serif"/>
          <w:sz w:val="20"/>
        </w:rPr>
        <w:t xml:space="preserve">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w:t>
      </w:r>
      <w:r>
        <w:rPr>
          <w:rFonts w:ascii="Times New Roman;Times;serif" w:hAnsi="Times New Roman;Times;serif"/>
          <w:b w:val="false"/>
          <w:i w:val="false"/>
          <w:caps w:val="false"/>
          <w:smallCaps w:val="false"/>
          <w:sz w:val="20"/>
        </w:rPr>
        <w:t>options to renew</w:t>
      </w:r>
      <w:r>
        <w:rPr>
          <w:rFonts w:ascii="Times New Roman;Times;serif" w:hAnsi="Times New Roman;Times;serif"/>
          <w:sz w:val="20"/>
        </w:rPr>
        <w:t xml:space="preserve">, with renewal terms that can extend the respective lease term by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pStyle w:val="TextBody"/>
        <w:spacing w:before="0" w:after="0"/>
        <w:ind w:left="0" w:right="0" w:firstLine="720"/>
        <w:rPr/>
      </w:pPr>
      <w:r>
        <w:rPr/>
        <w:t>​</w:t>
      </w:r>
    </w:p>
    <w:tbl>
      <w:tblPr>
        <w:tblW w:w="10205" w:type="dxa"/>
        <w:jc w:val="left"/>
        <w:tblInd w:w="0" w:type="dxa"/>
        <w:tblCellMar>
          <w:top w:w="0" w:type="dxa"/>
          <w:left w:w="0" w:type="dxa"/>
          <w:bottom w:w="0" w:type="dxa"/>
          <w:right w:w="0" w:type="dxa"/>
        </w:tblCellMar>
      </w:tblPr>
      <w:tblGrid>
        <w:gridCol w:w="2203"/>
        <w:gridCol w:w="3617"/>
        <w:gridCol w:w="178"/>
        <w:gridCol w:w="344"/>
        <w:gridCol w:w="1056"/>
        <w:gridCol w:w="533"/>
        <w:gridCol w:w="404"/>
        <w:gridCol w:w="1240"/>
        <w:gridCol w:w="326"/>
        <w:gridCol w:w="146"/>
        <w:gridCol w:w="158"/>
      </w:tblGrid>
      <w:tr>
        <w:trPr/>
        <w:tc>
          <w:tcPr>
            <w:tcW w:w="22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98905" cy="175260"/>
                      <wp:effectExtent l="0" t="0" r="0" b="0"/>
                      <wp:wrapNone/>
                      <wp:docPr id="73" name="Frame73"/>
                      <a:graphic xmlns:a="http://schemas.openxmlformats.org/drawingml/2006/main">
                        <a:graphicData uri="http://schemas.microsoft.com/office/word/2010/wordprocessingShape">
                          <wps:wsp>
                            <wps:cNvSpPr txBox="1"/>
                            <wps:spPr>
                              <a:xfrm>
                                <a:off x="0" y="0"/>
                                <a:ext cx="13989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296795" cy="175260"/>
                      <wp:effectExtent l="0" t="0" r="0" b="0"/>
                      <wp:wrapNone/>
                      <wp:docPr id="74" name="Frame74"/>
                      <a:graphic xmlns:a="http://schemas.openxmlformats.org/drawingml/2006/main">
                        <a:graphicData uri="http://schemas.microsoft.com/office/word/2010/wordprocessingShape">
                          <wps:wsp>
                            <wps:cNvSpPr txBox="1"/>
                            <wps:spPr>
                              <a:xfrm>
                                <a:off x="0" y="0"/>
                                <a:ext cx="2296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13030" cy="175260"/>
                      <wp:effectExtent l="0" t="0" r="0" b="0"/>
                      <wp:wrapNone/>
                      <wp:docPr id="75" name="Frame75"/>
                      <a:graphic xmlns:a="http://schemas.openxmlformats.org/drawingml/2006/main">
                        <a:graphicData uri="http://schemas.microsoft.com/office/word/2010/wordprocessingShape">
                          <wps:wsp>
                            <wps:cNvSpPr txBox="1"/>
                            <wps:spPr>
                              <a:xfrm>
                                <a:off x="0" y="0"/>
                                <a:ext cx="1130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8440" cy="175260"/>
                      <wp:effectExtent l="0" t="0" r="0" b="0"/>
                      <wp:wrapNone/>
                      <wp:docPr id="76" name="Frame76"/>
                      <a:graphic xmlns:a="http://schemas.openxmlformats.org/drawingml/2006/main">
                        <a:graphicData uri="http://schemas.microsoft.com/office/word/2010/wordprocessingShape">
                          <wps:wsp>
                            <wps:cNvSpPr txBox="1"/>
                            <wps:spPr>
                              <a:xfrm>
                                <a:off x="0" y="0"/>
                                <a:ext cx="218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70560" cy="175260"/>
                      <wp:effectExtent l="0" t="0" r="0" b="0"/>
                      <wp:wrapNone/>
                      <wp:docPr id="77" name="Frame77"/>
                      <a:graphic xmlns:a="http://schemas.openxmlformats.org/drawingml/2006/main">
                        <a:graphicData uri="http://schemas.microsoft.com/office/word/2010/wordprocessingShape">
                          <wps:wsp>
                            <wps:cNvSpPr txBox="1"/>
                            <wps:spPr>
                              <a:xfrm>
                                <a:off x="0" y="0"/>
                                <a:ext cx="670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38455" cy="175260"/>
                      <wp:effectExtent l="0" t="0" r="0" b="0"/>
                      <wp:wrapNone/>
                      <wp:docPr id="78" name="Frame78"/>
                      <a:graphic xmlns:a="http://schemas.openxmlformats.org/drawingml/2006/main">
                        <a:graphicData uri="http://schemas.microsoft.com/office/word/2010/wordprocessingShape">
                          <wps:wsp>
                            <wps:cNvSpPr txBox="1"/>
                            <wps:spPr>
                              <a:xfrm>
                                <a:off x="0" y="0"/>
                                <a:ext cx="338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56540" cy="175260"/>
                      <wp:effectExtent l="0" t="0" r="0" b="0"/>
                      <wp:wrapNone/>
                      <wp:docPr id="79" name="Frame79"/>
                      <a:graphic xmlns:a="http://schemas.openxmlformats.org/drawingml/2006/main">
                        <a:graphicData uri="http://schemas.microsoft.com/office/word/2010/wordprocessingShape">
                          <wps:wsp>
                            <wps:cNvSpPr txBox="1"/>
                            <wps:spPr>
                              <a:xfrm>
                                <a:off x="0" y="0"/>
                                <a:ext cx="256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87400" cy="175260"/>
                      <wp:effectExtent l="0" t="0" r="0" b="0"/>
                      <wp:wrapNone/>
                      <wp:docPr id="80" name="Frame80"/>
                      <a:graphic xmlns:a="http://schemas.openxmlformats.org/drawingml/2006/main">
                        <a:graphicData uri="http://schemas.microsoft.com/office/word/2010/wordprocessingShape">
                          <wps:wsp>
                            <wps:cNvSpPr txBox="1"/>
                            <wps:spPr>
                              <a:xfrm>
                                <a:off x="0" y="0"/>
                                <a:ext cx="787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2710" cy="175260"/>
                      <wp:effectExtent l="0" t="0" r="0" b="0"/>
                      <wp:wrapNone/>
                      <wp:docPr id="82" name="Frame8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00330" cy="175260"/>
                      <wp:effectExtent l="0" t="0" r="0" b="0"/>
                      <wp:wrapNone/>
                      <wp:docPr id="83" name="Frame83"/>
                      <a:graphic xmlns:a="http://schemas.openxmlformats.org/drawingml/2006/main">
                        <a:graphicData uri="http://schemas.microsoft.com/office/word/2010/wordprocessingShape">
                          <wps:wsp>
                            <wps:cNvSpPr txBox="1"/>
                            <wps:spPr>
                              <a:xfrm>
                                <a:off x="0" y="0"/>
                                <a:ext cx="1003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03" w:type="dxa"/>
            <w:tcBorders/>
            <w:shd w:fill="auto" w:val="clear"/>
            <w:vAlign w:val="center"/>
          </w:tcPr>
          <w:p>
            <w:pPr>
              <w:pStyle w:val="TableContents"/>
              <w:spacing w:before="0" w:after="0"/>
              <w:ind w:left="0" w:right="0" w:hanging="0"/>
              <w:rPr/>
            </w:pPr>
            <w:r>
              <w:rPr/>
              <w:t>​</w:t>
            </w:r>
          </w:p>
        </w:tc>
        <w:tc>
          <w:tcPr>
            <w:tcW w:w="3617" w:type="dxa"/>
            <w:tcBorders/>
            <w:shd w:fill="auto" w:val="clear"/>
            <w:vAlign w:val="center"/>
          </w:tcPr>
          <w:p>
            <w:pPr>
              <w:pStyle w:val="TableContents"/>
              <w:spacing w:before="0" w:after="0"/>
              <w:ind w:left="0" w:right="0" w:hanging="0"/>
              <w:rPr/>
            </w:pPr>
            <w:r>
              <w:rPr/>
              <w:t>​</w:t>
            </w:r>
          </w:p>
        </w:tc>
        <w:tc>
          <w:tcPr>
            <w:tcW w:w="178" w:type="dxa"/>
            <w:tcBorders/>
            <w:shd w:fill="auto" w:val="clear"/>
            <w:vAlign w:val="center"/>
          </w:tcPr>
          <w:p>
            <w:pPr>
              <w:pStyle w:val="TableContents"/>
              <w:spacing w:before="0" w:after="0"/>
              <w:ind w:left="0" w:right="0" w:hanging="0"/>
              <w:rPr/>
            </w:pPr>
            <w:r>
              <w:rPr/>
              <w:t>​</w:t>
            </w:r>
          </w:p>
        </w:tc>
        <w:tc>
          <w:tcPr>
            <w:tcW w:w="14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5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6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58" w:type="dxa"/>
            <w:tcBorders/>
            <w:shd w:fill="auto" w:val="clear"/>
            <w:vAlign w:val="center"/>
          </w:tcPr>
          <w:p>
            <w:pPr>
              <w:pStyle w:val="TableContents"/>
              <w:spacing w:before="0" w:after="0"/>
              <w:ind w:left="0" w:right="0" w:hanging="0"/>
              <w:rPr/>
            </w:pPr>
            <w:r>
              <w:rPr/>
              <w:t>​</w:t>
            </w:r>
          </w:p>
        </w:tc>
      </w:tr>
      <w:tr>
        <w:trPr/>
        <w:tc>
          <w:tcPr>
            <w:tcW w:w="2203"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Leases</w:t>
            </w:r>
          </w:p>
        </w:tc>
        <w:tc>
          <w:tcPr>
            <w:tcW w:w="3617"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Classification</w:t>
            </w:r>
          </w:p>
        </w:tc>
        <w:tc>
          <w:tcPr>
            <w:tcW w:w="178" w:type="dxa"/>
            <w:tcBorders/>
            <w:shd w:fill="auto" w:val="clear"/>
            <w:vAlign w:val="center"/>
          </w:tcPr>
          <w:p>
            <w:pPr>
              <w:pStyle w:val="TableContents"/>
              <w:spacing w:before="0" w:after="0"/>
              <w:ind w:left="0" w:right="0" w:hanging="0"/>
              <w:rPr/>
            </w:pPr>
            <w:r>
              <w:rPr/>
              <w:t>​</w:t>
            </w:r>
          </w:p>
        </w:tc>
        <w:tc>
          <w:tcPr>
            <w:tcW w:w="14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33" w:type="dxa"/>
            <w:tcBorders/>
            <w:shd w:fill="auto" w:val="clear"/>
            <w:vAlign w:val="center"/>
          </w:tcPr>
          <w:p>
            <w:pPr>
              <w:pStyle w:val="TableContents"/>
              <w:spacing w:before="0" w:after="0"/>
              <w:ind w:left="0" w:right="0" w:hanging="0"/>
              <w:jc w:val="center"/>
              <w:rPr/>
            </w:pPr>
            <w:r>
              <w:rPr/>
              <w:t>    </w:t>
            </w:r>
          </w:p>
        </w:tc>
        <w:tc>
          <w:tcPr>
            <w:tcW w:w="16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rPr/>
            </w:pPr>
            <w:r>
              <w:rPr/>
              <w:t>​</w:t>
            </w:r>
          </w:p>
        </w:tc>
      </w:tr>
      <w:tr>
        <w:trPr/>
        <w:tc>
          <w:tcPr>
            <w:tcW w:w="10205" w:type="dxa"/>
            <w:gridSpan w:val="11"/>
            <w:tcBorders/>
            <w:shd w:fill="auto" w:val="clear"/>
            <w:vAlign w:val="center"/>
          </w:tcPr>
          <w:p>
            <w:pPr>
              <w:pStyle w:val="TableContents"/>
              <w:spacing w:before="0" w:after="283"/>
              <w:ind w:left="0" w:right="0" w:hanging="0"/>
              <w:rPr>
                <w:sz w:val="4"/>
                <w:szCs w:val="4"/>
              </w:rPr>
            </w:pPr>
            <w:r>
              <w:rPr>
                <w:sz w:val="4"/>
                <w:szCs w:val="4"/>
              </w:rPr>
            </w:r>
          </w:p>
        </w:tc>
      </w:tr>
      <w:tr>
        <w:trPr/>
        <w:tc>
          <w:tcPr>
            <w:tcW w:w="2203"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Assets</w:t>
            </w:r>
          </w:p>
        </w:tc>
        <w:tc>
          <w:tcPr>
            <w:tcW w:w="3617" w:type="dxa"/>
            <w:tcBorders/>
            <w:shd w:fill="auto" w:val="clear"/>
            <w:vAlign w:val="center"/>
          </w:tcPr>
          <w:p>
            <w:pPr>
              <w:pStyle w:val="TableContents"/>
              <w:spacing w:before="0" w:after="0"/>
              <w:ind w:left="0" w:right="0" w:hanging="0"/>
              <w:rPr/>
            </w:pPr>
            <w:r>
              <w:rPr/>
              <w:t>​</w:t>
            </w:r>
          </w:p>
        </w:tc>
        <w:tc>
          <w:tcPr>
            <w:tcW w:w="178" w:type="dxa"/>
            <w:tcBorders/>
            <w:shd w:fill="auto" w:val="clear"/>
            <w:vAlign w:val="center"/>
          </w:tcPr>
          <w:p>
            <w:pPr>
              <w:pStyle w:val="TableContents"/>
              <w:spacing w:before="0" w:after="0"/>
              <w:ind w:left="0" w:right="0" w:hanging="0"/>
              <w:rPr/>
            </w:pPr>
            <w:r>
              <w:rPr/>
              <w:t>​</w:t>
            </w:r>
          </w:p>
        </w:tc>
        <w:tc>
          <w:tcPr>
            <w:tcW w:w="3577"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rPr/>
            </w:pPr>
            <w:r>
              <w:rPr/>
              <w:t>​</w:t>
            </w:r>
          </w:p>
        </w:tc>
      </w:tr>
      <w:tr>
        <w:trPr/>
        <w:tc>
          <w:tcPr>
            <w:tcW w:w="2203"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leases</w:t>
            </w:r>
          </w:p>
        </w:tc>
        <w:tc>
          <w:tcPr>
            <w:tcW w:w="361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lease assets</w:t>
            </w:r>
          </w:p>
        </w:tc>
        <w:tc>
          <w:tcPr>
            <w:tcW w:w="178" w:type="dxa"/>
            <w:tcBorders/>
            <w:shd w:fill="CCEEFF" w:val="clear"/>
            <w:vAlign w:val="center"/>
          </w:tcPr>
          <w:p>
            <w:pPr>
              <w:pStyle w:val="TableContents"/>
              <w:spacing w:before="0" w:after="0"/>
              <w:ind w:left="0" w:right="0" w:hanging="0"/>
              <w:rPr/>
            </w:pPr>
            <w:r>
              <w:rPr/>
              <w:t>​</w:t>
            </w:r>
          </w:p>
        </w:tc>
        <w:tc>
          <w:tcPr>
            <w:tcW w:w="34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10,660</w:t>
            </w:r>
          </w:p>
        </w:tc>
        <w:tc>
          <w:tcPr>
            <w:tcW w:w="533" w:type="dxa"/>
            <w:tcBorders/>
            <w:shd w:fill="CCEEFF" w:val="clear"/>
            <w:vAlign w:val="center"/>
          </w:tcPr>
          <w:p>
            <w:pPr>
              <w:pStyle w:val="TableContents"/>
              <w:spacing w:before="0" w:after="0"/>
              <w:ind w:left="0" w:right="0" w:hanging="0"/>
              <w:rPr/>
            </w:pPr>
            <w:r>
              <w:rPr/>
              <w:t>​</w:t>
            </w:r>
          </w:p>
        </w:tc>
        <w:tc>
          <w:tcPr>
            <w:tcW w:w="40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24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12,146</w:t>
            </w:r>
          </w:p>
        </w:tc>
        <w:tc>
          <w:tcPr>
            <w:tcW w:w="32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58" w:type="dxa"/>
            <w:tcBorders/>
            <w:shd w:fill="CCEEFF" w:val="clear"/>
            <w:vAlign w:val="center"/>
          </w:tcPr>
          <w:p>
            <w:pPr>
              <w:pStyle w:val="TableContents"/>
              <w:spacing w:before="0" w:after="0"/>
              <w:ind w:left="0" w:right="0" w:hanging="0"/>
              <w:rPr/>
            </w:pPr>
            <w:r>
              <w:rPr/>
              <w:t>​</w:t>
            </w:r>
          </w:p>
        </w:tc>
      </w:tr>
      <w:tr>
        <w:trPr/>
        <w:tc>
          <w:tcPr>
            <w:tcW w:w="2203"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Finance lease</w:t>
            </w:r>
          </w:p>
        </w:tc>
        <w:tc>
          <w:tcPr>
            <w:tcW w:w="361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Finance lease assets*</w:t>
            </w:r>
          </w:p>
        </w:tc>
        <w:tc>
          <w:tcPr>
            <w:tcW w:w="178" w:type="dxa"/>
            <w:tcBorders/>
            <w:shd w:fill="auto" w:val="clear"/>
            <w:vAlign w:val="center"/>
          </w:tcPr>
          <w:p>
            <w:pPr>
              <w:pStyle w:val="TableContents"/>
              <w:spacing w:before="0" w:after="0"/>
              <w:ind w:left="0" w:right="0" w:hanging="0"/>
              <w:rPr/>
            </w:pPr>
            <w:r>
              <w:rPr/>
              <w:t>​</w:t>
            </w:r>
          </w:p>
        </w:tc>
        <w:tc>
          <w:tcPr>
            <w:tcW w:w="34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0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17,623</w:t>
            </w:r>
          </w:p>
        </w:tc>
        <w:tc>
          <w:tcPr>
            <w:tcW w:w="533" w:type="dxa"/>
            <w:tcBorders/>
            <w:shd w:fill="auto" w:val="clear"/>
            <w:vAlign w:val="center"/>
          </w:tcPr>
          <w:p>
            <w:pPr>
              <w:pStyle w:val="TableContents"/>
              <w:spacing w:before="0" w:after="0"/>
              <w:ind w:left="0" w:right="0" w:hanging="0"/>
              <w:rPr/>
            </w:pPr>
            <w:r>
              <w:rPr/>
              <w:t>​</w:t>
            </w:r>
          </w:p>
        </w:tc>
        <w:tc>
          <w:tcPr>
            <w:tcW w:w="40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24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17,942</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58" w:type="dxa"/>
            <w:tcBorders/>
            <w:shd w:fill="auto" w:val="clear"/>
            <w:vAlign w:val="center"/>
          </w:tcPr>
          <w:p>
            <w:pPr>
              <w:pStyle w:val="TableContents"/>
              <w:spacing w:before="0" w:after="0"/>
              <w:ind w:left="0" w:right="0" w:hanging="0"/>
              <w:rPr/>
            </w:pPr>
            <w:r>
              <w:rPr/>
              <w:t>​</w:t>
            </w:r>
          </w:p>
        </w:tc>
      </w:tr>
      <w:tr>
        <w:trPr/>
        <w:tc>
          <w:tcPr>
            <w:tcW w:w="220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leased assets</w:t>
            </w:r>
          </w:p>
        </w:tc>
        <w:tc>
          <w:tcPr>
            <w:tcW w:w="3617" w:type="dxa"/>
            <w:tcBorders/>
            <w:shd w:fill="CCEEFF" w:val="clear"/>
            <w:vAlign w:val="center"/>
          </w:tcPr>
          <w:p>
            <w:pPr>
              <w:pStyle w:val="TableContents"/>
              <w:spacing w:before="0" w:after="0"/>
              <w:ind w:left="0" w:right="0" w:hanging="0"/>
              <w:rPr/>
            </w:pPr>
            <w:r>
              <w:rPr/>
              <w:t>​</w:t>
            </w:r>
          </w:p>
        </w:tc>
        <w:tc>
          <w:tcPr>
            <w:tcW w:w="178" w:type="dxa"/>
            <w:tcBorders/>
            <w:shd w:fill="CCEEFF" w:val="clear"/>
            <w:vAlign w:val="center"/>
          </w:tcPr>
          <w:p>
            <w:pPr>
              <w:pStyle w:val="TableContents"/>
              <w:spacing w:before="0" w:after="0"/>
              <w:ind w:left="0" w:right="0" w:hanging="0"/>
              <w:rPr/>
            </w:pPr>
            <w:r>
              <w:rPr/>
              <w:t>​</w:t>
            </w:r>
          </w:p>
        </w:tc>
        <w:tc>
          <w:tcPr>
            <w:tcW w:w="34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28,283</w:t>
            </w:r>
          </w:p>
        </w:tc>
        <w:tc>
          <w:tcPr>
            <w:tcW w:w="533" w:type="dxa"/>
            <w:tcBorders/>
            <w:shd w:fill="CCEEFF" w:val="clear"/>
            <w:vAlign w:val="center"/>
          </w:tcPr>
          <w:p>
            <w:pPr>
              <w:pStyle w:val="TableContents"/>
              <w:spacing w:before="0" w:after="0"/>
              <w:ind w:left="0" w:right="0" w:hanging="0"/>
              <w:rPr/>
            </w:pPr>
            <w:r>
              <w:rPr/>
              <w:t>​</w:t>
            </w:r>
          </w:p>
        </w:tc>
        <w:tc>
          <w:tcPr>
            <w:tcW w:w="40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2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30,088</w:t>
            </w:r>
          </w:p>
        </w:tc>
        <w:tc>
          <w:tcPr>
            <w:tcW w:w="32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58" w:type="dxa"/>
            <w:tcBorders/>
            <w:shd w:fill="CCEEFF" w:val="clear"/>
            <w:vAlign w:val="center"/>
          </w:tcPr>
          <w:p>
            <w:pPr>
              <w:pStyle w:val="TableContents"/>
              <w:spacing w:before="0" w:after="0"/>
              <w:ind w:left="0" w:right="0" w:hanging="0"/>
              <w:rPr/>
            </w:pPr>
            <w:r>
              <w:rPr/>
              <w:t>​</w:t>
            </w:r>
          </w:p>
        </w:tc>
      </w:tr>
      <w:tr>
        <w:trPr/>
        <w:tc>
          <w:tcPr>
            <w:tcW w:w="2203"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Liabilities</w:t>
            </w:r>
          </w:p>
        </w:tc>
        <w:tc>
          <w:tcPr>
            <w:tcW w:w="3617" w:type="dxa"/>
            <w:tcBorders/>
            <w:shd w:fill="auto" w:val="clear"/>
            <w:vAlign w:val="center"/>
          </w:tcPr>
          <w:p>
            <w:pPr>
              <w:pStyle w:val="TableContents"/>
              <w:spacing w:before="0" w:after="0"/>
              <w:ind w:left="0" w:right="0" w:hanging="0"/>
              <w:rPr/>
            </w:pPr>
            <w:r>
              <w:rPr/>
              <w:t>​</w:t>
            </w:r>
          </w:p>
        </w:tc>
        <w:tc>
          <w:tcPr>
            <w:tcW w:w="178" w:type="dxa"/>
            <w:tcBorders/>
            <w:shd w:fill="auto" w:val="clear"/>
            <w:vAlign w:val="center"/>
          </w:tcPr>
          <w:p>
            <w:pPr>
              <w:pStyle w:val="TableContents"/>
              <w:spacing w:before="0" w:after="0"/>
              <w:ind w:left="0" w:right="0" w:hanging="0"/>
              <w:rPr/>
            </w:pPr>
            <w:r>
              <w:rPr/>
              <w:t>​</w:t>
            </w:r>
          </w:p>
        </w:tc>
        <w:tc>
          <w:tcPr>
            <w:tcW w:w="344" w:type="dxa"/>
            <w:tcBorders/>
            <w:shd w:fill="auto" w:val="clear"/>
            <w:vAlign w:val="center"/>
          </w:tcPr>
          <w:p>
            <w:pPr>
              <w:pStyle w:val="TableContents"/>
              <w:spacing w:before="0" w:after="0"/>
              <w:ind w:left="0" w:right="0" w:hanging="0"/>
              <w:rPr/>
            </w:pPr>
            <w:r>
              <w:rPr/>
              <w:t>​</w:t>
            </w:r>
          </w:p>
        </w:tc>
        <w:tc>
          <w:tcPr>
            <w:tcW w:w="1056" w:type="dxa"/>
            <w:tcBorders/>
            <w:shd w:fill="auto" w:val="clear"/>
            <w:vAlign w:val="center"/>
          </w:tcPr>
          <w:p>
            <w:pPr>
              <w:pStyle w:val="TableContents"/>
              <w:spacing w:before="0" w:after="0"/>
              <w:ind w:left="0" w:right="0" w:hanging="0"/>
              <w:jc w:val="right"/>
              <w:rPr/>
            </w:pPr>
            <w:r>
              <w:rPr/>
              <w:t>​</w:t>
            </w:r>
          </w:p>
        </w:tc>
        <w:tc>
          <w:tcPr>
            <w:tcW w:w="533" w:type="dxa"/>
            <w:tcBorders/>
            <w:shd w:fill="auto" w:val="clear"/>
            <w:vAlign w:val="center"/>
          </w:tcPr>
          <w:p>
            <w:pPr>
              <w:pStyle w:val="TableContents"/>
              <w:spacing w:before="0" w:after="0"/>
              <w:ind w:left="0" w:right="0" w:hanging="0"/>
              <w:rPr/>
            </w:pPr>
            <w:r>
              <w:rPr/>
              <w:t>​</w:t>
            </w:r>
          </w:p>
        </w:tc>
        <w:tc>
          <w:tcPr>
            <w:tcW w:w="404" w:type="dxa"/>
            <w:tcBorders/>
            <w:shd w:fill="auto" w:val="clear"/>
            <w:vAlign w:val="center"/>
          </w:tcPr>
          <w:p>
            <w:pPr>
              <w:pStyle w:val="TableContents"/>
              <w:spacing w:before="0" w:after="0"/>
              <w:ind w:left="0" w:right="0" w:hanging="0"/>
              <w:rPr/>
            </w:pPr>
            <w:r>
              <w:rPr/>
              <w:t>​</w:t>
            </w:r>
          </w:p>
        </w:tc>
        <w:tc>
          <w:tcPr>
            <w:tcW w:w="124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58" w:type="dxa"/>
            <w:tcBorders/>
            <w:shd w:fill="auto" w:val="clear"/>
            <w:vAlign w:val="center"/>
          </w:tcPr>
          <w:p>
            <w:pPr>
              <w:pStyle w:val="TableContents"/>
              <w:spacing w:before="0" w:after="0"/>
              <w:ind w:left="0" w:right="0" w:hanging="0"/>
              <w:rPr/>
            </w:pPr>
            <w:r>
              <w:rPr/>
              <w:t>​</w:t>
            </w:r>
          </w:p>
        </w:tc>
      </w:tr>
      <w:tr>
        <w:trPr/>
        <w:tc>
          <w:tcPr>
            <w:tcW w:w="2203"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Current</w:t>
            </w:r>
          </w:p>
        </w:tc>
        <w:tc>
          <w:tcPr>
            <w:tcW w:w="3617" w:type="dxa"/>
            <w:tcBorders/>
            <w:shd w:fill="CCEEFF" w:val="clear"/>
            <w:vAlign w:val="center"/>
          </w:tcPr>
          <w:p>
            <w:pPr>
              <w:pStyle w:val="TableContents"/>
              <w:spacing w:before="0" w:after="0"/>
              <w:ind w:left="0" w:right="0" w:hanging="0"/>
              <w:rPr/>
            </w:pPr>
            <w:r>
              <w:rPr/>
              <w:t>​</w:t>
            </w:r>
          </w:p>
        </w:tc>
        <w:tc>
          <w:tcPr>
            <w:tcW w:w="178" w:type="dxa"/>
            <w:tcBorders/>
            <w:shd w:fill="CCEEFF" w:val="clear"/>
            <w:vAlign w:val="center"/>
          </w:tcPr>
          <w:p>
            <w:pPr>
              <w:pStyle w:val="TableContents"/>
              <w:spacing w:before="0" w:after="0"/>
              <w:ind w:left="0" w:right="0" w:hanging="0"/>
              <w:rPr/>
            </w:pPr>
            <w:r>
              <w:rPr/>
              <w:t>​</w:t>
            </w:r>
          </w:p>
        </w:tc>
        <w:tc>
          <w:tcPr>
            <w:tcW w:w="344" w:type="dxa"/>
            <w:tcBorders/>
            <w:shd w:fill="CCEEFF" w:val="clear"/>
            <w:vAlign w:val="center"/>
          </w:tcPr>
          <w:p>
            <w:pPr>
              <w:pStyle w:val="TableContents"/>
              <w:spacing w:before="0" w:after="0"/>
              <w:ind w:left="0" w:right="0" w:hanging="0"/>
              <w:rPr/>
            </w:pPr>
            <w:r>
              <w:rPr/>
              <w:t>​</w:t>
            </w:r>
          </w:p>
        </w:tc>
        <w:tc>
          <w:tcPr>
            <w:tcW w:w="1056" w:type="dxa"/>
            <w:tcBorders/>
            <w:shd w:fill="CCEEFF" w:val="clear"/>
            <w:vAlign w:val="center"/>
          </w:tcPr>
          <w:p>
            <w:pPr>
              <w:pStyle w:val="TableContents"/>
              <w:spacing w:before="0" w:after="0"/>
              <w:ind w:left="0" w:right="0" w:hanging="0"/>
              <w:jc w:val="right"/>
              <w:rPr/>
            </w:pPr>
            <w:r>
              <w:rPr/>
              <w:t>​</w:t>
            </w:r>
          </w:p>
        </w:tc>
        <w:tc>
          <w:tcPr>
            <w:tcW w:w="533" w:type="dxa"/>
            <w:tcBorders/>
            <w:shd w:fill="CCEEFF" w:val="clear"/>
            <w:vAlign w:val="center"/>
          </w:tcPr>
          <w:p>
            <w:pPr>
              <w:pStyle w:val="TableContents"/>
              <w:spacing w:before="0" w:after="0"/>
              <w:ind w:left="0" w:right="0" w:hanging="0"/>
              <w:rPr/>
            </w:pPr>
            <w:r>
              <w:rPr/>
              <w:t>​</w:t>
            </w:r>
          </w:p>
        </w:tc>
        <w:tc>
          <w:tcPr>
            <w:tcW w:w="404" w:type="dxa"/>
            <w:tcBorders/>
            <w:shd w:fill="CCEEFF" w:val="clear"/>
            <w:vAlign w:val="center"/>
          </w:tcPr>
          <w:p>
            <w:pPr>
              <w:pStyle w:val="TableContents"/>
              <w:spacing w:before="0" w:after="0"/>
              <w:ind w:left="0" w:right="0" w:hanging="0"/>
              <w:rPr/>
            </w:pPr>
            <w:r>
              <w:rPr/>
              <w:t>​</w:t>
            </w:r>
          </w:p>
        </w:tc>
        <w:tc>
          <w:tcPr>
            <w:tcW w:w="124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58" w:type="dxa"/>
            <w:tcBorders/>
            <w:shd w:fill="CCEEFF" w:val="clear"/>
            <w:vAlign w:val="center"/>
          </w:tcPr>
          <w:p>
            <w:pPr>
              <w:pStyle w:val="TableContents"/>
              <w:spacing w:before="0" w:after="0"/>
              <w:ind w:left="0" w:right="0" w:hanging="0"/>
              <w:rPr/>
            </w:pPr>
            <w:r>
              <w:rPr/>
              <w:t>​</w:t>
            </w:r>
          </w:p>
        </w:tc>
      </w:tr>
      <w:tr>
        <w:trPr/>
        <w:tc>
          <w:tcPr>
            <w:tcW w:w="2203"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w:t>
            </w:r>
          </w:p>
        </w:tc>
        <w:tc>
          <w:tcPr>
            <w:tcW w:w="361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current liabilities</w:t>
            </w:r>
          </w:p>
        </w:tc>
        <w:tc>
          <w:tcPr>
            <w:tcW w:w="178" w:type="dxa"/>
            <w:tcBorders/>
            <w:shd w:fill="auto" w:val="clear"/>
            <w:vAlign w:val="center"/>
          </w:tcPr>
          <w:p>
            <w:pPr>
              <w:pStyle w:val="TableContents"/>
              <w:spacing w:before="0" w:after="0"/>
              <w:ind w:left="0" w:right="0" w:hanging="0"/>
              <w:rPr/>
            </w:pPr>
            <w:r>
              <w:rPr/>
              <w:t>​</w:t>
            </w:r>
          </w:p>
        </w:tc>
        <w:tc>
          <w:tcPr>
            <w:tcW w:w="34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4,276</w:t>
            </w:r>
          </w:p>
        </w:tc>
        <w:tc>
          <w:tcPr>
            <w:tcW w:w="533" w:type="dxa"/>
            <w:tcBorders/>
            <w:shd w:fill="auto" w:val="clear"/>
            <w:vAlign w:val="center"/>
          </w:tcPr>
          <w:p>
            <w:pPr>
              <w:pStyle w:val="TableContents"/>
              <w:spacing w:before="0" w:after="0"/>
              <w:ind w:left="0" w:right="0" w:hanging="0"/>
              <w:rPr/>
            </w:pPr>
            <w:r>
              <w:rPr/>
              <w:t>​</w:t>
            </w:r>
          </w:p>
        </w:tc>
        <w:tc>
          <w:tcPr>
            <w:tcW w:w="404"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24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5,367</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58" w:type="dxa"/>
            <w:tcBorders/>
            <w:shd w:fill="auto" w:val="clear"/>
            <w:vAlign w:val="center"/>
          </w:tcPr>
          <w:p>
            <w:pPr>
              <w:pStyle w:val="TableContents"/>
              <w:spacing w:before="0" w:after="0"/>
              <w:ind w:left="0" w:right="0" w:hanging="0"/>
              <w:rPr/>
            </w:pPr>
            <w:r>
              <w:rPr/>
              <w:t>​</w:t>
            </w:r>
          </w:p>
        </w:tc>
      </w:tr>
      <w:tr>
        <w:trPr/>
        <w:tc>
          <w:tcPr>
            <w:tcW w:w="2203"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Finance</w:t>
            </w:r>
          </w:p>
        </w:tc>
        <w:tc>
          <w:tcPr>
            <w:tcW w:w="361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Current portion of finance lease obligation</w:t>
            </w:r>
          </w:p>
        </w:tc>
        <w:tc>
          <w:tcPr>
            <w:tcW w:w="178" w:type="dxa"/>
            <w:tcBorders/>
            <w:shd w:fill="CCEEFF" w:val="clear"/>
            <w:vAlign w:val="center"/>
          </w:tcPr>
          <w:p>
            <w:pPr>
              <w:pStyle w:val="TableContents"/>
              <w:spacing w:before="0" w:after="0"/>
              <w:ind w:left="0" w:right="0" w:hanging="0"/>
              <w:rPr/>
            </w:pPr>
            <w:r>
              <w:rPr/>
              <w:t>​</w:t>
            </w:r>
          </w:p>
        </w:tc>
        <w:tc>
          <w:tcPr>
            <w:tcW w:w="344" w:type="dxa"/>
            <w:tcBorders/>
            <w:shd w:fill="CCEEFF" w:val="clear"/>
            <w:vAlign w:val="center"/>
          </w:tcPr>
          <w:p>
            <w:pPr>
              <w:pStyle w:val="TableContents"/>
              <w:spacing w:before="0" w:after="0"/>
              <w:ind w:left="0" w:right="0" w:hanging="0"/>
              <w:rPr/>
            </w:pPr>
            <w:r>
              <w:rPr/>
              <w:t>​</w:t>
            </w:r>
          </w:p>
        </w:tc>
        <w:tc>
          <w:tcPr>
            <w:tcW w:w="10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1,297</w:t>
            </w:r>
          </w:p>
        </w:tc>
        <w:tc>
          <w:tcPr>
            <w:tcW w:w="533" w:type="dxa"/>
            <w:tcBorders/>
            <w:shd w:fill="CCEEFF" w:val="clear"/>
            <w:vAlign w:val="center"/>
          </w:tcPr>
          <w:p>
            <w:pPr>
              <w:pStyle w:val="TableContents"/>
              <w:spacing w:before="0" w:after="0"/>
              <w:ind w:left="0" w:right="0" w:hanging="0"/>
              <w:rPr/>
            </w:pPr>
            <w:r>
              <w:rPr/>
              <w:t>​</w:t>
            </w:r>
          </w:p>
        </w:tc>
        <w:tc>
          <w:tcPr>
            <w:tcW w:w="404" w:type="dxa"/>
            <w:tcBorders/>
            <w:shd w:fill="CCEEFF" w:val="clear"/>
            <w:vAlign w:val="center"/>
          </w:tcPr>
          <w:p>
            <w:pPr>
              <w:pStyle w:val="TableContents"/>
              <w:spacing w:before="0" w:after="0"/>
              <w:ind w:left="0" w:right="0" w:hanging="0"/>
              <w:rPr/>
            </w:pPr>
            <w:r>
              <w:rPr/>
              <w:t>​</w:t>
            </w:r>
          </w:p>
        </w:tc>
        <w:tc>
          <w:tcPr>
            <w:tcW w:w="124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1,229</w:t>
            </w:r>
          </w:p>
        </w:tc>
        <w:tc>
          <w:tcPr>
            <w:tcW w:w="32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58" w:type="dxa"/>
            <w:tcBorders/>
            <w:shd w:fill="CCEEFF" w:val="clear"/>
            <w:vAlign w:val="center"/>
          </w:tcPr>
          <w:p>
            <w:pPr>
              <w:pStyle w:val="TableContents"/>
              <w:spacing w:before="0" w:after="0"/>
              <w:ind w:left="0" w:right="0" w:hanging="0"/>
              <w:rPr/>
            </w:pPr>
            <w:r>
              <w:rPr/>
              <w:t>​</w:t>
            </w:r>
          </w:p>
        </w:tc>
      </w:tr>
      <w:tr>
        <w:trPr/>
        <w:tc>
          <w:tcPr>
            <w:tcW w:w="2203"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Non-current</w:t>
            </w:r>
          </w:p>
        </w:tc>
        <w:tc>
          <w:tcPr>
            <w:tcW w:w="3617" w:type="dxa"/>
            <w:tcBorders/>
            <w:shd w:fill="auto" w:val="clear"/>
            <w:vAlign w:val="center"/>
          </w:tcPr>
          <w:p>
            <w:pPr>
              <w:pStyle w:val="TableContents"/>
              <w:spacing w:before="0" w:after="0"/>
              <w:ind w:left="0" w:right="0" w:hanging="0"/>
              <w:rPr/>
            </w:pPr>
            <w:r>
              <w:rPr/>
              <w:t>​</w:t>
            </w:r>
          </w:p>
        </w:tc>
        <w:tc>
          <w:tcPr>
            <w:tcW w:w="178" w:type="dxa"/>
            <w:tcBorders/>
            <w:shd w:fill="auto" w:val="clear"/>
            <w:vAlign w:val="center"/>
          </w:tcPr>
          <w:p>
            <w:pPr>
              <w:pStyle w:val="TableContents"/>
              <w:spacing w:before="0" w:after="0"/>
              <w:ind w:left="0" w:right="0" w:hanging="0"/>
              <w:rPr/>
            </w:pPr>
            <w:r>
              <w:rPr/>
              <w:t>​</w:t>
            </w:r>
          </w:p>
        </w:tc>
        <w:tc>
          <w:tcPr>
            <w:tcW w:w="344" w:type="dxa"/>
            <w:tcBorders/>
            <w:shd w:fill="auto" w:val="clear"/>
            <w:vAlign w:val="center"/>
          </w:tcPr>
          <w:p>
            <w:pPr>
              <w:pStyle w:val="TableContents"/>
              <w:spacing w:before="0" w:after="0"/>
              <w:ind w:left="0" w:right="0" w:hanging="0"/>
              <w:rPr/>
            </w:pPr>
            <w:r>
              <w:rPr/>
              <w:t>​</w:t>
            </w:r>
          </w:p>
        </w:tc>
        <w:tc>
          <w:tcPr>
            <w:tcW w:w="1056" w:type="dxa"/>
            <w:tcBorders/>
            <w:shd w:fill="auto" w:val="clear"/>
            <w:vAlign w:val="center"/>
          </w:tcPr>
          <w:p>
            <w:pPr>
              <w:pStyle w:val="TableContents"/>
              <w:spacing w:before="0" w:after="0"/>
              <w:ind w:left="0" w:right="0" w:hanging="0"/>
              <w:jc w:val="right"/>
              <w:rPr/>
            </w:pPr>
            <w:r>
              <w:rPr/>
              <w:t>​</w:t>
            </w:r>
          </w:p>
        </w:tc>
        <w:tc>
          <w:tcPr>
            <w:tcW w:w="533" w:type="dxa"/>
            <w:tcBorders/>
            <w:shd w:fill="auto" w:val="clear"/>
            <w:vAlign w:val="center"/>
          </w:tcPr>
          <w:p>
            <w:pPr>
              <w:pStyle w:val="TableContents"/>
              <w:spacing w:before="0" w:after="0"/>
              <w:ind w:left="0" w:right="0" w:hanging="0"/>
              <w:rPr/>
            </w:pPr>
            <w:r>
              <w:rPr/>
              <w:t>​</w:t>
            </w:r>
          </w:p>
        </w:tc>
        <w:tc>
          <w:tcPr>
            <w:tcW w:w="404" w:type="dxa"/>
            <w:tcBorders/>
            <w:shd w:fill="auto" w:val="clear"/>
            <w:vAlign w:val="center"/>
          </w:tcPr>
          <w:p>
            <w:pPr>
              <w:pStyle w:val="TableContents"/>
              <w:spacing w:before="0" w:after="0"/>
              <w:ind w:left="0" w:right="0" w:hanging="0"/>
              <w:rPr/>
            </w:pPr>
            <w:r>
              <w:rPr/>
              <w:t>​</w:t>
            </w:r>
          </w:p>
        </w:tc>
        <w:tc>
          <w:tcPr>
            <w:tcW w:w="124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58" w:type="dxa"/>
            <w:tcBorders/>
            <w:shd w:fill="auto" w:val="clear"/>
            <w:vAlign w:val="center"/>
          </w:tcPr>
          <w:p>
            <w:pPr>
              <w:pStyle w:val="TableContents"/>
              <w:spacing w:before="0" w:after="0"/>
              <w:ind w:left="0" w:right="0" w:hanging="0"/>
              <w:rPr/>
            </w:pPr>
            <w:r>
              <w:rPr/>
              <w:t>​</w:t>
            </w:r>
          </w:p>
        </w:tc>
      </w:tr>
      <w:tr>
        <w:trPr/>
        <w:tc>
          <w:tcPr>
            <w:tcW w:w="2203"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Operating </w:t>
            </w:r>
          </w:p>
        </w:tc>
        <w:tc>
          <w:tcPr>
            <w:tcW w:w="361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long-term liabilities</w:t>
            </w:r>
          </w:p>
        </w:tc>
        <w:tc>
          <w:tcPr>
            <w:tcW w:w="178" w:type="dxa"/>
            <w:tcBorders/>
            <w:shd w:fill="CCEEFF" w:val="clear"/>
            <w:vAlign w:val="center"/>
          </w:tcPr>
          <w:p>
            <w:pPr>
              <w:pStyle w:val="TableContents"/>
              <w:spacing w:before="0" w:after="0"/>
              <w:ind w:left="0" w:right="0" w:hanging="0"/>
              <w:rPr/>
            </w:pPr>
            <w:r>
              <w:rPr/>
              <w:t>​</w:t>
            </w:r>
          </w:p>
        </w:tc>
        <w:tc>
          <w:tcPr>
            <w:tcW w:w="344" w:type="dxa"/>
            <w:tcBorders/>
            <w:shd w:fill="CCEEFF" w:val="clear"/>
            <w:vAlign w:val="center"/>
          </w:tcPr>
          <w:p>
            <w:pPr>
              <w:pStyle w:val="TableContents"/>
              <w:spacing w:before="0" w:after="0"/>
              <w:ind w:left="0" w:right="0" w:hanging="0"/>
              <w:rPr/>
            </w:pPr>
            <w:r>
              <w:rPr/>
              <w:t>​</w:t>
            </w:r>
          </w:p>
        </w:tc>
        <w:tc>
          <w:tcPr>
            <w:tcW w:w="10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5,638</w:t>
            </w:r>
          </w:p>
        </w:tc>
        <w:tc>
          <w:tcPr>
            <w:tcW w:w="533" w:type="dxa"/>
            <w:tcBorders/>
            <w:shd w:fill="CCEEFF" w:val="clear"/>
            <w:vAlign w:val="center"/>
          </w:tcPr>
          <w:p>
            <w:pPr>
              <w:pStyle w:val="TableContents"/>
              <w:spacing w:before="0" w:after="0"/>
              <w:ind w:left="0" w:right="0" w:hanging="0"/>
              <w:rPr/>
            </w:pPr>
            <w:r>
              <w:rPr/>
              <w:t>​</w:t>
            </w:r>
          </w:p>
        </w:tc>
        <w:tc>
          <w:tcPr>
            <w:tcW w:w="404" w:type="dxa"/>
            <w:tcBorders/>
            <w:shd w:fill="CCEEFF" w:val="clear"/>
            <w:vAlign w:val="center"/>
          </w:tcPr>
          <w:p>
            <w:pPr>
              <w:pStyle w:val="TableContents"/>
              <w:spacing w:before="0" w:after="0"/>
              <w:ind w:left="0" w:right="0" w:hanging="0"/>
              <w:rPr/>
            </w:pPr>
            <w:r>
              <w:rPr/>
              <w:t>​</w:t>
            </w:r>
          </w:p>
        </w:tc>
        <w:tc>
          <w:tcPr>
            <w:tcW w:w="124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6,931</w:t>
            </w:r>
          </w:p>
        </w:tc>
        <w:tc>
          <w:tcPr>
            <w:tcW w:w="32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58" w:type="dxa"/>
            <w:tcBorders/>
            <w:shd w:fill="CCEEFF" w:val="clear"/>
            <w:vAlign w:val="center"/>
          </w:tcPr>
          <w:p>
            <w:pPr>
              <w:pStyle w:val="TableContents"/>
              <w:spacing w:before="0" w:after="0"/>
              <w:ind w:left="0" w:right="0" w:hanging="0"/>
              <w:rPr/>
            </w:pPr>
            <w:r>
              <w:rPr/>
              <w:t>​</w:t>
            </w:r>
          </w:p>
        </w:tc>
      </w:tr>
      <w:tr>
        <w:trPr/>
        <w:tc>
          <w:tcPr>
            <w:tcW w:w="2203"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Finance </w:t>
            </w:r>
          </w:p>
        </w:tc>
        <w:tc>
          <w:tcPr>
            <w:tcW w:w="361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Finance lease obligation</w:t>
            </w:r>
          </w:p>
        </w:tc>
        <w:tc>
          <w:tcPr>
            <w:tcW w:w="178" w:type="dxa"/>
            <w:tcBorders/>
            <w:shd w:fill="auto" w:val="clear"/>
            <w:vAlign w:val="center"/>
          </w:tcPr>
          <w:p>
            <w:pPr>
              <w:pStyle w:val="TableContents"/>
              <w:spacing w:before="0" w:after="0"/>
              <w:ind w:left="0" w:right="0" w:hanging="0"/>
              <w:rPr/>
            </w:pPr>
            <w:r>
              <w:rPr/>
              <w:t>​</w:t>
            </w:r>
          </w:p>
        </w:tc>
        <w:tc>
          <w:tcPr>
            <w:tcW w:w="34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0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44,831</w:t>
            </w:r>
          </w:p>
        </w:tc>
        <w:tc>
          <w:tcPr>
            <w:tcW w:w="533" w:type="dxa"/>
            <w:tcBorders/>
            <w:shd w:fill="auto" w:val="clear"/>
            <w:vAlign w:val="center"/>
          </w:tcPr>
          <w:p>
            <w:pPr>
              <w:pStyle w:val="TableContents"/>
              <w:spacing w:before="0" w:after="0"/>
              <w:ind w:left="0" w:right="0" w:hanging="0"/>
              <w:rPr/>
            </w:pPr>
            <w:r>
              <w:rPr/>
              <w:t>​</w:t>
            </w:r>
          </w:p>
        </w:tc>
        <w:tc>
          <w:tcPr>
            <w:tcW w:w="40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124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45,185</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58" w:type="dxa"/>
            <w:tcBorders/>
            <w:shd w:fill="auto" w:val="clear"/>
            <w:vAlign w:val="center"/>
          </w:tcPr>
          <w:p>
            <w:pPr>
              <w:pStyle w:val="TableContents"/>
              <w:spacing w:before="0" w:after="0"/>
              <w:ind w:left="0" w:right="0" w:hanging="0"/>
              <w:rPr/>
            </w:pPr>
            <w:r>
              <w:rPr/>
              <w:t>​</w:t>
            </w:r>
          </w:p>
        </w:tc>
      </w:tr>
      <w:tr>
        <w:trPr/>
        <w:tc>
          <w:tcPr>
            <w:tcW w:w="2203" w:type="dxa"/>
            <w:tcBorders/>
            <w:shd w:fill="CCEEFF" w:val="clear"/>
            <w:vAlign w:val="center"/>
          </w:tcPr>
          <w:p>
            <w:pPr>
              <w:pStyle w:val="TableContents"/>
              <w:spacing w:before="0" w:after="0"/>
              <w:ind w:left="0" w:right="0" w:hanging="0"/>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lease liabilities</w:t>
            </w:r>
          </w:p>
        </w:tc>
        <w:tc>
          <w:tcPr>
            <w:tcW w:w="3617" w:type="dxa"/>
            <w:tcBorders/>
            <w:shd w:fill="CCEEFF" w:val="clear"/>
            <w:vAlign w:val="center"/>
          </w:tcPr>
          <w:p>
            <w:pPr>
              <w:pStyle w:val="TableContents"/>
              <w:spacing w:before="0" w:after="0"/>
              <w:ind w:left="0" w:right="0" w:hanging="0"/>
              <w:rPr/>
            </w:pPr>
            <w:r>
              <w:rPr/>
              <w:t>​</w:t>
            </w:r>
          </w:p>
        </w:tc>
        <w:tc>
          <w:tcPr>
            <w:tcW w:w="178" w:type="dxa"/>
            <w:tcBorders/>
            <w:shd w:fill="CCEEFF" w:val="clear"/>
            <w:vAlign w:val="center"/>
          </w:tcPr>
          <w:p>
            <w:pPr>
              <w:pStyle w:val="TableContents"/>
              <w:spacing w:before="0" w:after="0"/>
              <w:ind w:left="0" w:right="0" w:hanging="0"/>
              <w:rPr/>
            </w:pPr>
            <w:r>
              <w:rPr/>
              <w:t>​</w:t>
            </w:r>
          </w:p>
        </w:tc>
        <w:tc>
          <w:tcPr>
            <w:tcW w:w="34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56,042</w:t>
            </w:r>
          </w:p>
        </w:tc>
        <w:tc>
          <w:tcPr>
            <w:tcW w:w="533" w:type="dxa"/>
            <w:tcBorders/>
            <w:shd w:fill="CCEEFF" w:val="clear"/>
            <w:vAlign w:val="center"/>
          </w:tcPr>
          <w:p>
            <w:pPr>
              <w:pStyle w:val="TableContents"/>
              <w:spacing w:before="0" w:after="0"/>
              <w:ind w:left="0" w:right="0" w:hanging="0"/>
              <w:rPr/>
            </w:pPr>
            <w:r>
              <w:rPr/>
              <w:t>​</w:t>
            </w:r>
          </w:p>
        </w:tc>
        <w:tc>
          <w:tcPr>
            <w:tcW w:w="40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2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58,712</w:t>
            </w:r>
          </w:p>
        </w:tc>
        <w:tc>
          <w:tcPr>
            <w:tcW w:w="32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w:t>
            </w:r>
          </w:p>
        </w:tc>
        <w:tc>
          <w:tcPr>
            <w:tcW w:w="158" w:type="dxa"/>
            <w:tcBorders/>
            <w:shd w:fill="CCEEFF" w:val="clear"/>
            <w:vAlign w:val="center"/>
          </w:tcPr>
          <w:p>
            <w:pPr>
              <w:pStyle w:val="TableContents"/>
              <w:spacing w:before="0" w:after="0"/>
              <w:ind w:left="0" w:right="0" w:hanging="0"/>
              <w:rPr/>
            </w:pPr>
            <w:r>
              <w:rPr/>
              <w:t>​</w:t>
            </w:r>
          </w:p>
        </w:tc>
      </w:tr>
      <w:tr>
        <w:trPr/>
        <w:tc>
          <w:tcPr>
            <w:tcW w:w="2203" w:type="dxa"/>
            <w:tcBorders/>
            <w:shd w:fill="auto" w:val="clear"/>
            <w:vAlign w:val="center"/>
          </w:tcPr>
          <w:p>
            <w:pPr>
              <w:pStyle w:val="TableContents"/>
              <w:spacing w:before="0" w:after="0"/>
              <w:ind w:left="0" w:right="0" w:hanging="0"/>
              <w:rPr/>
            </w:pPr>
            <w:r>
              <w:rPr/>
              <w:t>​</w:t>
            </w:r>
          </w:p>
        </w:tc>
        <w:tc>
          <w:tcPr>
            <w:tcW w:w="3617" w:type="dxa"/>
            <w:tcBorders/>
            <w:shd w:fill="auto" w:val="clear"/>
            <w:vAlign w:val="center"/>
          </w:tcPr>
          <w:p>
            <w:pPr>
              <w:pStyle w:val="TableContents"/>
              <w:spacing w:before="0" w:after="0"/>
              <w:ind w:left="0" w:right="0" w:hanging="0"/>
              <w:rPr/>
            </w:pPr>
            <w:r>
              <w:rPr/>
              <w:t>​</w:t>
            </w:r>
          </w:p>
        </w:tc>
        <w:tc>
          <w:tcPr>
            <w:tcW w:w="178" w:type="dxa"/>
            <w:tcBorders/>
            <w:shd w:fill="auto" w:val="clear"/>
            <w:vAlign w:val="center"/>
          </w:tcPr>
          <w:p>
            <w:pPr>
              <w:pStyle w:val="TableContents"/>
              <w:spacing w:before="0" w:after="0"/>
              <w:ind w:left="0" w:right="0" w:hanging="0"/>
              <w:rPr/>
            </w:pPr>
            <w:r>
              <w:rPr/>
              <w:t>​</w:t>
            </w:r>
          </w:p>
        </w:tc>
        <w:tc>
          <w:tcPr>
            <w:tcW w:w="344" w:type="dxa"/>
            <w:tcBorders/>
            <w:shd w:fill="auto" w:val="clear"/>
            <w:vAlign w:val="center"/>
          </w:tcPr>
          <w:p>
            <w:pPr>
              <w:pStyle w:val="TableContents"/>
              <w:spacing w:before="0" w:after="0"/>
              <w:ind w:left="0" w:right="0" w:hanging="0"/>
              <w:rPr/>
            </w:pPr>
            <w:r>
              <w:rPr/>
              <w:t>​</w:t>
            </w:r>
          </w:p>
        </w:tc>
        <w:tc>
          <w:tcPr>
            <w:tcW w:w="1056" w:type="dxa"/>
            <w:tcBorders/>
            <w:shd w:fill="auto" w:val="clear"/>
            <w:vAlign w:val="center"/>
          </w:tcPr>
          <w:p>
            <w:pPr>
              <w:pStyle w:val="TableContents"/>
              <w:spacing w:before="0" w:after="0"/>
              <w:ind w:left="0" w:right="0" w:hanging="0"/>
              <w:rPr/>
            </w:pPr>
            <w:r>
              <w:rPr/>
              <w:t>​</w:t>
            </w:r>
          </w:p>
        </w:tc>
        <w:tc>
          <w:tcPr>
            <w:tcW w:w="533" w:type="dxa"/>
            <w:tcBorders/>
            <w:shd w:fill="auto" w:val="clear"/>
            <w:vAlign w:val="center"/>
          </w:tcPr>
          <w:p>
            <w:pPr>
              <w:pStyle w:val="TableContents"/>
              <w:spacing w:before="0" w:after="0"/>
              <w:ind w:left="0" w:right="0" w:hanging="0"/>
              <w:rPr/>
            </w:pPr>
            <w:r>
              <w:rPr/>
              <w:t>​</w:t>
            </w:r>
          </w:p>
        </w:tc>
        <w:tc>
          <w:tcPr>
            <w:tcW w:w="404" w:type="dxa"/>
            <w:tcBorders/>
            <w:shd w:fill="auto" w:val="clear"/>
            <w:vAlign w:val="center"/>
          </w:tcPr>
          <w:p>
            <w:pPr>
              <w:pStyle w:val="TableContents"/>
              <w:spacing w:before="0" w:after="0"/>
              <w:ind w:left="0" w:right="0" w:hanging="0"/>
              <w:rPr/>
            </w:pPr>
            <w:r>
              <w:rPr/>
              <w:t>​</w:t>
            </w:r>
          </w:p>
        </w:tc>
        <w:tc>
          <w:tcPr>
            <w:tcW w:w="124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58" w:type="dxa"/>
            <w:tcBorders/>
            <w:shd w:fill="auto" w:val="clear"/>
            <w:vAlign w:val="center"/>
          </w:tcPr>
          <w:p>
            <w:pPr>
              <w:pStyle w:val="TableContents"/>
              <w:spacing w:before="0" w:after="0"/>
              <w:ind w:left="0" w:right="0" w:hanging="0"/>
              <w:rPr/>
            </w:pPr>
            <w:r>
              <w:rPr/>
              <w:t>​</w:t>
            </w:r>
          </w:p>
        </w:tc>
      </w:tr>
      <w:tr>
        <w:trPr/>
        <w:tc>
          <w:tcPr>
            <w:tcW w:w="9575" w:type="dxa"/>
            <w:gridSpan w:val="8"/>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*Finance lease assets are recorded net of accumulated depreciation of $46.2 million and includes $0.6 million of prepaid financing costs as of March 31, 2023. Finance lease assets are recorded net of accumulated depreciation of $45.9 million and includes $0.6 million of prepaid financing costs as of December 31, 2022. </w:t>
              <w:br/>
              <w:t>​</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58"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598" w:name="Tc_4X5AOMWQ-0Wr2Juy3ATTog_14_0"/>
      <w:bookmarkStart w:id="599" w:name="Tc_rYh47GI6z0So5dPdPK7Q3A_12_8"/>
      <w:bookmarkStart w:id="600" w:name="Tc_KV5SX9pEKkiJiZluMZK11w_12_5"/>
      <w:bookmarkStart w:id="601" w:name="Tc_-oL5G7cNCUGLKbZJ46p8_Q_12_2"/>
      <w:bookmarkStart w:id="602" w:name="Tc_6cfhl6GBX0mJOeyJCGx1GQ_12_0"/>
      <w:bookmarkStart w:id="603" w:name="Tc_rBclbQomnUSSKaR7iZ5gzg_11_0"/>
      <w:bookmarkStart w:id="604" w:name="Tc_cDacaJIbmEu_S5QgUMr_Aw_10_8"/>
      <w:bookmarkStart w:id="605" w:name="Tc_LKWTXrqoUkGUm56-9-ccIA_10_5"/>
      <w:bookmarkStart w:id="606" w:name="Tc_ZvisGoY1nkCb5M26nkjBJA_10_2"/>
      <w:bookmarkStart w:id="607" w:name="Tc_R4zPZx3CbkGaImu1De8qjA_10_0"/>
      <w:bookmarkStart w:id="608" w:name="Tc_65AsV0ckM0uD3G3M46D-cg_9_0"/>
      <w:bookmarkStart w:id="609" w:name="Tc_0rcdWrgoC02rXmfzrWo5kQ_8_0"/>
      <w:bookmarkStart w:id="610" w:name="Tc_xWmwywRnT0WFSUHBJanUOw_7_0"/>
      <w:bookmarkStart w:id="611" w:name="Tc_ufqMaE9apkG0IeynTu4CEw_6_0"/>
      <w:bookmarkStart w:id="612" w:name="Tc_wSR0ATo94UOYnpSiylzXdw_5_0"/>
      <w:bookmarkStart w:id="613" w:name="Tc_sv93k6piI02sOxwOzDPSHQ_4_8"/>
      <w:bookmarkStart w:id="614" w:name="Tc_j8pApeoxmkScWifDISIrfA_4_5"/>
      <w:bookmarkStart w:id="615" w:name="Tc_-l2GRoRNEkqUeY7xo5pZ9Q_4_2"/>
      <w:bookmarkStart w:id="616" w:name="Tc_SujD4MQqok6W333DIpUCJQ_4_0"/>
      <w:bookmarkStart w:id="617" w:name="Tc_85fZUK0ve0KOZ6Tj8uieJA_3_2"/>
      <w:bookmarkStart w:id="618" w:name="Tc_57cWwYwR_E2QuhfeZfVE9g_2_8"/>
      <w:bookmarkStart w:id="619" w:name="Tc_fs9rgPu-0E66tT57NBLYNQ_2_5"/>
      <w:bookmarkStart w:id="620" w:name="Tc_Qd_pHOAdn0y9Bu2nPLV1bw_2_2"/>
      <w:bookmarkStart w:id="621" w:name="Tc_HJaDjLOmHE28JNoPGDKeig_2_0"/>
      <w:bookmarkStart w:id="622" w:name="Tc_GgRGfq6evEOcCiCEL3RkZw_1_8"/>
      <w:bookmarkStart w:id="623" w:name="Tc_I1Vt3nvJU0e-_QX86VO_Cw_1_5"/>
      <w:bookmarkStart w:id="624" w:name="Tc_n7A7BK2XPUiL3AwhElN9Kw_1_2"/>
      <w:bookmarkStart w:id="625" w:name="_9e9f66e6_08f1_406a_82bb_1d6cee3fdc81"/>
      <w:bookmarkStart w:id="626" w:name="Narr_LAglAJ0D6UGsWoDbBv4iTw"/>
      <w:bookmarkStart w:id="627" w:name="Tc_IUp--bDMD0KLWBbHL5atTQ_17_0"/>
      <w:bookmarkStart w:id="628" w:name="Tc_XYwjb8bMdE2WuRgeiTRDyQ_15_6"/>
      <w:bookmarkStart w:id="629" w:name="Tc_GGKA02oKG0WJwRL7_HECbA_15_3"/>
      <w:bookmarkStart w:id="630" w:name="Tc_jyQxhSnTVkWMUQ_gD2T1bg_15_0"/>
      <w:bookmarkStart w:id="631" w:name="Tc_GvAgStSToEqvPSv6W7Vj4g_13_6"/>
      <w:bookmarkStart w:id="632" w:name="Tc_I8KI42d0VkyCifWU5VDtfA_13_3"/>
      <w:bookmarkStart w:id="633" w:name="Tc_QG_vMzQH402vkg7bb5gl_Q_13_0"/>
      <w:bookmarkStart w:id="634" w:name="Tc_5sMBVwnf8U6V1pENX-s5ag_12_1"/>
      <w:bookmarkStart w:id="635" w:name="Tc_SYViJMUrykOYektQUj5AaQ_12_0"/>
      <w:bookmarkStart w:id="636" w:name="Tc_AlnVfstjn0mvSP1-UjBV2Q_11_6"/>
      <w:bookmarkStart w:id="637" w:name="Tc_7SP7r1gz8Ui5L_ztdt6neA_11_3"/>
      <w:bookmarkStart w:id="638" w:name="Tc_E3pNlyIZ_ESlYVb9Jz6rmQ_11_1"/>
      <w:bookmarkStart w:id="639" w:name="Tc_tLDVTHPaMEOie0UNSpdWXA_11_0"/>
      <w:bookmarkStart w:id="640" w:name="Tc_TW6PWu_8_0WLT8DC3y5E7Q_10_0"/>
      <w:bookmarkStart w:id="641" w:name="Tc_13pMp4QLwUKD_6fgWxkKNg_9_6"/>
      <w:bookmarkStart w:id="642" w:name="Tc_6sHgcfCuwkefr0ePwCsxAg_9_3"/>
      <w:bookmarkStart w:id="643" w:name="Tc_Z5D6FvmwPUqCR9qd1klBnA_9_0"/>
      <w:bookmarkStart w:id="644" w:name="Tc_AgkIda6o402WzHLTwhfAgg_8_1"/>
      <w:bookmarkStart w:id="645" w:name="Tc_uuENL8w8j02xWduv8yUgQQ_8_0"/>
      <w:bookmarkStart w:id="646" w:name="Tc_gb9peocZJ02UtNsPK6QgyQ_7_1"/>
      <w:bookmarkStart w:id="647" w:name="Tc_jDNoImDwP0SVKDVfQjtSJg_7_0"/>
      <w:bookmarkStart w:id="648" w:name="Tc_8w8H00BmmUSVDGIOEvhP6w_6_1"/>
      <w:bookmarkStart w:id="649" w:name="Tc_RE9yCVlabkqiKMnu-aqPew_6_0"/>
      <w:bookmarkStart w:id="650" w:name="Tc_2uzAclH-IU-YCjLXd6kBkg_5_6"/>
      <w:bookmarkStart w:id="651" w:name="Tc_CUD1KFfZfUqPGXIzvrwa9g_5_3"/>
      <w:bookmarkStart w:id="652" w:name="Tc_O-7b8z5nC0uk7JPuqMjYvA_5_1"/>
      <w:bookmarkStart w:id="653" w:name="Tc_mwS7_a99lU6mSJ_io2vfsQ_5_0"/>
      <w:bookmarkStart w:id="654" w:name="Tc_1fQ8L-BumEu_TfDAAx8YnA_4_3"/>
      <w:bookmarkStart w:id="655" w:name="Tc_RWLDUaX1RUCMP7SoVRkIGA_4_0"/>
      <w:bookmarkStart w:id="656" w:name="Tc_mePcVKMhdkGrf3hBscSdDg_3_6"/>
      <w:bookmarkStart w:id="657" w:name="Tc_UA-yZepjMU6vHNv-0TxubQ_3_3"/>
      <w:bookmarkStart w:id="658" w:name="Tc_l6TUc5jS30ahL0_-DUCcWg_3_1"/>
      <w:bookmarkStart w:id="659" w:name="Tc_42aKQRIALUqmkeNGg5OoKw_3_0"/>
      <w:bookmarkStart w:id="660" w:name="Tc_zXIPJ6CWcEedz9TFqO7WvQ_2_3"/>
      <w:bookmarkStart w:id="661" w:name="Tc_sKysCOZck0GeR-v4q8Jxtw_1_3"/>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r>
        <w:rPr>
          <w:rFonts w:ascii="Times New Roman;Times;serif" w:hAnsi="Times New Roman;Times;serif"/>
          <w:sz w:val="20"/>
        </w:rPr>
        <w:t>All of our operating lease office locations support selling and servicing functions. Our Axcelis Asia Operations Center facility in South Korea brings production capability closer to our Asia-based customers. Operating lease expense and depreciation and interest expense relating to our finance lease obligation are recognized within our consolidated statement of operations for the three months ended March 31, 2023 and 2022 as follows:</w:t>
      </w:r>
    </w:p>
    <w:p>
      <w:pPr>
        <w:pStyle w:val="TextBody"/>
        <w:spacing w:lineRule="auto" w:line="256" w:before="0" w:after="0"/>
        <w:ind w:left="720" w:right="0" w:hanging="0"/>
        <w:rPr/>
      </w:pPr>
      <w:r>
        <w:rPr/>
        <w:t>​</w:t>
      </w:r>
    </w:p>
    <w:tbl>
      <w:tblPr>
        <w:tblW w:w="10205" w:type="dxa"/>
        <w:jc w:val="left"/>
        <w:tblInd w:w="0" w:type="dxa"/>
        <w:tblCellMar>
          <w:top w:w="0" w:type="dxa"/>
          <w:left w:w="0" w:type="dxa"/>
          <w:bottom w:w="0" w:type="dxa"/>
          <w:right w:w="0" w:type="dxa"/>
        </w:tblCellMar>
      </w:tblPr>
      <w:tblGrid>
        <w:gridCol w:w="2575"/>
        <w:gridCol w:w="4281"/>
        <w:gridCol w:w="480"/>
        <w:gridCol w:w="288"/>
        <w:gridCol w:w="754"/>
        <w:gridCol w:w="480"/>
        <w:gridCol w:w="288"/>
        <w:gridCol w:w="754"/>
        <w:gridCol w:w="146"/>
        <w:gridCol w:w="159"/>
      </w:tblGrid>
      <w:tr>
        <w:trPr/>
        <w:tc>
          <w:tcPr>
            <w:tcW w:w="25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635125" cy="175260"/>
                      <wp:effectExtent l="0" t="0" r="0" b="0"/>
                      <wp:wrapNone/>
                      <wp:docPr id="84" name="Frame84"/>
                      <a:graphic xmlns:a="http://schemas.openxmlformats.org/drawingml/2006/main">
                        <a:graphicData uri="http://schemas.microsoft.com/office/word/2010/wordprocessingShape">
                          <wps:wsp>
                            <wps:cNvSpPr txBox="1"/>
                            <wps:spPr>
                              <a:xfrm>
                                <a:off x="0" y="0"/>
                                <a:ext cx="1635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718435" cy="175260"/>
                      <wp:effectExtent l="0" t="0" r="0" b="0"/>
                      <wp:wrapNone/>
                      <wp:docPr id="85" name="Frame85"/>
                      <a:graphic xmlns:a="http://schemas.openxmlformats.org/drawingml/2006/main">
                        <a:graphicData uri="http://schemas.microsoft.com/office/word/2010/wordprocessingShape">
                          <wps:wsp>
                            <wps:cNvSpPr txBox="1"/>
                            <wps:spPr>
                              <a:xfrm>
                                <a:off x="0" y="0"/>
                                <a:ext cx="2718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04800" cy="175260"/>
                      <wp:effectExtent l="0" t="0" r="0" b="0"/>
                      <wp:wrapNone/>
                      <wp:docPr id="86" name="Frame86"/>
                      <a:graphic xmlns:a="http://schemas.openxmlformats.org/drawingml/2006/main">
                        <a:graphicData uri="http://schemas.microsoft.com/office/word/2010/wordprocessingShape">
                          <wps:wsp>
                            <wps:cNvSpPr txBox="1"/>
                            <wps:spPr>
                              <a:xfrm>
                                <a:off x="0" y="0"/>
                                <a:ext cx="304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82880" cy="175260"/>
                      <wp:effectExtent l="0" t="0" r="0" b="0"/>
                      <wp:wrapNone/>
                      <wp:docPr id="87" name="Frame87"/>
                      <a:graphic xmlns:a="http://schemas.openxmlformats.org/drawingml/2006/main">
                        <a:graphicData uri="http://schemas.microsoft.com/office/word/2010/wordprocessingShape">
                          <wps:wsp>
                            <wps:cNvSpPr txBox="1"/>
                            <wps:spPr>
                              <a:xfrm>
                                <a:off x="0" y="0"/>
                                <a:ext cx="182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78790" cy="175260"/>
                      <wp:effectExtent l="0" t="0" r="0" b="0"/>
                      <wp:wrapNone/>
                      <wp:docPr id="88" name="Frame88"/>
                      <a:graphic xmlns:a="http://schemas.openxmlformats.org/drawingml/2006/main">
                        <a:graphicData uri="http://schemas.microsoft.com/office/word/2010/wordprocessingShape">
                          <wps:wsp>
                            <wps:cNvSpPr txBox="1"/>
                            <wps:spPr>
                              <a:xfrm>
                                <a:off x="0" y="0"/>
                                <a:ext cx="478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04800" cy="175260"/>
                      <wp:effectExtent l="0" t="0" r="0" b="0"/>
                      <wp:wrapNone/>
                      <wp:docPr id="89" name="Frame89"/>
                      <a:graphic xmlns:a="http://schemas.openxmlformats.org/drawingml/2006/main">
                        <a:graphicData uri="http://schemas.microsoft.com/office/word/2010/wordprocessingShape">
                          <wps:wsp>
                            <wps:cNvSpPr txBox="1"/>
                            <wps:spPr>
                              <a:xfrm>
                                <a:off x="0" y="0"/>
                                <a:ext cx="304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82880" cy="175260"/>
                      <wp:effectExtent l="0" t="0" r="0" b="0"/>
                      <wp:wrapNone/>
                      <wp:docPr id="90" name="Frame90"/>
                      <a:graphic xmlns:a="http://schemas.openxmlformats.org/drawingml/2006/main">
                        <a:graphicData uri="http://schemas.microsoft.com/office/word/2010/wordprocessingShape">
                          <wps:wsp>
                            <wps:cNvSpPr txBox="1"/>
                            <wps:spPr>
                              <a:xfrm>
                                <a:off x="0" y="0"/>
                                <a:ext cx="182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78790" cy="175260"/>
                      <wp:effectExtent l="0" t="0" r="0" b="0"/>
                      <wp:wrapNone/>
                      <wp:docPr id="91" name="Frame91"/>
                      <a:graphic xmlns:a="http://schemas.openxmlformats.org/drawingml/2006/main">
                        <a:graphicData uri="http://schemas.microsoft.com/office/word/2010/wordprocessingShape">
                          <wps:wsp>
                            <wps:cNvSpPr txBox="1"/>
                            <wps:spPr>
                              <a:xfrm>
                                <a:off x="0" y="0"/>
                                <a:ext cx="478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2710" cy="175260"/>
                      <wp:effectExtent l="0" t="0" r="0" b="0"/>
                      <wp:wrapNone/>
                      <wp:docPr id="92" name="Frame9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00965" cy="175260"/>
                      <wp:effectExtent l="0" t="0" r="0" b="0"/>
                      <wp:wrapNone/>
                      <wp:docPr id="93" name="Frame93"/>
                      <a:graphic xmlns:a="http://schemas.openxmlformats.org/drawingml/2006/main">
                        <a:graphicData uri="http://schemas.microsoft.com/office/word/2010/wordprocessingShape">
                          <wps:wsp>
                            <wps:cNvSpPr txBox="1"/>
                            <wps:spPr>
                              <a:xfrm>
                                <a:off x="0" y="0"/>
                                <a:ext cx="1009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75" w:type="dxa"/>
            <w:tcBorders/>
            <w:shd w:fill="auto" w:val="clear"/>
            <w:vAlign w:val="center"/>
          </w:tcPr>
          <w:p>
            <w:pPr>
              <w:pStyle w:val="TableContents"/>
              <w:spacing w:before="0" w:after="0"/>
              <w:ind w:left="0" w:right="0" w:hanging="0"/>
              <w:rPr/>
            </w:pPr>
            <w:r>
              <w:rPr/>
              <w:t>​</w:t>
            </w:r>
          </w:p>
        </w:tc>
        <w:tc>
          <w:tcPr>
            <w:tcW w:w="4281" w:type="dxa"/>
            <w:tcBorders/>
            <w:shd w:fill="auto" w:val="clear"/>
            <w:vAlign w:val="center"/>
          </w:tcPr>
          <w:p>
            <w:pPr>
              <w:pStyle w:val="TableContents"/>
              <w:spacing w:before="0" w:after="0"/>
              <w:ind w:left="0" w:right="0" w:hanging="0"/>
              <w:rPr/>
            </w:pPr>
            <w:r>
              <w:rPr/>
              <w:t>​</w:t>
            </w:r>
          </w:p>
        </w:tc>
        <w:tc>
          <w:tcPr>
            <w:tcW w:w="480" w:type="dxa"/>
            <w:tcBorders/>
            <w:shd w:fill="auto" w:val="clear"/>
            <w:vAlign w:val="center"/>
          </w:tcPr>
          <w:p>
            <w:pPr>
              <w:pStyle w:val="TableContents"/>
              <w:spacing w:before="0" w:after="0"/>
              <w:ind w:left="0" w:right="0" w:hanging="0"/>
              <w:rPr/>
            </w:pPr>
            <w:r>
              <w:rPr/>
              <w:t>​</w:t>
            </w:r>
          </w:p>
        </w:tc>
        <w:tc>
          <w:tcPr>
            <w:tcW w:w="256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shd w:fill="auto" w:val="clear"/>
            <w:vAlign w:val="center"/>
          </w:tcPr>
          <w:p>
            <w:pPr>
              <w:pStyle w:val="TableContents"/>
              <w:spacing w:before="0" w:after="0"/>
              <w:ind w:left="0" w:right="0" w:hanging="0"/>
              <w:jc w:val="center"/>
              <w:rPr/>
            </w:pPr>
            <w:r>
              <w:rPr/>
              <w:t> </w:t>
            </w:r>
          </w:p>
        </w:tc>
        <w:tc>
          <w:tcPr>
            <w:tcW w:w="159" w:type="dxa"/>
            <w:tcBorders/>
            <w:shd w:fill="auto" w:val="clear"/>
            <w:vAlign w:val="center"/>
          </w:tcPr>
          <w:p>
            <w:pPr>
              <w:pStyle w:val="TableContents"/>
              <w:spacing w:before="0" w:after="0"/>
              <w:ind w:left="0" w:right="0" w:hanging="0"/>
              <w:rPr/>
            </w:pPr>
            <w:r>
              <w:rPr/>
              <w:t>​</w:t>
            </w:r>
          </w:p>
        </w:tc>
      </w:tr>
      <w:tr>
        <w:trPr/>
        <w:tc>
          <w:tcPr>
            <w:tcW w:w="2575" w:type="dxa"/>
            <w:tcBorders/>
            <w:shd w:fill="auto" w:val="clear"/>
            <w:vAlign w:val="center"/>
          </w:tcPr>
          <w:p>
            <w:pPr>
              <w:pStyle w:val="TableContents"/>
              <w:spacing w:before="0" w:after="0"/>
              <w:ind w:left="0" w:right="0" w:hanging="0"/>
              <w:rPr/>
            </w:pPr>
            <w:r>
              <w:rPr/>
              <w:t>​</w:t>
            </w:r>
          </w:p>
        </w:tc>
        <w:tc>
          <w:tcPr>
            <w:tcW w:w="4281" w:type="dxa"/>
            <w:tcBorders/>
            <w:shd w:fill="auto" w:val="clear"/>
            <w:vAlign w:val="center"/>
          </w:tcPr>
          <w:p>
            <w:pPr>
              <w:pStyle w:val="TableContents"/>
              <w:spacing w:before="0" w:after="0"/>
              <w:ind w:left="0" w:right="0" w:hanging="0"/>
              <w:rPr/>
            </w:pPr>
            <w:r>
              <w:rPr/>
              <w:t>​</w:t>
            </w:r>
          </w:p>
        </w:tc>
        <w:tc>
          <w:tcPr>
            <w:tcW w:w="480" w:type="dxa"/>
            <w:tcBorders/>
            <w:shd w:fill="auto" w:val="clear"/>
            <w:vAlign w:val="center"/>
          </w:tcPr>
          <w:p>
            <w:pPr>
              <w:pStyle w:val="TableContents"/>
              <w:spacing w:before="0" w:after="0"/>
              <w:ind w:left="0" w:right="0" w:hanging="0"/>
              <w:rPr/>
            </w:pPr>
            <w:r>
              <w:rPr/>
              <w:t>​</w:t>
            </w:r>
          </w:p>
        </w:tc>
        <w:tc>
          <w:tcPr>
            <w:tcW w:w="256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146" w:type="dxa"/>
            <w:tcBorders/>
            <w:shd w:fill="auto" w:val="clear"/>
            <w:vAlign w:val="center"/>
          </w:tcPr>
          <w:p>
            <w:pPr>
              <w:pStyle w:val="TableContents"/>
              <w:spacing w:before="0" w:after="0"/>
              <w:ind w:left="0" w:right="0" w:hanging="0"/>
              <w:jc w:val="center"/>
              <w:rPr/>
            </w:pPr>
            <w:r>
              <w:rPr/>
              <w:t>​</w:t>
            </w:r>
          </w:p>
        </w:tc>
        <w:tc>
          <w:tcPr>
            <w:tcW w:w="159" w:type="dxa"/>
            <w:tcBorders/>
            <w:shd w:fill="auto" w:val="clear"/>
            <w:vAlign w:val="center"/>
          </w:tcPr>
          <w:p>
            <w:pPr>
              <w:pStyle w:val="TableContents"/>
              <w:spacing w:before="0" w:after="0"/>
              <w:ind w:left="0" w:right="0" w:hanging="0"/>
              <w:rPr/>
            </w:pPr>
            <w:r>
              <w:rPr/>
              <w:t>​</w:t>
            </w:r>
          </w:p>
        </w:tc>
      </w:tr>
      <w:tr>
        <w:trPr/>
        <w:tc>
          <w:tcPr>
            <w:tcW w:w="257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Lease cost</w:t>
            </w:r>
          </w:p>
        </w:tc>
        <w:tc>
          <w:tcPr>
            <w:tcW w:w="42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Classification</w:t>
            </w:r>
          </w:p>
        </w:tc>
        <w:tc>
          <w:tcPr>
            <w:tcW w:w="480" w:type="dxa"/>
            <w:tcBorders/>
            <w:shd w:fill="auto" w:val="clear"/>
            <w:vAlign w:val="center"/>
          </w:tcPr>
          <w:p>
            <w:pPr>
              <w:pStyle w:val="TableContents"/>
              <w:spacing w:before="0" w:after="0"/>
              <w:ind w:left="0" w:right="0" w:hanging="0"/>
              <w:jc w:val="center"/>
              <w:rPr/>
            </w:pPr>
            <w:r>
              <w:rPr/>
              <w:t>    </w:t>
            </w:r>
          </w:p>
        </w:tc>
        <w:tc>
          <w:tcPr>
            <w:tcW w:w="10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80" w:type="dxa"/>
            <w:tcBorders/>
            <w:shd w:fill="auto" w:val="clear"/>
            <w:vAlign w:val="center"/>
          </w:tcPr>
          <w:p>
            <w:pPr>
              <w:pStyle w:val="TableContents"/>
              <w:spacing w:before="0" w:after="0"/>
              <w:ind w:left="0" w:right="0" w:hanging="0"/>
              <w:jc w:val="center"/>
              <w:rPr/>
            </w:pPr>
            <w:r>
              <w:rPr/>
              <w:t>    </w:t>
            </w:r>
          </w:p>
        </w:tc>
        <w:tc>
          <w:tcPr>
            <w:tcW w:w="10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shd w:fill="auto" w:val="clear"/>
            <w:vAlign w:val="center"/>
          </w:tcPr>
          <w:p>
            <w:pPr>
              <w:pStyle w:val="TableContents"/>
              <w:spacing w:before="0" w:after="0"/>
              <w:ind w:left="0" w:right="0" w:hanging="0"/>
              <w:jc w:val="center"/>
              <w:rPr/>
            </w:pPr>
            <w:r>
              <w:rPr/>
              <w:t> </w:t>
            </w:r>
          </w:p>
        </w:tc>
        <w:tc>
          <w:tcPr>
            <w:tcW w:w="159" w:type="dxa"/>
            <w:tcBorders/>
            <w:shd w:fill="auto" w:val="clear"/>
            <w:vAlign w:val="center"/>
          </w:tcPr>
          <w:p>
            <w:pPr>
              <w:pStyle w:val="TableContents"/>
              <w:spacing w:before="0" w:after="0"/>
              <w:ind w:left="0" w:right="0" w:hanging="0"/>
              <w:rPr/>
            </w:pPr>
            <w:r>
              <w:rPr/>
              <w:t>​</w:t>
            </w:r>
          </w:p>
        </w:tc>
      </w:tr>
      <w:tr>
        <w:trPr/>
        <w:tc>
          <w:tcPr>
            <w:tcW w:w="10205"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257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Operating lease cost</w:t>
            </w:r>
          </w:p>
        </w:tc>
        <w:tc>
          <w:tcPr>
            <w:tcW w:w="4281" w:type="dxa"/>
            <w:tcBorders/>
            <w:shd w:fill="auto" w:val="clear"/>
            <w:vAlign w:val="center"/>
          </w:tcPr>
          <w:p>
            <w:pPr>
              <w:pStyle w:val="TableContents"/>
              <w:spacing w:before="0" w:after="0"/>
              <w:ind w:left="0" w:right="0" w:hanging="0"/>
              <w:rPr/>
            </w:pPr>
            <w:r>
              <w:rPr/>
              <w:t>​</w:t>
            </w:r>
          </w:p>
        </w:tc>
        <w:tc>
          <w:tcPr>
            <w:tcW w:w="480" w:type="dxa"/>
            <w:tcBorders/>
            <w:shd w:fill="auto" w:val="clear"/>
            <w:vAlign w:val="center"/>
          </w:tcPr>
          <w:p>
            <w:pPr>
              <w:pStyle w:val="TableContents"/>
              <w:spacing w:before="0" w:after="0"/>
              <w:ind w:left="0" w:right="0" w:hanging="0"/>
              <w:rPr/>
            </w:pPr>
            <w:r>
              <w:rPr/>
              <w:t>​</w:t>
            </w:r>
          </w:p>
        </w:tc>
        <w:tc>
          <w:tcPr>
            <w:tcW w:w="256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59" w:type="dxa"/>
            <w:tcBorders/>
            <w:shd w:fill="auto" w:val="clear"/>
            <w:vAlign w:val="center"/>
          </w:tcPr>
          <w:p>
            <w:pPr>
              <w:pStyle w:val="TableContents"/>
              <w:spacing w:before="0" w:after="0"/>
              <w:ind w:left="0" w:right="0" w:hanging="0"/>
              <w:rPr/>
            </w:pPr>
            <w:r>
              <w:rPr/>
              <w:t>​</w:t>
            </w:r>
          </w:p>
        </w:tc>
      </w:tr>
      <w:tr>
        <w:trPr/>
        <w:tc>
          <w:tcPr>
            <w:tcW w:w="257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Product / services*</w:t>
            </w:r>
          </w:p>
        </w:tc>
        <w:tc>
          <w:tcPr>
            <w:tcW w:w="42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Cost of revenue</w:t>
            </w:r>
          </w:p>
        </w:tc>
        <w:tc>
          <w:tcPr>
            <w:tcW w:w="480" w:type="dxa"/>
            <w:tcBorders/>
            <w:shd w:fill="CCEEFF" w:val="clear"/>
            <w:vAlign w:val="center"/>
          </w:tcPr>
          <w:p>
            <w:pPr>
              <w:pStyle w:val="TableContents"/>
              <w:spacing w:before="0" w:after="0"/>
              <w:ind w:left="0" w:right="0" w:hanging="0"/>
              <w:rPr/>
            </w:pPr>
            <w:r>
              <w:rPr/>
              <w:t>​</w:t>
            </w:r>
          </w:p>
        </w:tc>
        <w:tc>
          <w:tcPr>
            <w:tcW w:w="28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1,466</w:t>
            </w:r>
          </w:p>
        </w:tc>
        <w:tc>
          <w:tcPr>
            <w:tcW w:w="480" w:type="dxa"/>
            <w:tcBorders/>
            <w:shd w:fill="CCEEFF" w:val="clear"/>
            <w:vAlign w:val="center"/>
          </w:tcPr>
          <w:p>
            <w:pPr>
              <w:pStyle w:val="TableContents"/>
              <w:spacing w:before="0" w:after="0"/>
              <w:ind w:left="0" w:right="0" w:hanging="0"/>
              <w:rPr/>
            </w:pPr>
            <w:r>
              <w:rPr/>
              <w:t>​</w:t>
            </w:r>
          </w:p>
        </w:tc>
        <w:tc>
          <w:tcPr>
            <w:tcW w:w="28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1,210</w:t>
            </w:r>
          </w:p>
        </w:tc>
        <w:tc>
          <w:tcPr>
            <w:tcW w:w="146" w:type="dxa"/>
            <w:tcBorders/>
            <w:shd w:fill="CCEEFF" w:val="clear"/>
            <w:vAlign w:val="center"/>
          </w:tcPr>
          <w:p>
            <w:pPr>
              <w:pStyle w:val="TableContents"/>
              <w:spacing w:before="0" w:after="0"/>
              <w:ind w:left="0" w:right="0" w:hanging="0"/>
              <w:rPr/>
            </w:pPr>
            <w:r>
              <w:rPr/>
              <w:t>​</w:t>
            </w:r>
          </w:p>
        </w:tc>
        <w:tc>
          <w:tcPr>
            <w:tcW w:w="159" w:type="dxa"/>
            <w:tcBorders/>
            <w:shd w:fill="CCEEFF" w:val="clear"/>
            <w:vAlign w:val="center"/>
          </w:tcPr>
          <w:p>
            <w:pPr>
              <w:pStyle w:val="TableContents"/>
              <w:spacing w:before="0" w:after="0"/>
              <w:ind w:left="0" w:right="0" w:hanging="0"/>
              <w:rPr/>
            </w:pPr>
            <w:r>
              <w:rPr/>
              <w:t>​</w:t>
            </w:r>
          </w:p>
        </w:tc>
      </w:tr>
      <w:tr>
        <w:trPr/>
        <w:tc>
          <w:tcPr>
            <w:tcW w:w="257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Research and development</w:t>
            </w:r>
          </w:p>
        </w:tc>
        <w:tc>
          <w:tcPr>
            <w:tcW w:w="42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expenses</w:t>
            </w:r>
          </w:p>
        </w:tc>
        <w:tc>
          <w:tcPr>
            <w:tcW w:w="480"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jc w:val="right"/>
              <w:rPr/>
            </w:pPr>
            <w:r>
              <w:rPr/>
              <w:t> </w:t>
            </w:r>
          </w:p>
        </w:tc>
        <w:tc>
          <w:tcPr>
            <w:tcW w:w="75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480"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jc w:val="right"/>
              <w:rPr/>
            </w:pPr>
            <w:r>
              <w:rPr/>
              <w:t> </w:t>
            </w:r>
          </w:p>
        </w:tc>
        <w:tc>
          <w:tcPr>
            <w:tcW w:w="75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146" w:type="dxa"/>
            <w:tcBorders/>
            <w:shd w:fill="auto" w:val="clear"/>
            <w:vAlign w:val="center"/>
          </w:tcPr>
          <w:p>
            <w:pPr>
              <w:pStyle w:val="TableContents"/>
              <w:spacing w:before="0" w:after="0"/>
              <w:ind w:left="0" w:right="0" w:hanging="0"/>
              <w:rPr/>
            </w:pPr>
            <w:r>
              <w:rPr/>
              <w:t>​</w:t>
            </w:r>
          </w:p>
        </w:tc>
        <w:tc>
          <w:tcPr>
            <w:tcW w:w="159" w:type="dxa"/>
            <w:tcBorders/>
            <w:shd w:fill="auto" w:val="clear"/>
            <w:vAlign w:val="center"/>
          </w:tcPr>
          <w:p>
            <w:pPr>
              <w:pStyle w:val="TableContents"/>
              <w:spacing w:before="0" w:after="0"/>
              <w:ind w:left="0" w:right="0" w:hanging="0"/>
              <w:rPr/>
            </w:pPr>
            <w:r>
              <w:rPr/>
              <w:t>​</w:t>
            </w:r>
          </w:p>
        </w:tc>
      </w:tr>
      <w:tr>
        <w:trPr/>
        <w:tc>
          <w:tcPr>
            <w:tcW w:w="257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Sales and marketing*</w:t>
            </w:r>
          </w:p>
        </w:tc>
        <w:tc>
          <w:tcPr>
            <w:tcW w:w="42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expenses</w:t>
            </w:r>
          </w:p>
        </w:tc>
        <w:tc>
          <w:tcPr>
            <w:tcW w:w="480" w:type="dxa"/>
            <w:tcBorders/>
            <w:shd w:fill="CCEEFF" w:val="clear"/>
            <w:vAlign w:val="center"/>
          </w:tcPr>
          <w:p>
            <w:pPr>
              <w:pStyle w:val="TableContents"/>
              <w:spacing w:before="0" w:after="0"/>
              <w:ind w:left="0" w:right="0" w:hanging="0"/>
              <w:rPr/>
            </w:pPr>
            <w:r>
              <w:rPr/>
              <w:t>​</w:t>
            </w:r>
          </w:p>
        </w:tc>
        <w:tc>
          <w:tcPr>
            <w:tcW w:w="288" w:type="dxa"/>
            <w:tcBorders/>
            <w:shd w:fill="CCEEFF" w:val="clear"/>
            <w:vAlign w:val="center"/>
          </w:tcPr>
          <w:p>
            <w:pPr>
              <w:pStyle w:val="TableContents"/>
              <w:spacing w:before="0" w:after="0"/>
              <w:ind w:left="0" w:right="0" w:hanging="0"/>
              <w:jc w:val="right"/>
              <w:rPr/>
            </w:pPr>
            <w:r>
              <w:rPr/>
              <w:t> </w:t>
            </w:r>
          </w:p>
        </w:tc>
        <w:tc>
          <w:tcPr>
            <w:tcW w:w="75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396</w:t>
            </w:r>
          </w:p>
        </w:tc>
        <w:tc>
          <w:tcPr>
            <w:tcW w:w="480" w:type="dxa"/>
            <w:tcBorders/>
            <w:shd w:fill="CCEEFF" w:val="clear"/>
            <w:vAlign w:val="center"/>
          </w:tcPr>
          <w:p>
            <w:pPr>
              <w:pStyle w:val="TableContents"/>
              <w:spacing w:before="0" w:after="0"/>
              <w:ind w:left="0" w:right="0" w:hanging="0"/>
              <w:rPr/>
            </w:pPr>
            <w:r>
              <w:rPr/>
              <w:t>​</w:t>
            </w:r>
          </w:p>
        </w:tc>
        <w:tc>
          <w:tcPr>
            <w:tcW w:w="288" w:type="dxa"/>
            <w:tcBorders/>
            <w:shd w:fill="CCEEFF" w:val="clear"/>
            <w:vAlign w:val="center"/>
          </w:tcPr>
          <w:p>
            <w:pPr>
              <w:pStyle w:val="TableContents"/>
              <w:spacing w:before="0" w:after="0"/>
              <w:ind w:left="0" w:right="0" w:hanging="0"/>
              <w:jc w:val="right"/>
              <w:rPr/>
            </w:pPr>
            <w:r>
              <w:rPr/>
              <w:t> </w:t>
            </w:r>
          </w:p>
        </w:tc>
        <w:tc>
          <w:tcPr>
            <w:tcW w:w="75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418</w:t>
            </w:r>
          </w:p>
        </w:tc>
        <w:tc>
          <w:tcPr>
            <w:tcW w:w="146" w:type="dxa"/>
            <w:tcBorders/>
            <w:shd w:fill="CCEEFF" w:val="clear"/>
            <w:vAlign w:val="center"/>
          </w:tcPr>
          <w:p>
            <w:pPr>
              <w:pStyle w:val="TableContents"/>
              <w:spacing w:before="0" w:after="0"/>
              <w:ind w:left="0" w:right="0" w:hanging="0"/>
              <w:rPr/>
            </w:pPr>
            <w:r>
              <w:rPr/>
              <w:t>​</w:t>
            </w:r>
          </w:p>
        </w:tc>
        <w:tc>
          <w:tcPr>
            <w:tcW w:w="159" w:type="dxa"/>
            <w:tcBorders/>
            <w:shd w:fill="CCEEFF" w:val="clear"/>
            <w:vAlign w:val="center"/>
          </w:tcPr>
          <w:p>
            <w:pPr>
              <w:pStyle w:val="TableContents"/>
              <w:spacing w:before="0" w:after="0"/>
              <w:ind w:left="0" w:right="0" w:hanging="0"/>
              <w:rPr/>
            </w:pPr>
            <w:r>
              <w:rPr/>
              <w:t>​</w:t>
            </w:r>
          </w:p>
        </w:tc>
      </w:tr>
      <w:tr>
        <w:trPr/>
        <w:tc>
          <w:tcPr>
            <w:tcW w:w="257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General and administrative*</w:t>
            </w:r>
          </w:p>
        </w:tc>
        <w:tc>
          <w:tcPr>
            <w:tcW w:w="42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expenses</w:t>
            </w:r>
          </w:p>
        </w:tc>
        <w:tc>
          <w:tcPr>
            <w:tcW w:w="480" w:type="dxa"/>
            <w:tcBorders/>
            <w:shd w:fill="auto" w:val="clear"/>
            <w:vAlign w:val="center"/>
          </w:tcPr>
          <w:p>
            <w:pPr>
              <w:pStyle w:val="TableContents"/>
              <w:spacing w:before="0" w:after="0"/>
              <w:ind w:left="0" w:right="0" w:hanging="0"/>
              <w:rPr/>
            </w:pPr>
            <w:r>
              <w:rPr/>
              <w:t>​</w:t>
            </w:r>
          </w:p>
        </w:tc>
        <w:tc>
          <w:tcPr>
            <w:tcW w:w="28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5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276</w:t>
            </w:r>
          </w:p>
        </w:tc>
        <w:tc>
          <w:tcPr>
            <w:tcW w:w="480" w:type="dxa"/>
            <w:tcBorders/>
            <w:shd w:fill="auto" w:val="clear"/>
            <w:vAlign w:val="center"/>
          </w:tcPr>
          <w:p>
            <w:pPr>
              <w:pStyle w:val="TableContents"/>
              <w:spacing w:before="0" w:after="0"/>
              <w:ind w:left="0" w:right="0" w:hanging="0"/>
              <w:rPr/>
            </w:pPr>
            <w:r>
              <w:rPr/>
              <w:t>​</w:t>
            </w:r>
          </w:p>
        </w:tc>
        <w:tc>
          <w:tcPr>
            <w:tcW w:w="28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5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211</w:t>
            </w:r>
          </w:p>
        </w:tc>
        <w:tc>
          <w:tcPr>
            <w:tcW w:w="146" w:type="dxa"/>
            <w:tcBorders/>
            <w:shd w:fill="auto" w:val="clear"/>
            <w:vAlign w:val="center"/>
          </w:tcPr>
          <w:p>
            <w:pPr>
              <w:pStyle w:val="TableContents"/>
              <w:spacing w:before="0" w:after="0"/>
              <w:ind w:left="0" w:right="0" w:hanging="0"/>
              <w:rPr/>
            </w:pPr>
            <w:r>
              <w:rPr/>
              <w:t>​</w:t>
            </w:r>
          </w:p>
        </w:tc>
        <w:tc>
          <w:tcPr>
            <w:tcW w:w="159" w:type="dxa"/>
            <w:tcBorders/>
            <w:shd w:fill="auto" w:val="clear"/>
            <w:vAlign w:val="center"/>
          </w:tcPr>
          <w:p>
            <w:pPr>
              <w:pStyle w:val="TableContents"/>
              <w:spacing w:before="0" w:after="0"/>
              <w:ind w:left="0" w:right="0" w:hanging="0"/>
              <w:rPr/>
            </w:pPr>
            <w:r>
              <w:rPr/>
              <w:t>​</w:t>
            </w:r>
          </w:p>
        </w:tc>
      </w:tr>
      <w:tr>
        <w:trPr/>
        <w:tc>
          <w:tcPr>
            <w:tcW w:w="257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operating lease cost</w:t>
            </w:r>
          </w:p>
        </w:tc>
        <w:tc>
          <w:tcPr>
            <w:tcW w:w="4281" w:type="dxa"/>
            <w:tcBorders/>
            <w:shd w:fill="CCEEFF" w:val="clear"/>
            <w:vAlign w:val="center"/>
          </w:tcPr>
          <w:p>
            <w:pPr>
              <w:pStyle w:val="TableContents"/>
              <w:spacing w:before="0" w:after="0"/>
              <w:ind w:left="0" w:right="0" w:hanging="0"/>
              <w:rPr/>
            </w:pPr>
            <w:r>
              <w:rPr/>
              <w:t>​</w:t>
            </w:r>
          </w:p>
        </w:tc>
        <w:tc>
          <w:tcPr>
            <w:tcW w:w="480" w:type="dxa"/>
            <w:tcBorders/>
            <w:shd w:fill="CCEEFF" w:val="clear"/>
            <w:vAlign w:val="center"/>
          </w:tcPr>
          <w:p>
            <w:pPr>
              <w:pStyle w:val="TableContents"/>
              <w:spacing w:before="0" w:after="0"/>
              <w:ind w:left="0" w:right="0" w:hanging="0"/>
              <w:rPr/>
            </w:pPr>
            <w:r>
              <w:rPr/>
              <w:t>​</w:t>
            </w:r>
          </w:p>
        </w:tc>
        <w:tc>
          <w:tcPr>
            <w:tcW w:w="28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2,244</w:t>
            </w:r>
          </w:p>
        </w:tc>
        <w:tc>
          <w:tcPr>
            <w:tcW w:w="480" w:type="dxa"/>
            <w:tcBorders/>
            <w:shd w:fill="CCEEFF" w:val="clear"/>
            <w:vAlign w:val="center"/>
          </w:tcPr>
          <w:p>
            <w:pPr>
              <w:pStyle w:val="TableContents"/>
              <w:spacing w:before="0" w:after="0"/>
              <w:ind w:left="0" w:right="0" w:hanging="0"/>
              <w:rPr/>
            </w:pPr>
            <w:r>
              <w:rPr/>
              <w:t>​</w:t>
            </w:r>
          </w:p>
        </w:tc>
        <w:tc>
          <w:tcPr>
            <w:tcW w:w="28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1,895</w:t>
            </w:r>
          </w:p>
        </w:tc>
        <w:tc>
          <w:tcPr>
            <w:tcW w:w="146" w:type="dxa"/>
            <w:tcBorders/>
            <w:shd w:fill="CCEEFF" w:val="clear"/>
            <w:vAlign w:val="center"/>
          </w:tcPr>
          <w:p>
            <w:pPr>
              <w:pStyle w:val="TableContents"/>
              <w:spacing w:before="0" w:after="0"/>
              <w:ind w:left="0" w:right="0" w:hanging="0"/>
              <w:rPr/>
            </w:pPr>
            <w:r>
              <w:rPr/>
              <w:t>​</w:t>
            </w:r>
          </w:p>
        </w:tc>
        <w:tc>
          <w:tcPr>
            <w:tcW w:w="159" w:type="dxa"/>
            <w:tcBorders/>
            <w:shd w:fill="CCEEFF" w:val="clear"/>
            <w:vAlign w:val="center"/>
          </w:tcPr>
          <w:p>
            <w:pPr>
              <w:pStyle w:val="TableContents"/>
              <w:spacing w:before="0" w:after="0"/>
              <w:ind w:left="0" w:right="0" w:hanging="0"/>
              <w:rPr/>
            </w:pPr>
            <w:r>
              <w:rPr/>
              <w:t>​</w:t>
            </w:r>
          </w:p>
        </w:tc>
      </w:tr>
      <w:tr>
        <w:trPr/>
        <w:tc>
          <w:tcPr>
            <w:tcW w:w="257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Finance lease cost</w:t>
            </w:r>
          </w:p>
        </w:tc>
        <w:tc>
          <w:tcPr>
            <w:tcW w:w="4281" w:type="dxa"/>
            <w:tcBorders/>
            <w:shd w:fill="auto" w:val="clear"/>
            <w:vAlign w:val="center"/>
          </w:tcPr>
          <w:p>
            <w:pPr>
              <w:pStyle w:val="TableContents"/>
              <w:spacing w:before="0" w:after="0"/>
              <w:ind w:left="0" w:right="0" w:hanging="0"/>
              <w:rPr/>
            </w:pPr>
            <w:r>
              <w:rPr/>
              <w:t>​</w:t>
            </w:r>
          </w:p>
        </w:tc>
        <w:tc>
          <w:tcPr>
            <w:tcW w:w="480"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rPr/>
            </w:pPr>
            <w:r>
              <w:rPr/>
              <w:t>​</w:t>
            </w:r>
          </w:p>
        </w:tc>
        <w:tc>
          <w:tcPr>
            <w:tcW w:w="754" w:type="dxa"/>
            <w:tcBorders/>
            <w:shd w:fill="auto" w:val="clear"/>
            <w:vAlign w:val="center"/>
          </w:tcPr>
          <w:p>
            <w:pPr>
              <w:pStyle w:val="TableContents"/>
              <w:spacing w:before="0" w:after="0"/>
              <w:ind w:left="0" w:right="0" w:hanging="0"/>
              <w:jc w:val="right"/>
              <w:rPr/>
            </w:pPr>
            <w:r>
              <w:rPr/>
              <w:t>​</w:t>
            </w:r>
          </w:p>
        </w:tc>
        <w:tc>
          <w:tcPr>
            <w:tcW w:w="480"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rPr/>
            </w:pPr>
            <w:r>
              <w:rPr/>
              <w:t>​</w:t>
            </w:r>
          </w:p>
        </w:tc>
        <w:tc>
          <w:tcPr>
            <w:tcW w:w="75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59" w:type="dxa"/>
            <w:tcBorders/>
            <w:shd w:fill="auto" w:val="clear"/>
            <w:vAlign w:val="center"/>
          </w:tcPr>
          <w:p>
            <w:pPr>
              <w:pStyle w:val="TableContents"/>
              <w:spacing w:before="0" w:after="0"/>
              <w:ind w:left="0" w:right="0" w:hanging="0"/>
              <w:rPr/>
            </w:pPr>
            <w:r>
              <w:rPr/>
              <w:t>​</w:t>
            </w:r>
          </w:p>
        </w:tc>
      </w:tr>
      <w:tr>
        <w:trPr/>
        <w:tc>
          <w:tcPr>
            <w:tcW w:w="257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Depreciation of leased assets</w:t>
            </w:r>
          </w:p>
        </w:tc>
        <w:tc>
          <w:tcPr>
            <w:tcW w:w="42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Cost of revenue, R&amp;D, Sales and marketing and G&amp;A</w:t>
            </w:r>
          </w:p>
        </w:tc>
        <w:tc>
          <w:tcPr>
            <w:tcW w:w="480" w:type="dxa"/>
            <w:tcBorders/>
            <w:shd w:fill="CCEEFF" w:val="clear"/>
            <w:vAlign w:val="center"/>
          </w:tcPr>
          <w:p>
            <w:pPr>
              <w:pStyle w:val="TableContents"/>
              <w:spacing w:before="0" w:after="0"/>
              <w:ind w:left="0" w:right="0" w:hanging="0"/>
              <w:rPr/>
            </w:pPr>
            <w:r>
              <w:rPr/>
              <w:t>​</w:t>
            </w:r>
          </w:p>
        </w:tc>
        <w:tc>
          <w:tcPr>
            <w:tcW w:w="28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319</w:t>
            </w:r>
          </w:p>
        </w:tc>
        <w:tc>
          <w:tcPr>
            <w:tcW w:w="480" w:type="dxa"/>
            <w:tcBorders/>
            <w:shd w:fill="CCEEFF" w:val="clear"/>
            <w:vAlign w:val="center"/>
          </w:tcPr>
          <w:p>
            <w:pPr>
              <w:pStyle w:val="TableContents"/>
              <w:spacing w:before="0" w:after="0"/>
              <w:ind w:left="0" w:right="0" w:hanging="0"/>
              <w:rPr/>
            </w:pPr>
            <w:r>
              <w:rPr/>
              <w:t>​</w:t>
            </w:r>
          </w:p>
        </w:tc>
        <w:tc>
          <w:tcPr>
            <w:tcW w:w="28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324</w:t>
            </w:r>
          </w:p>
        </w:tc>
        <w:tc>
          <w:tcPr>
            <w:tcW w:w="146" w:type="dxa"/>
            <w:tcBorders/>
            <w:shd w:fill="CCEEFF" w:val="clear"/>
            <w:vAlign w:val="center"/>
          </w:tcPr>
          <w:p>
            <w:pPr>
              <w:pStyle w:val="TableContents"/>
              <w:spacing w:before="0" w:after="0"/>
              <w:ind w:left="0" w:right="0" w:hanging="0"/>
              <w:rPr/>
            </w:pPr>
            <w:r>
              <w:rPr/>
              <w:t>​</w:t>
            </w:r>
          </w:p>
        </w:tc>
        <w:tc>
          <w:tcPr>
            <w:tcW w:w="159" w:type="dxa"/>
            <w:tcBorders/>
            <w:shd w:fill="CCEEFF" w:val="clear"/>
            <w:vAlign w:val="center"/>
          </w:tcPr>
          <w:p>
            <w:pPr>
              <w:pStyle w:val="TableContents"/>
              <w:spacing w:before="0" w:after="0"/>
              <w:ind w:left="0" w:right="0" w:hanging="0"/>
              <w:rPr/>
            </w:pPr>
            <w:r>
              <w:rPr/>
              <w:t>​</w:t>
            </w:r>
          </w:p>
        </w:tc>
      </w:tr>
      <w:tr>
        <w:trPr/>
        <w:tc>
          <w:tcPr>
            <w:tcW w:w="257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Interest on lease liabilities</w:t>
            </w:r>
          </w:p>
        </w:tc>
        <w:tc>
          <w:tcPr>
            <w:tcW w:w="42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Interest expense</w:t>
            </w:r>
          </w:p>
        </w:tc>
        <w:tc>
          <w:tcPr>
            <w:tcW w:w="480" w:type="dxa"/>
            <w:tcBorders/>
            <w:shd w:fill="auto" w:val="clear"/>
            <w:vAlign w:val="center"/>
          </w:tcPr>
          <w:p>
            <w:pPr>
              <w:pStyle w:val="TableContents"/>
              <w:spacing w:before="0" w:after="0"/>
              <w:ind w:left="0" w:right="0" w:hanging="0"/>
              <w:rPr/>
            </w:pPr>
            <w:r>
              <w:rPr/>
              <w:t>​</w:t>
            </w:r>
          </w:p>
        </w:tc>
        <w:tc>
          <w:tcPr>
            <w:tcW w:w="28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5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1,231</w:t>
            </w:r>
          </w:p>
        </w:tc>
        <w:tc>
          <w:tcPr>
            <w:tcW w:w="480" w:type="dxa"/>
            <w:tcBorders/>
            <w:shd w:fill="auto" w:val="clear"/>
            <w:vAlign w:val="center"/>
          </w:tcPr>
          <w:p>
            <w:pPr>
              <w:pStyle w:val="TableContents"/>
              <w:spacing w:before="0" w:after="0"/>
              <w:ind w:left="0" w:right="0" w:hanging="0"/>
              <w:rPr/>
            </w:pPr>
            <w:r>
              <w:rPr/>
              <w:t>​</w:t>
            </w:r>
          </w:p>
        </w:tc>
        <w:tc>
          <w:tcPr>
            <w:tcW w:w="28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5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1,258</w:t>
            </w:r>
          </w:p>
        </w:tc>
        <w:tc>
          <w:tcPr>
            <w:tcW w:w="146" w:type="dxa"/>
            <w:tcBorders/>
            <w:shd w:fill="auto" w:val="clear"/>
            <w:vAlign w:val="center"/>
          </w:tcPr>
          <w:p>
            <w:pPr>
              <w:pStyle w:val="TableContents"/>
              <w:spacing w:before="0" w:after="0"/>
              <w:ind w:left="0" w:right="0" w:hanging="0"/>
              <w:rPr/>
            </w:pPr>
            <w:r>
              <w:rPr/>
              <w:t>​</w:t>
            </w:r>
          </w:p>
        </w:tc>
        <w:tc>
          <w:tcPr>
            <w:tcW w:w="159" w:type="dxa"/>
            <w:tcBorders/>
            <w:shd w:fill="auto" w:val="clear"/>
            <w:vAlign w:val="center"/>
          </w:tcPr>
          <w:p>
            <w:pPr>
              <w:pStyle w:val="TableContents"/>
              <w:spacing w:before="0" w:after="0"/>
              <w:ind w:left="0" w:right="0" w:hanging="0"/>
              <w:rPr/>
            </w:pPr>
            <w:r>
              <w:rPr/>
              <w:t>​</w:t>
            </w:r>
          </w:p>
        </w:tc>
      </w:tr>
      <w:tr>
        <w:trPr/>
        <w:tc>
          <w:tcPr>
            <w:tcW w:w="257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finance lease cost</w:t>
            </w:r>
          </w:p>
        </w:tc>
        <w:tc>
          <w:tcPr>
            <w:tcW w:w="4281" w:type="dxa"/>
            <w:tcBorders/>
            <w:shd w:fill="CCEEFF" w:val="clear"/>
            <w:vAlign w:val="center"/>
          </w:tcPr>
          <w:p>
            <w:pPr>
              <w:pStyle w:val="TableContents"/>
              <w:spacing w:before="0" w:after="0"/>
              <w:ind w:left="0" w:right="0" w:hanging="0"/>
              <w:rPr/>
            </w:pPr>
            <w:r>
              <w:rPr/>
              <w:t>​</w:t>
            </w:r>
          </w:p>
        </w:tc>
        <w:tc>
          <w:tcPr>
            <w:tcW w:w="480" w:type="dxa"/>
            <w:tcBorders/>
            <w:shd w:fill="CCEEFF" w:val="clear"/>
            <w:vAlign w:val="center"/>
          </w:tcPr>
          <w:p>
            <w:pPr>
              <w:pStyle w:val="TableContents"/>
              <w:spacing w:before="0" w:after="0"/>
              <w:ind w:left="0" w:right="0" w:hanging="0"/>
              <w:rPr/>
            </w:pPr>
            <w:r>
              <w:rPr/>
              <w:t>​</w:t>
            </w:r>
          </w:p>
        </w:tc>
        <w:tc>
          <w:tcPr>
            <w:tcW w:w="28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1,550</w:t>
            </w:r>
          </w:p>
        </w:tc>
        <w:tc>
          <w:tcPr>
            <w:tcW w:w="480" w:type="dxa"/>
            <w:tcBorders/>
            <w:shd w:fill="CCEEFF" w:val="clear"/>
            <w:vAlign w:val="center"/>
          </w:tcPr>
          <w:p>
            <w:pPr>
              <w:pStyle w:val="TableContents"/>
              <w:spacing w:before="0" w:after="0"/>
              <w:ind w:left="0" w:right="0" w:hanging="0"/>
              <w:rPr/>
            </w:pPr>
            <w:r>
              <w:rPr/>
              <w:t>​</w:t>
            </w:r>
          </w:p>
        </w:tc>
        <w:tc>
          <w:tcPr>
            <w:tcW w:w="28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1,582</w:t>
            </w:r>
          </w:p>
        </w:tc>
        <w:tc>
          <w:tcPr>
            <w:tcW w:w="146" w:type="dxa"/>
            <w:tcBorders/>
            <w:shd w:fill="CCEEFF" w:val="clear"/>
            <w:vAlign w:val="center"/>
          </w:tcPr>
          <w:p>
            <w:pPr>
              <w:pStyle w:val="TableContents"/>
              <w:spacing w:before="0" w:after="0"/>
              <w:ind w:left="0" w:right="0" w:hanging="0"/>
              <w:rPr/>
            </w:pPr>
            <w:r>
              <w:rPr/>
              <w:t>​</w:t>
            </w:r>
          </w:p>
        </w:tc>
        <w:tc>
          <w:tcPr>
            <w:tcW w:w="159" w:type="dxa"/>
            <w:tcBorders/>
            <w:shd w:fill="CCEEFF" w:val="clear"/>
            <w:vAlign w:val="center"/>
          </w:tcPr>
          <w:p>
            <w:pPr>
              <w:pStyle w:val="TableContents"/>
              <w:spacing w:before="0" w:after="0"/>
              <w:ind w:left="0" w:right="0" w:hanging="0"/>
              <w:rPr/>
            </w:pPr>
            <w:r>
              <w:rPr/>
              <w:t>​</w:t>
            </w:r>
          </w:p>
        </w:tc>
      </w:tr>
      <w:tr>
        <w:trPr/>
        <w:tc>
          <w:tcPr>
            <w:tcW w:w="2575" w:type="dxa"/>
            <w:tcBorders/>
            <w:shd w:fill="auto" w:val="clear"/>
            <w:vAlign w:val="center"/>
          </w:tcPr>
          <w:p>
            <w:pPr>
              <w:pStyle w:val="TableContents"/>
              <w:spacing w:before="0" w:after="0"/>
              <w:ind w:left="0" w:right="0" w:hanging="0"/>
              <w:rPr/>
            </w:pPr>
            <w:r>
              <w:rPr/>
              <w:t>​</w:t>
            </w:r>
          </w:p>
        </w:tc>
        <w:tc>
          <w:tcPr>
            <w:tcW w:w="4281" w:type="dxa"/>
            <w:tcBorders/>
            <w:shd w:fill="auto" w:val="clear"/>
            <w:vAlign w:val="center"/>
          </w:tcPr>
          <w:p>
            <w:pPr>
              <w:pStyle w:val="TableContents"/>
              <w:spacing w:before="0" w:after="0"/>
              <w:ind w:left="0" w:right="0" w:hanging="0"/>
              <w:rPr/>
            </w:pPr>
            <w:r>
              <w:rPr/>
              <w:t>​</w:t>
            </w:r>
          </w:p>
        </w:tc>
        <w:tc>
          <w:tcPr>
            <w:tcW w:w="480" w:type="dxa"/>
            <w:tcBorders/>
            <w:shd w:fill="auto" w:val="clear"/>
            <w:vAlign w:val="center"/>
          </w:tcPr>
          <w:p>
            <w:pPr>
              <w:pStyle w:val="TableContents"/>
              <w:spacing w:before="0" w:after="0"/>
              <w:ind w:left="0" w:right="0" w:hanging="0"/>
              <w:rPr/>
            </w:pPr>
            <w:r>
              <w:rPr/>
              <w:t>​</w:t>
            </w:r>
          </w:p>
        </w:tc>
        <w:tc>
          <w:tcPr>
            <w:tcW w:w="28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80" w:type="dxa"/>
            <w:tcBorders/>
            <w:shd w:fill="auto" w:val="clear"/>
            <w:vAlign w:val="center"/>
          </w:tcPr>
          <w:p>
            <w:pPr>
              <w:pStyle w:val="TableContents"/>
              <w:spacing w:before="0" w:after="0"/>
              <w:ind w:left="0" w:right="0" w:hanging="0"/>
              <w:rPr/>
            </w:pPr>
            <w:r>
              <w:rPr/>
              <w:t>​</w:t>
            </w:r>
          </w:p>
        </w:tc>
        <w:tc>
          <w:tcPr>
            <w:tcW w:w="288"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159" w:type="dxa"/>
            <w:tcBorders/>
            <w:shd w:fill="auto" w:val="clear"/>
            <w:vAlign w:val="center"/>
          </w:tcPr>
          <w:p>
            <w:pPr>
              <w:pStyle w:val="TableContents"/>
              <w:spacing w:before="0" w:after="0"/>
              <w:ind w:left="0" w:right="0" w:hanging="0"/>
              <w:rPr/>
            </w:pPr>
            <w:r>
              <w:rPr/>
              <w:t>​</w:t>
            </w:r>
          </w:p>
        </w:tc>
      </w:tr>
      <w:tr>
        <w:trPr/>
        <w:tc>
          <w:tcPr>
            <w:tcW w:w="2575"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lease cost</w:t>
            </w:r>
          </w:p>
        </w:tc>
        <w:tc>
          <w:tcPr>
            <w:tcW w:w="4281" w:type="dxa"/>
            <w:tcBorders/>
            <w:shd w:fill="CCEEFF" w:val="clear"/>
            <w:vAlign w:val="center"/>
          </w:tcPr>
          <w:p>
            <w:pPr>
              <w:pStyle w:val="TableContents"/>
              <w:spacing w:before="0" w:after="0"/>
              <w:ind w:left="0" w:right="0" w:hanging="0"/>
              <w:rPr/>
            </w:pPr>
            <w:r>
              <w:rPr/>
              <w:t>​</w:t>
            </w:r>
          </w:p>
        </w:tc>
        <w:tc>
          <w:tcPr>
            <w:tcW w:w="480" w:type="dxa"/>
            <w:tcBorders/>
            <w:shd w:fill="CCEEFF" w:val="clear"/>
            <w:vAlign w:val="center"/>
          </w:tcPr>
          <w:p>
            <w:pPr>
              <w:pStyle w:val="TableContents"/>
              <w:spacing w:before="0" w:after="0"/>
              <w:ind w:left="0" w:right="0" w:hanging="0"/>
              <w:rPr/>
            </w:pPr>
            <w:r>
              <w:rPr/>
              <w:t>​</w:t>
            </w:r>
          </w:p>
        </w:tc>
        <w:tc>
          <w:tcPr>
            <w:tcW w:w="28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3,794</w:t>
            </w:r>
          </w:p>
        </w:tc>
        <w:tc>
          <w:tcPr>
            <w:tcW w:w="480" w:type="dxa"/>
            <w:tcBorders/>
            <w:shd w:fill="CCEEFF" w:val="clear"/>
            <w:vAlign w:val="center"/>
          </w:tcPr>
          <w:p>
            <w:pPr>
              <w:pStyle w:val="TableContents"/>
              <w:spacing w:before="0" w:after="0"/>
              <w:ind w:left="0" w:right="0" w:hanging="0"/>
              <w:rPr/>
            </w:pPr>
            <w:r>
              <w:rPr/>
              <w:t>​</w:t>
            </w:r>
          </w:p>
        </w:tc>
        <w:tc>
          <w:tcPr>
            <w:tcW w:w="28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5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3,477</w:t>
            </w:r>
          </w:p>
        </w:tc>
        <w:tc>
          <w:tcPr>
            <w:tcW w:w="146" w:type="dxa"/>
            <w:tcBorders/>
            <w:shd w:fill="CCEEFF" w:val="clear"/>
            <w:vAlign w:val="center"/>
          </w:tcPr>
          <w:p>
            <w:pPr>
              <w:pStyle w:val="TableContents"/>
              <w:spacing w:before="0" w:after="0"/>
              <w:ind w:left="0" w:right="0" w:hanging="0"/>
              <w:rPr/>
            </w:pPr>
            <w:r>
              <w:rPr/>
              <w:t>​</w:t>
            </w:r>
          </w:p>
        </w:tc>
        <w:tc>
          <w:tcPr>
            <w:tcW w:w="159" w:type="dxa"/>
            <w:tcBorders/>
            <w:shd w:fill="CCEEFF" w:val="clear"/>
            <w:vAlign w:val="center"/>
          </w:tcPr>
          <w:p>
            <w:pPr>
              <w:pStyle w:val="TableContents"/>
              <w:spacing w:before="0" w:after="0"/>
              <w:ind w:left="0" w:right="0" w:hanging="0"/>
              <w:rPr/>
            </w:pPr>
            <w:r>
              <w:rPr/>
              <w:t>​</w:t>
            </w:r>
          </w:p>
        </w:tc>
      </w:tr>
      <w:tr>
        <w:trPr/>
        <w:tc>
          <w:tcPr>
            <w:tcW w:w="2575" w:type="dxa"/>
            <w:tcBorders/>
            <w:shd w:fill="auto" w:val="clear"/>
            <w:vAlign w:val="center"/>
          </w:tcPr>
          <w:p>
            <w:pPr>
              <w:pStyle w:val="TableContents"/>
              <w:spacing w:before="0" w:after="0"/>
              <w:ind w:left="0" w:right="0" w:hanging="0"/>
              <w:rPr/>
            </w:pPr>
            <w:r>
              <w:rPr/>
              <w:t>​</w:t>
            </w:r>
          </w:p>
        </w:tc>
        <w:tc>
          <w:tcPr>
            <w:tcW w:w="4281" w:type="dxa"/>
            <w:tcBorders/>
            <w:shd w:fill="auto" w:val="clear"/>
            <w:vAlign w:val="center"/>
          </w:tcPr>
          <w:p>
            <w:pPr>
              <w:pStyle w:val="TableContents"/>
              <w:spacing w:before="0" w:after="0"/>
              <w:ind w:left="0" w:right="0" w:hanging="0"/>
              <w:rPr/>
            </w:pPr>
            <w:r>
              <w:rPr/>
              <w:t>​</w:t>
            </w:r>
          </w:p>
        </w:tc>
        <w:tc>
          <w:tcPr>
            <w:tcW w:w="480"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rPr/>
            </w:pPr>
            <w:r>
              <w:rPr/>
              <w:t>​</w:t>
            </w:r>
          </w:p>
        </w:tc>
        <w:tc>
          <w:tcPr>
            <w:tcW w:w="754" w:type="dxa"/>
            <w:tcBorders/>
            <w:shd w:fill="auto" w:val="clear"/>
            <w:vAlign w:val="center"/>
          </w:tcPr>
          <w:p>
            <w:pPr>
              <w:pStyle w:val="TableContents"/>
              <w:spacing w:before="0" w:after="0"/>
              <w:ind w:left="0" w:right="0" w:hanging="0"/>
              <w:jc w:val="right"/>
              <w:rPr/>
            </w:pPr>
            <w:r>
              <w:rPr/>
              <w:t>​</w:t>
            </w:r>
          </w:p>
        </w:tc>
        <w:tc>
          <w:tcPr>
            <w:tcW w:w="480"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rPr/>
            </w:pPr>
            <w:r>
              <w:rPr/>
              <w:t>​</w:t>
            </w:r>
          </w:p>
        </w:tc>
        <w:tc>
          <w:tcPr>
            <w:tcW w:w="75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159" w:type="dxa"/>
            <w:tcBorders/>
            <w:shd w:fill="auto" w:val="clear"/>
            <w:vAlign w:val="center"/>
          </w:tcPr>
          <w:p>
            <w:pPr>
              <w:pStyle w:val="TableContents"/>
              <w:spacing w:before="0" w:after="0"/>
              <w:ind w:left="0" w:right="0" w:hanging="0"/>
              <w:rPr/>
            </w:pPr>
            <w:r>
              <w:rPr/>
              <w:t>​</w:t>
            </w:r>
          </w:p>
        </w:tc>
      </w:tr>
      <w:tr>
        <w:trPr/>
        <w:tc>
          <w:tcPr>
            <w:tcW w:w="9900" w:type="dxa"/>
            <w:gridSpan w:val="8"/>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Product / services, sales and marketing and general and administrative expense also includes short-term lease and variable lease costs of approximately $0.5 million for both the three months ended March 31, 2023 and 2022.</w:t>
            </w:r>
          </w:p>
        </w:tc>
        <w:tc>
          <w:tcPr>
            <w:tcW w:w="146" w:type="dxa"/>
            <w:tcBorders/>
            <w:shd w:fill="auto" w:val="clear"/>
            <w:vAlign w:val="center"/>
          </w:tcPr>
          <w:p>
            <w:pPr>
              <w:pStyle w:val="TableContents"/>
              <w:spacing w:before="0" w:after="0"/>
              <w:ind w:left="0" w:right="0" w:hanging="0"/>
              <w:rPr/>
            </w:pPr>
            <w:r>
              <w:rPr/>
              <w:t>​</w:t>
            </w:r>
          </w:p>
        </w:tc>
        <w:tc>
          <w:tcPr>
            <w:tcW w:w="159"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lease of our corporate headquarters, shown below under finance leases, had an original lease term of 22 years, beginning in January 2015 and expiring in January 2037, with renewal options. All other locations are treated as operating leases, with lease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The tables below reflect the minimum cash outflow regarding our current lease obligations as well as the weighted-average remaining lease term and weighted-average discount rates used in our calculation of our lease obligations and right-of-use assets as of March 31, 2023: </w:t>
      </w:r>
    </w:p>
    <w:p>
      <w:pPr>
        <w:pStyle w:val="TextBody"/>
        <w:spacing w:before="0" w:after="0"/>
        <w:ind w:left="0" w:right="0" w:hanging="0"/>
        <w:rPr/>
      </w:pPr>
      <w:r>
        <w:rPr/>
        <w:t>​</w:t>
      </w:r>
    </w:p>
    <w:tbl>
      <w:tblPr>
        <w:tblW w:w="10057" w:type="dxa"/>
        <w:jc w:val="left"/>
        <w:tblInd w:w="0" w:type="dxa"/>
        <w:tblCellMar>
          <w:top w:w="0" w:type="dxa"/>
          <w:left w:w="0" w:type="dxa"/>
          <w:bottom w:w="0" w:type="dxa"/>
          <w:right w:w="0" w:type="dxa"/>
        </w:tblCellMar>
      </w:tblPr>
      <w:tblGrid>
        <w:gridCol w:w="4929"/>
        <w:gridCol w:w="166"/>
        <w:gridCol w:w="299"/>
        <w:gridCol w:w="1101"/>
        <w:gridCol w:w="166"/>
        <w:gridCol w:w="320"/>
        <w:gridCol w:w="987"/>
        <w:gridCol w:w="498"/>
        <w:gridCol w:w="299"/>
        <w:gridCol w:w="1101"/>
        <w:gridCol w:w="191"/>
      </w:tblGrid>
      <w:tr>
        <w:trPr/>
        <w:tc>
          <w:tcPr>
            <w:tcW w:w="4929" w:type="dxa"/>
            <w:tcBorders/>
            <w:shd w:fill="auto" w:val="clear"/>
            <w:vAlign w:val="center"/>
          </w:tcPr>
          <w:p>
            <w:pPr>
              <w:pStyle w:val="TableContents"/>
              <w:spacing w:before="0" w:after="0"/>
              <w:ind w:left="0" w:right="0" w:hanging="0"/>
              <w:rPr/>
            </w:pPr>
            <w:r>
              <w:rPr/>
              <w:t>​</w:t>
            </w:r>
          </w:p>
        </w:tc>
        <w:tc>
          <w:tcPr>
            <w:tcW w:w="16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1101" w:type="dxa"/>
            <w:tcBorders/>
            <w:shd w:fill="auto" w:val="clear"/>
            <w:vAlign w:val="center"/>
          </w:tcPr>
          <w:p>
            <w:pPr>
              <w:pStyle w:val="TableContents"/>
              <w:spacing w:before="0" w:after="0"/>
              <w:ind w:left="0" w:right="0" w:hanging="0"/>
              <w:rPr/>
            </w:pPr>
            <w:r>
              <w:rPr/>
              <w:t>​</w:t>
            </w:r>
          </w:p>
        </w:tc>
        <w:tc>
          <w:tcPr>
            <w:tcW w:w="166" w:type="dxa"/>
            <w:tcBorders/>
            <w:shd w:fill="auto" w:val="clear"/>
            <w:vAlign w:val="center"/>
          </w:tcPr>
          <w:p>
            <w:pPr>
              <w:pStyle w:val="TableContents"/>
              <w:spacing w:before="0" w:after="0"/>
              <w:ind w:left="0" w:right="0" w:hanging="0"/>
              <w:rPr/>
            </w:pPr>
            <w:r>
              <w:rPr/>
              <w:t>​</w:t>
            </w:r>
          </w:p>
        </w:tc>
        <w:tc>
          <w:tcPr>
            <w:tcW w:w="320" w:type="dxa"/>
            <w:tcBorders/>
            <w:shd w:fill="auto" w:val="clear"/>
            <w:vAlign w:val="center"/>
          </w:tcPr>
          <w:p>
            <w:pPr>
              <w:pStyle w:val="TableContents"/>
              <w:spacing w:before="0" w:after="0"/>
              <w:ind w:left="0" w:right="0" w:hanging="0"/>
              <w:rPr/>
            </w:pPr>
            <w:r>
              <w:rPr/>
              <w:t>​</w:t>
            </w:r>
          </w:p>
        </w:tc>
        <w:tc>
          <w:tcPr>
            <w:tcW w:w="987" w:type="dxa"/>
            <w:tcBorders/>
            <w:shd w:fill="auto" w:val="clear"/>
            <w:vAlign w:val="center"/>
          </w:tcPr>
          <w:p>
            <w:pPr>
              <w:pStyle w:val="TableContents"/>
              <w:spacing w:before="0" w:after="0"/>
              <w:ind w:left="0" w:right="0" w:hanging="0"/>
              <w:rPr/>
            </w:pPr>
            <w:r>
              <w:rPr/>
              <w:t>​</w:t>
            </w:r>
          </w:p>
        </w:tc>
        <w:tc>
          <w:tcPr>
            <w:tcW w:w="498"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1101"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4929" w:type="dxa"/>
            <w:tcBorders/>
            <w:shd w:fill="auto" w:val="clear"/>
            <w:vAlign w:val="center"/>
          </w:tcPr>
          <w:p>
            <w:pPr>
              <w:pStyle w:val="TableContents"/>
              <w:spacing w:before="0" w:after="0"/>
              <w:ind w:left="0" w:right="0" w:hanging="0"/>
              <w:rPr/>
            </w:pPr>
            <w:r>
              <w:rPr/>
              <w:t>​</w:t>
            </w:r>
          </w:p>
        </w:tc>
        <w:tc>
          <w:tcPr>
            <w:tcW w:w="166" w:type="dxa"/>
            <w:tcBorders/>
            <w:shd w:fill="auto" w:val="clear"/>
            <w:vAlign w:val="center"/>
          </w:tcPr>
          <w:p>
            <w:pPr>
              <w:pStyle w:val="TableContents"/>
              <w:spacing w:before="0" w:after="0"/>
              <w:ind w:left="0" w:right="0" w:hanging="0"/>
              <w:rPr/>
            </w:pPr>
            <w:r>
              <w:rPr/>
              <w:t>​</w:t>
            </w:r>
          </w:p>
        </w:tc>
        <w:tc>
          <w:tcPr>
            <w:tcW w:w="14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66" w:type="dxa"/>
            <w:tcBorders/>
            <w:shd w:fill="auto" w:val="clear"/>
            <w:vAlign w:val="center"/>
          </w:tcPr>
          <w:p>
            <w:pPr>
              <w:pStyle w:val="TableContents"/>
              <w:spacing w:before="0" w:after="0"/>
              <w:ind w:left="0" w:right="0" w:hanging="0"/>
              <w:rPr/>
            </w:pPr>
            <w:r>
              <w:rPr/>
              <w:t>​</w:t>
            </w:r>
          </w:p>
        </w:tc>
        <w:tc>
          <w:tcPr>
            <w:tcW w:w="130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498" w:type="dxa"/>
            <w:tcBorders/>
            <w:shd w:fill="auto" w:val="clear"/>
            <w:vAlign w:val="center"/>
          </w:tcPr>
          <w:p>
            <w:pPr>
              <w:pStyle w:val="TableContents"/>
              <w:spacing w:before="0" w:after="0"/>
              <w:ind w:left="0" w:right="0" w:hanging="0"/>
              <w:jc w:val="center"/>
              <w:rPr/>
            </w:pPr>
            <w:r>
              <w:rPr/>
              <w:t>    </w:t>
            </w:r>
          </w:p>
        </w:tc>
        <w:tc>
          <w:tcPr>
            <w:tcW w:w="14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shd w:fill="auto" w:val="clear"/>
            <w:vAlign w:val="center"/>
          </w:tcPr>
          <w:p>
            <w:pPr>
              <w:pStyle w:val="TableContents"/>
              <w:spacing w:before="0" w:after="0"/>
              <w:ind w:left="0" w:right="0" w:hanging="0"/>
              <w:rPr/>
            </w:pPr>
            <w:r>
              <w:rPr/>
              <w:t> </w:t>
            </w:r>
          </w:p>
        </w:tc>
      </w:tr>
      <w:tr>
        <w:trPr/>
        <w:tc>
          <w:tcPr>
            <w:tcW w:w="492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Maturity of Lease Liabilities</w:t>
            </w:r>
          </w:p>
        </w:tc>
        <w:tc>
          <w:tcPr>
            <w:tcW w:w="166" w:type="dxa"/>
            <w:tcBorders/>
            <w:shd w:fill="auto" w:val="clear"/>
            <w:vAlign w:val="center"/>
          </w:tcPr>
          <w:p>
            <w:pPr>
              <w:pStyle w:val="TableContents"/>
              <w:spacing w:before="0" w:after="0"/>
              <w:ind w:left="0" w:right="0" w:hanging="0"/>
              <w:rPr/>
            </w:pPr>
            <w:r>
              <w:rPr/>
              <w:t>​</w:t>
            </w:r>
          </w:p>
        </w:tc>
        <w:tc>
          <w:tcPr>
            <w:tcW w:w="14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66" w:type="dxa"/>
            <w:tcBorders/>
            <w:shd w:fill="auto" w:val="clear"/>
            <w:vAlign w:val="center"/>
          </w:tcPr>
          <w:p>
            <w:pPr>
              <w:pStyle w:val="TableContents"/>
              <w:spacing w:before="0" w:after="0"/>
              <w:ind w:left="0" w:right="0" w:hanging="0"/>
              <w:rPr/>
            </w:pPr>
            <w:r>
              <w:rPr/>
              <w:t>​</w:t>
            </w:r>
          </w:p>
        </w:tc>
        <w:tc>
          <w:tcPr>
            <w:tcW w:w="13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498" w:type="dxa"/>
            <w:tcBorders/>
            <w:shd w:fill="auto" w:val="clear"/>
            <w:vAlign w:val="center"/>
          </w:tcPr>
          <w:p>
            <w:pPr>
              <w:pStyle w:val="TableContents"/>
              <w:spacing w:before="0" w:after="0"/>
              <w:ind w:left="0" w:right="0" w:hanging="0"/>
              <w:jc w:val="center"/>
              <w:rPr/>
            </w:pPr>
            <w:r>
              <w:rPr/>
              <w:t>​</w:t>
            </w:r>
          </w:p>
        </w:tc>
        <w:tc>
          <w:tcPr>
            <w:tcW w:w="14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91" w:type="dxa"/>
            <w:tcBorders/>
            <w:shd w:fill="auto" w:val="clear"/>
            <w:vAlign w:val="center"/>
          </w:tcPr>
          <w:p>
            <w:pPr>
              <w:pStyle w:val="TableContents"/>
              <w:spacing w:before="0" w:after="0"/>
              <w:ind w:left="0" w:right="0" w:hanging="0"/>
              <w:rPr/>
            </w:pPr>
            <w:r>
              <w:rPr/>
              <w:t>​</w:t>
            </w:r>
          </w:p>
        </w:tc>
      </w:tr>
      <w:tr>
        <w:trPr/>
        <w:tc>
          <w:tcPr>
            <w:tcW w:w="10057" w:type="dxa"/>
            <w:gridSpan w:val="11"/>
            <w:tcBorders/>
            <w:shd w:fill="auto" w:val="clear"/>
            <w:vAlign w:val="center"/>
          </w:tcPr>
          <w:p>
            <w:pPr>
              <w:pStyle w:val="TableContents"/>
              <w:spacing w:before="0" w:after="283"/>
              <w:ind w:left="0" w:right="0" w:hanging="0"/>
              <w:rPr>
                <w:sz w:val="4"/>
                <w:szCs w:val="4"/>
              </w:rPr>
            </w:pPr>
            <w:r>
              <w:rPr>
                <w:sz w:val="4"/>
                <w:szCs w:val="4"/>
              </w:rPr>
            </w:r>
          </w:p>
        </w:tc>
      </w:tr>
      <w:tr>
        <w:trPr/>
        <w:tc>
          <w:tcPr>
            <w:tcW w:w="4929" w:type="dxa"/>
            <w:tcBorders/>
            <w:shd w:fill="auto" w:val="clear"/>
            <w:vAlign w:val="center"/>
          </w:tcPr>
          <w:p>
            <w:pPr>
              <w:pStyle w:val="TableContents"/>
              <w:spacing w:before="0" w:after="0"/>
              <w:ind w:left="0" w:right="0" w:hanging="0"/>
              <w:rPr/>
            </w:pPr>
            <w:r>
              <w:rPr/>
              <w:t>​</w:t>
            </w:r>
          </w:p>
        </w:tc>
        <w:tc>
          <w:tcPr>
            <w:tcW w:w="166" w:type="dxa"/>
            <w:tcBorders/>
            <w:shd w:fill="auto" w:val="clear"/>
            <w:vAlign w:val="center"/>
          </w:tcPr>
          <w:p>
            <w:pPr>
              <w:pStyle w:val="TableContents"/>
              <w:spacing w:before="0" w:after="0"/>
              <w:ind w:left="0" w:right="0" w:hanging="0"/>
              <w:rPr/>
            </w:pPr>
            <w:r>
              <w:rPr/>
              <w:t>​</w:t>
            </w:r>
          </w:p>
        </w:tc>
        <w:tc>
          <w:tcPr>
            <w:tcW w:w="4771"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shd w:fill="auto" w:val="clear"/>
            <w:vAlign w:val="center"/>
          </w:tcPr>
          <w:p>
            <w:pPr>
              <w:pStyle w:val="TableContents"/>
              <w:spacing w:before="0" w:after="0"/>
              <w:ind w:left="0" w:right="0" w:hanging="0"/>
              <w:rPr/>
            </w:pPr>
            <w:r>
              <w:rPr/>
              <w:t>​</w:t>
            </w:r>
          </w:p>
        </w:tc>
      </w:tr>
      <w:tr>
        <w:trPr/>
        <w:tc>
          <w:tcPr>
            <w:tcW w:w="492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2023</w:t>
            </w:r>
          </w:p>
        </w:tc>
        <w:tc>
          <w:tcPr>
            <w:tcW w:w="16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4,594</w:t>
            </w:r>
          </w:p>
        </w:tc>
        <w:tc>
          <w:tcPr>
            <w:tcW w:w="166" w:type="dxa"/>
            <w:tcBorders/>
            <w:shd w:fill="CCEEFF" w:val="clear"/>
            <w:vAlign w:val="center"/>
          </w:tcPr>
          <w:p>
            <w:pPr>
              <w:pStyle w:val="TableContents"/>
              <w:spacing w:before="0" w:after="0"/>
              <w:ind w:left="0" w:right="0" w:hanging="0"/>
              <w:rPr/>
            </w:pPr>
            <w:r>
              <w:rPr/>
              <w:t>​</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5,112</w:t>
            </w:r>
          </w:p>
        </w:tc>
        <w:tc>
          <w:tcPr>
            <w:tcW w:w="498"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9,706</w:t>
            </w:r>
          </w:p>
        </w:tc>
        <w:tc>
          <w:tcPr>
            <w:tcW w:w="191" w:type="dxa"/>
            <w:tcBorders/>
            <w:shd w:fill="CCEEFF" w:val="clear"/>
            <w:vAlign w:val="center"/>
          </w:tcPr>
          <w:p>
            <w:pPr>
              <w:pStyle w:val="TableContents"/>
              <w:spacing w:before="0" w:after="0"/>
              <w:ind w:left="0" w:right="0" w:hanging="0"/>
              <w:rPr/>
            </w:pPr>
            <w:r>
              <w:rPr/>
              <w:t>​</w:t>
            </w:r>
          </w:p>
        </w:tc>
      </w:tr>
      <w:tr>
        <w:trPr/>
        <w:tc>
          <w:tcPr>
            <w:tcW w:w="4929"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2024</w:t>
            </w:r>
          </w:p>
        </w:tc>
        <w:tc>
          <w:tcPr>
            <w:tcW w:w="16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jc w:val="right"/>
              <w:rPr/>
            </w:pPr>
            <w:r>
              <w:rPr/>
              <w:t> </w:t>
            </w:r>
          </w:p>
        </w:tc>
        <w:tc>
          <w:tcPr>
            <w:tcW w:w="11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6,252</w:t>
            </w:r>
          </w:p>
        </w:tc>
        <w:tc>
          <w:tcPr>
            <w:tcW w:w="166" w:type="dxa"/>
            <w:tcBorders/>
            <w:shd w:fill="auto" w:val="clear"/>
            <w:vAlign w:val="center"/>
          </w:tcPr>
          <w:p>
            <w:pPr>
              <w:pStyle w:val="TableContents"/>
              <w:spacing w:before="0" w:after="0"/>
              <w:ind w:left="0" w:right="0" w:hanging="0"/>
              <w:rPr/>
            </w:pPr>
            <w:r>
              <w:rPr/>
              <w:t>​</w:t>
            </w:r>
          </w:p>
        </w:tc>
        <w:tc>
          <w:tcPr>
            <w:tcW w:w="320" w:type="dxa"/>
            <w:tcBorders/>
            <w:shd w:fill="auto" w:val="clear"/>
            <w:vAlign w:val="center"/>
          </w:tcPr>
          <w:p>
            <w:pPr>
              <w:pStyle w:val="TableContents"/>
              <w:spacing w:before="0" w:after="0"/>
              <w:ind w:left="0" w:right="0" w:hanging="0"/>
              <w:jc w:val="right"/>
              <w:rPr/>
            </w:pPr>
            <w:r>
              <w:rPr/>
              <w:t> </w:t>
            </w:r>
          </w:p>
        </w:tc>
        <w:tc>
          <w:tcPr>
            <w:tcW w:w="9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3,260</w:t>
            </w:r>
          </w:p>
        </w:tc>
        <w:tc>
          <w:tcPr>
            <w:tcW w:w="498"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jc w:val="right"/>
              <w:rPr/>
            </w:pPr>
            <w:r>
              <w:rPr/>
              <w:t> </w:t>
            </w:r>
          </w:p>
        </w:tc>
        <w:tc>
          <w:tcPr>
            <w:tcW w:w="11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9,512</w:t>
            </w:r>
          </w:p>
        </w:tc>
        <w:tc>
          <w:tcPr>
            <w:tcW w:w="191" w:type="dxa"/>
            <w:tcBorders/>
            <w:shd w:fill="auto" w:val="clear"/>
            <w:vAlign w:val="center"/>
          </w:tcPr>
          <w:p>
            <w:pPr>
              <w:pStyle w:val="TableContents"/>
              <w:spacing w:before="0" w:after="0"/>
              <w:ind w:left="0" w:right="0" w:hanging="0"/>
              <w:rPr/>
            </w:pPr>
            <w:r>
              <w:rPr/>
              <w:t>​</w:t>
            </w:r>
          </w:p>
        </w:tc>
      </w:tr>
      <w:tr>
        <w:trPr/>
        <w:tc>
          <w:tcPr>
            <w:tcW w:w="492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2025</w:t>
            </w:r>
          </w:p>
        </w:tc>
        <w:tc>
          <w:tcPr>
            <w:tcW w:w="16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jc w:val="right"/>
              <w:rPr/>
            </w:pPr>
            <w:r>
              <w:rPr/>
              <w:t> </w:t>
            </w:r>
          </w:p>
        </w:tc>
        <w:tc>
          <w:tcPr>
            <w:tcW w:w="11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5,930</w:t>
            </w:r>
          </w:p>
        </w:tc>
        <w:tc>
          <w:tcPr>
            <w:tcW w:w="166" w:type="dxa"/>
            <w:tcBorders/>
            <w:shd w:fill="CCEEFF" w:val="clear"/>
            <w:vAlign w:val="center"/>
          </w:tcPr>
          <w:p>
            <w:pPr>
              <w:pStyle w:val="TableContents"/>
              <w:spacing w:before="0" w:after="0"/>
              <w:ind w:left="0" w:right="0" w:hanging="0"/>
              <w:rPr/>
            </w:pPr>
            <w:r>
              <w:rPr/>
              <w:t>​</w:t>
            </w:r>
          </w:p>
        </w:tc>
        <w:tc>
          <w:tcPr>
            <w:tcW w:w="320" w:type="dxa"/>
            <w:tcBorders/>
            <w:shd w:fill="CCEEFF" w:val="clear"/>
            <w:vAlign w:val="center"/>
          </w:tcPr>
          <w:p>
            <w:pPr>
              <w:pStyle w:val="TableContents"/>
              <w:spacing w:before="0" w:after="0"/>
              <w:ind w:left="0" w:right="0" w:hanging="0"/>
              <w:jc w:val="right"/>
              <w:rPr/>
            </w:pPr>
            <w:r>
              <w:rPr/>
              <w:t> </w:t>
            </w:r>
          </w:p>
        </w:tc>
        <w:tc>
          <w:tcPr>
            <w:tcW w:w="9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2,056</w:t>
            </w:r>
          </w:p>
        </w:tc>
        <w:tc>
          <w:tcPr>
            <w:tcW w:w="498"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jc w:val="right"/>
              <w:rPr/>
            </w:pPr>
            <w:r>
              <w:rPr/>
              <w:t> </w:t>
            </w:r>
          </w:p>
        </w:tc>
        <w:tc>
          <w:tcPr>
            <w:tcW w:w="11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7,986</w:t>
            </w:r>
          </w:p>
        </w:tc>
        <w:tc>
          <w:tcPr>
            <w:tcW w:w="191" w:type="dxa"/>
            <w:tcBorders/>
            <w:shd w:fill="CCEEFF" w:val="clear"/>
            <w:vAlign w:val="center"/>
          </w:tcPr>
          <w:p>
            <w:pPr>
              <w:pStyle w:val="TableContents"/>
              <w:spacing w:before="0" w:after="0"/>
              <w:ind w:left="0" w:right="0" w:hanging="0"/>
              <w:rPr/>
            </w:pPr>
            <w:r>
              <w:rPr/>
              <w:t>​</w:t>
            </w:r>
          </w:p>
        </w:tc>
      </w:tr>
      <w:tr>
        <w:trPr/>
        <w:tc>
          <w:tcPr>
            <w:tcW w:w="4929"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2026</w:t>
            </w:r>
          </w:p>
        </w:tc>
        <w:tc>
          <w:tcPr>
            <w:tcW w:w="16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jc w:val="right"/>
              <w:rPr/>
            </w:pPr>
            <w:r>
              <w:rPr/>
              <w:t> </w:t>
            </w:r>
          </w:p>
        </w:tc>
        <w:tc>
          <w:tcPr>
            <w:tcW w:w="11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6,008</w:t>
            </w:r>
          </w:p>
        </w:tc>
        <w:tc>
          <w:tcPr>
            <w:tcW w:w="166" w:type="dxa"/>
            <w:tcBorders/>
            <w:shd w:fill="auto" w:val="clear"/>
            <w:vAlign w:val="center"/>
          </w:tcPr>
          <w:p>
            <w:pPr>
              <w:pStyle w:val="TableContents"/>
              <w:spacing w:before="0" w:after="0"/>
              <w:ind w:left="0" w:right="0" w:hanging="0"/>
              <w:rPr/>
            </w:pPr>
            <w:r>
              <w:rPr/>
              <w:t>​</w:t>
            </w:r>
          </w:p>
        </w:tc>
        <w:tc>
          <w:tcPr>
            <w:tcW w:w="320" w:type="dxa"/>
            <w:tcBorders/>
            <w:shd w:fill="auto" w:val="clear"/>
            <w:vAlign w:val="center"/>
          </w:tcPr>
          <w:p>
            <w:pPr>
              <w:pStyle w:val="TableContents"/>
              <w:spacing w:before="0" w:after="0"/>
              <w:ind w:left="0" w:right="0" w:hanging="0"/>
              <w:jc w:val="right"/>
              <w:rPr/>
            </w:pPr>
            <w:r>
              <w:rPr/>
              <w:t> </w:t>
            </w:r>
          </w:p>
        </w:tc>
        <w:tc>
          <w:tcPr>
            <w:tcW w:w="9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1,346</w:t>
            </w:r>
          </w:p>
        </w:tc>
        <w:tc>
          <w:tcPr>
            <w:tcW w:w="498"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jc w:val="right"/>
              <w:rPr/>
            </w:pPr>
            <w:r>
              <w:rPr/>
              <w:t> </w:t>
            </w:r>
          </w:p>
        </w:tc>
        <w:tc>
          <w:tcPr>
            <w:tcW w:w="11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7,354</w:t>
            </w:r>
          </w:p>
        </w:tc>
        <w:tc>
          <w:tcPr>
            <w:tcW w:w="191" w:type="dxa"/>
            <w:tcBorders/>
            <w:shd w:fill="auto" w:val="clear"/>
            <w:vAlign w:val="center"/>
          </w:tcPr>
          <w:p>
            <w:pPr>
              <w:pStyle w:val="TableContents"/>
              <w:spacing w:before="0" w:after="0"/>
              <w:ind w:left="0" w:right="0" w:hanging="0"/>
              <w:rPr/>
            </w:pPr>
            <w:r>
              <w:rPr/>
              <w:t>​</w:t>
            </w:r>
          </w:p>
        </w:tc>
      </w:tr>
      <w:tr>
        <w:trPr/>
        <w:tc>
          <w:tcPr>
            <w:tcW w:w="492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2027</w:t>
            </w:r>
          </w:p>
        </w:tc>
        <w:tc>
          <w:tcPr>
            <w:tcW w:w="166"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jc w:val="right"/>
              <w:rPr/>
            </w:pPr>
            <w:r>
              <w:rPr/>
              <w:t>​</w:t>
            </w:r>
          </w:p>
        </w:tc>
        <w:tc>
          <w:tcPr>
            <w:tcW w:w="11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6,128</w:t>
            </w:r>
          </w:p>
        </w:tc>
        <w:tc>
          <w:tcPr>
            <w:tcW w:w="166" w:type="dxa"/>
            <w:tcBorders/>
            <w:shd w:fill="CCEEFF" w:val="clear"/>
            <w:vAlign w:val="center"/>
          </w:tcPr>
          <w:p>
            <w:pPr>
              <w:pStyle w:val="TableContents"/>
              <w:spacing w:before="0" w:after="0"/>
              <w:ind w:left="0" w:right="0" w:hanging="0"/>
              <w:rPr/>
            </w:pPr>
            <w:r>
              <w:rPr/>
              <w:t>​</w:t>
            </w:r>
          </w:p>
        </w:tc>
        <w:tc>
          <w:tcPr>
            <w:tcW w:w="320" w:type="dxa"/>
            <w:tcBorders/>
            <w:shd w:fill="CCEEFF" w:val="clear"/>
            <w:vAlign w:val="center"/>
          </w:tcPr>
          <w:p>
            <w:pPr>
              <w:pStyle w:val="TableContents"/>
              <w:spacing w:before="0" w:after="0"/>
              <w:ind w:left="0" w:right="0" w:hanging="0"/>
              <w:jc w:val="right"/>
              <w:rPr/>
            </w:pPr>
            <w:r>
              <w:rPr/>
              <w:t>​</w:t>
            </w:r>
          </w:p>
        </w:tc>
        <w:tc>
          <w:tcPr>
            <w:tcW w:w="9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574</w:t>
            </w:r>
          </w:p>
        </w:tc>
        <w:tc>
          <w:tcPr>
            <w:tcW w:w="498" w:type="dxa"/>
            <w:tcBorders/>
            <w:shd w:fill="CCEEFF" w:val="clear"/>
            <w:vAlign w:val="center"/>
          </w:tcPr>
          <w:p>
            <w:pPr>
              <w:pStyle w:val="TableContents"/>
              <w:spacing w:before="0" w:after="0"/>
              <w:ind w:left="0" w:right="0" w:hanging="0"/>
              <w:rPr/>
            </w:pPr>
            <w:r>
              <w:rPr/>
              <w:t>​</w:t>
            </w:r>
          </w:p>
        </w:tc>
        <w:tc>
          <w:tcPr>
            <w:tcW w:w="299" w:type="dxa"/>
            <w:tcBorders/>
            <w:shd w:fill="CCEEFF" w:val="clear"/>
            <w:vAlign w:val="center"/>
          </w:tcPr>
          <w:p>
            <w:pPr>
              <w:pStyle w:val="TableContents"/>
              <w:spacing w:before="0" w:after="0"/>
              <w:ind w:left="0" w:right="0" w:hanging="0"/>
              <w:jc w:val="right"/>
              <w:rPr/>
            </w:pPr>
            <w:r>
              <w:rPr/>
              <w:t>​</w:t>
            </w:r>
          </w:p>
        </w:tc>
        <w:tc>
          <w:tcPr>
            <w:tcW w:w="11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6,702</w:t>
            </w:r>
          </w:p>
        </w:tc>
        <w:tc>
          <w:tcPr>
            <w:tcW w:w="191" w:type="dxa"/>
            <w:tcBorders/>
            <w:shd w:fill="CCEEFF" w:val="clear"/>
            <w:vAlign w:val="center"/>
          </w:tcPr>
          <w:p>
            <w:pPr>
              <w:pStyle w:val="TableContents"/>
              <w:spacing w:before="0" w:after="0"/>
              <w:ind w:left="0" w:right="0" w:hanging="0"/>
              <w:rPr/>
            </w:pPr>
            <w:r>
              <w:rPr/>
              <w:t>​</w:t>
            </w:r>
          </w:p>
        </w:tc>
      </w:tr>
      <w:tr>
        <w:trPr/>
        <w:tc>
          <w:tcPr>
            <w:tcW w:w="4929"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Thereafter</w:t>
            </w:r>
          </w:p>
        </w:tc>
        <w:tc>
          <w:tcPr>
            <w:tcW w:w="166" w:type="dxa"/>
            <w:tcBorders/>
            <w:shd w:fill="auto" w:val="clear"/>
            <w:vAlign w:val="center"/>
          </w:tcPr>
          <w:p>
            <w:pPr>
              <w:pStyle w:val="TableContents"/>
              <w:spacing w:before="0" w:after="0"/>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61,586</w:t>
            </w:r>
          </w:p>
        </w:tc>
        <w:tc>
          <w:tcPr>
            <w:tcW w:w="166" w:type="dxa"/>
            <w:tcBorders/>
            <w:shd w:fill="auto" w:val="clear"/>
            <w:vAlign w:val="center"/>
          </w:tcPr>
          <w:p>
            <w:pPr>
              <w:pStyle w:val="TableContents"/>
              <w:spacing w:before="0" w:after="0"/>
              <w:ind w:left="0" w:right="0" w:hanging="0"/>
              <w:rPr/>
            </w:pPr>
            <w:r>
              <w:rPr/>
              <w:t>​</w:t>
            </w:r>
          </w:p>
        </w:tc>
        <w:tc>
          <w:tcPr>
            <w:tcW w:w="32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8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498" w:type="dxa"/>
            <w:tcBorders/>
            <w:shd w:fill="auto" w:val="clear"/>
            <w:vAlign w:val="center"/>
          </w:tcPr>
          <w:p>
            <w:pPr>
              <w:pStyle w:val="TableContents"/>
              <w:spacing w:before="0" w:after="0"/>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61,599</w:t>
            </w:r>
          </w:p>
        </w:tc>
        <w:tc>
          <w:tcPr>
            <w:tcW w:w="191" w:type="dxa"/>
            <w:tcBorders/>
            <w:shd w:fill="auto" w:val="clear"/>
            <w:vAlign w:val="center"/>
          </w:tcPr>
          <w:p>
            <w:pPr>
              <w:pStyle w:val="TableContents"/>
              <w:spacing w:before="0" w:after="0"/>
              <w:ind w:left="0" w:right="0" w:hanging="0"/>
              <w:rPr/>
            </w:pPr>
            <w:r>
              <w:rPr/>
              <w:t>​</w:t>
            </w:r>
          </w:p>
        </w:tc>
      </w:tr>
      <w:tr>
        <w:trPr/>
        <w:tc>
          <w:tcPr>
            <w:tcW w:w="492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lease payments</w:t>
            </w:r>
          </w:p>
        </w:tc>
        <w:tc>
          <w:tcPr>
            <w:tcW w:w="166" w:type="dxa"/>
            <w:tcBorders/>
            <w:shd w:fill="CCEEFF" w:val="clear"/>
            <w:vAlign w:val="center"/>
          </w:tcPr>
          <w:p>
            <w:pPr>
              <w:pStyle w:val="TableContents"/>
              <w:spacing w:before="0" w:after="0"/>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90,498</w:t>
            </w:r>
          </w:p>
        </w:tc>
        <w:tc>
          <w:tcPr>
            <w:tcW w:w="166" w:type="dxa"/>
            <w:tcBorders/>
            <w:shd w:fill="CCEEFF" w:val="clear"/>
            <w:vAlign w:val="center"/>
          </w:tcPr>
          <w:p>
            <w:pPr>
              <w:pStyle w:val="TableContents"/>
              <w:spacing w:before="0" w:after="0"/>
              <w:ind w:left="0" w:right="0" w:hanging="0"/>
              <w:rPr/>
            </w:pPr>
            <w:r>
              <w:rPr/>
              <w:t>​</w:t>
            </w:r>
          </w:p>
        </w:tc>
        <w:tc>
          <w:tcPr>
            <w:tcW w:w="320"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12,361</w:t>
            </w:r>
          </w:p>
        </w:tc>
        <w:tc>
          <w:tcPr>
            <w:tcW w:w="498" w:type="dxa"/>
            <w:tcBorders/>
            <w:shd w:fill="CCEEFF" w:val="clear"/>
            <w:vAlign w:val="center"/>
          </w:tcPr>
          <w:p>
            <w:pPr>
              <w:pStyle w:val="TableContents"/>
              <w:spacing w:before="0" w:after="0"/>
              <w:ind w:left="0" w:right="0" w:hanging="0"/>
              <w:rPr/>
            </w:pPr>
            <w:r>
              <w:rPr/>
              <w:t>​</w:t>
            </w:r>
          </w:p>
        </w:tc>
        <w:tc>
          <w:tcPr>
            <w:tcW w:w="299"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102,859</w:t>
            </w:r>
          </w:p>
        </w:tc>
        <w:tc>
          <w:tcPr>
            <w:tcW w:w="191" w:type="dxa"/>
            <w:tcBorders/>
            <w:shd w:fill="CCEEFF" w:val="clear"/>
            <w:vAlign w:val="center"/>
          </w:tcPr>
          <w:p>
            <w:pPr>
              <w:pStyle w:val="TableContents"/>
              <w:spacing w:before="0" w:after="0"/>
              <w:ind w:left="0" w:right="0" w:hanging="0"/>
              <w:rPr/>
            </w:pPr>
            <w:r>
              <w:rPr/>
              <w:t>​</w:t>
            </w:r>
          </w:p>
        </w:tc>
      </w:tr>
      <w:tr>
        <w:trPr/>
        <w:tc>
          <w:tcPr>
            <w:tcW w:w="4929"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Less interest portion*</w:t>
            </w:r>
          </w:p>
        </w:tc>
        <w:tc>
          <w:tcPr>
            <w:tcW w:w="166" w:type="dxa"/>
            <w:tcBorders/>
            <w:shd w:fill="auto" w:val="clear"/>
            <w:vAlign w:val="center"/>
          </w:tcPr>
          <w:p>
            <w:pPr>
              <w:pStyle w:val="TableContents"/>
              <w:spacing w:before="0" w:after="0"/>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(44,370)</w:t>
            </w:r>
          </w:p>
        </w:tc>
        <w:tc>
          <w:tcPr>
            <w:tcW w:w="166" w:type="dxa"/>
            <w:tcBorders/>
            <w:shd w:fill="auto" w:val="clear"/>
            <w:vAlign w:val="center"/>
          </w:tcPr>
          <w:p>
            <w:pPr>
              <w:pStyle w:val="TableContents"/>
              <w:spacing w:before="0" w:after="0"/>
              <w:ind w:left="0" w:right="0" w:hanging="0"/>
              <w:rPr/>
            </w:pPr>
            <w:r>
              <w:rPr/>
              <w:t>​</w:t>
            </w:r>
          </w:p>
        </w:tc>
        <w:tc>
          <w:tcPr>
            <w:tcW w:w="32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98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(2,447)</w:t>
            </w:r>
          </w:p>
        </w:tc>
        <w:tc>
          <w:tcPr>
            <w:tcW w:w="498" w:type="dxa"/>
            <w:tcBorders/>
            <w:shd w:fill="auto" w:val="clear"/>
            <w:vAlign w:val="center"/>
          </w:tcPr>
          <w:p>
            <w:pPr>
              <w:pStyle w:val="TableContents"/>
              <w:spacing w:before="0" w:after="0"/>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1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(46,817)</w:t>
            </w:r>
          </w:p>
        </w:tc>
        <w:tc>
          <w:tcPr>
            <w:tcW w:w="191" w:type="dxa"/>
            <w:tcBorders/>
            <w:shd w:fill="auto" w:val="clear"/>
            <w:vAlign w:val="center"/>
          </w:tcPr>
          <w:p>
            <w:pPr>
              <w:pStyle w:val="TableContents"/>
              <w:spacing w:before="0" w:after="0"/>
              <w:ind w:left="0" w:right="0" w:hanging="0"/>
              <w:rPr/>
            </w:pPr>
            <w:r>
              <w:rPr/>
              <w:t>​</w:t>
            </w:r>
          </w:p>
        </w:tc>
      </w:tr>
      <w:tr>
        <w:trPr/>
        <w:tc>
          <w:tcPr>
            <w:tcW w:w="492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Finance lease and operating lease obligations</w:t>
            </w:r>
          </w:p>
        </w:tc>
        <w:tc>
          <w:tcPr>
            <w:tcW w:w="166" w:type="dxa"/>
            <w:tcBorders/>
            <w:shd w:fill="CCEEFF" w:val="clear"/>
            <w:vAlign w:val="center"/>
          </w:tcPr>
          <w:p>
            <w:pPr>
              <w:pStyle w:val="TableContents"/>
              <w:spacing w:before="0" w:after="0"/>
              <w:ind w:left="0" w:right="0" w:hanging="0"/>
              <w:rPr/>
            </w:pPr>
            <w:r>
              <w:rPr/>
              <w:t>​</w:t>
            </w:r>
          </w:p>
        </w:tc>
        <w:tc>
          <w:tcPr>
            <w:tcW w:w="29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46,128</w:t>
            </w:r>
          </w:p>
        </w:tc>
        <w:tc>
          <w:tcPr>
            <w:tcW w:w="166" w:type="dxa"/>
            <w:tcBorders/>
            <w:shd w:fill="CCEEFF" w:val="clear"/>
            <w:vAlign w:val="center"/>
          </w:tcPr>
          <w:p>
            <w:pPr>
              <w:pStyle w:val="TableContents"/>
              <w:spacing w:before="0" w:after="0"/>
              <w:ind w:left="0" w:right="0" w:hanging="0"/>
              <w:rPr/>
            </w:pPr>
            <w:r>
              <w:rPr/>
              <w:t>​</w:t>
            </w:r>
          </w:p>
        </w:tc>
        <w:tc>
          <w:tcPr>
            <w:tcW w:w="32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8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9,914</w:t>
            </w:r>
          </w:p>
        </w:tc>
        <w:tc>
          <w:tcPr>
            <w:tcW w:w="498" w:type="dxa"/>
            <w:tcBorders/>
            <w:shd w:fill="CCEEFF" w:val="clear"/>
            <w:vAlign w:val="center"/>
          </w:tcPr>
          <w:p>
            <w:pPr>
              <w:pStyle w:val="TableContents"/>
              <w:spacing w:before="0" w:after="0"/>
              <w:ind w:left="0" w:right="0" w:hanging="0"/>
              <w:rPr/>
            </w:pPr>
            <w:r>
              <w:rPr/>
              <w:t>​</w:t>
            </w:r>
          </w:p>
        </w:tc>
        <w:tc>
          <w:tcPr>
            <w:tcW w:w="29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56,042</w:t>
            </w:r>
          </w:p>
        </w:tc>
        <w:tc>
          <w:tcPr>
            <w:tcW w:w="191" w:type="dxa"/>
            <w:tcBorders/>
            <w:shd w:fill="CCEEFF" w:val="clear"/>
            <w:vAlign w:val="center"/>
          </w:tcPr>
          <w:p>
            <w:pPr>
              <w:pStyle w:val="TableContents"/>
              <w:spacing w:before="0" w:after="0"/>
              <w:ind w:left="0" w:right="0" w:hanging="0"/>
              <w:rPr/>
            </w:pPr>
            <w:r>
              <w:rPr/>
              <w:t>​</w:t>
            </w:r>
          </w:p>
        </w:tc>
      </w:tr>
      <w:tr>
        <w:trPr/>
        <w:tc>
          <w:tcPr>
            <w:tcW w:w="4929" w:type="dxa"/>
            <w:tcBorders/>
            <w:shd w:fill="auto" w:val="clear"/>
            <w:vAlign w:val="center"/>
          </w:tcPr>
          <w:p>
            <w:pPr>
              <w:pStyle w:val="TableContents"/>
              <w:spacing w:before="0" w:after="0"/>
              <w:ind w:left="0" w:right="0" w:hanging="0"/>
              <w:rPr/>
            </w:pPr>
            <w:r>
              <w:rPr/>
              <w:t>​</w:t>
            </w:r>
          </w:p>
        </w:tc>
        <w:tc>
          <w:tcPr>
            <w:tcW w:w="166"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11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rPr/>
            </w:pPr>
            <w:r>
              <w:rPr/>
              <w:t>​</w:t>
            </w:r>
          </w:p>
        </w:tc>
        <w:tc>
          <w:tcPr>
            <w:tcW w:w="320" w:type="dxa"/>
            <w:tcBorders/>
            <w:shd w:fill="auto" w:val="clear"/>
            <w:vAlign w:val="center"/>
          </w:tcPr>
          <w:p>
            <w:pPr>
              <w:pStyle w:val="TableContents"/>
              <w:spacing w:before="0" w:after="0"/>
              <w:ind w:left="0" w:right="0" w:hanging="0"/>
              <w:rPr/>
            </w:pPr>
            <w:r>
              <w:rPr/>
              <w:t>​</w:t>
            </w:r>
          </w:p>
        </w:tc>
        <w:tc>
          <w:tcPr>
            <w:tcW w:w="987" w:type="dxa"/>
            <w:tcBorders/>
            <w:shd w:fill="auto" w:val="clear"/>
            <w:vAlign w:val="center"/>
          </w:tcPr>
          <w:p>
            <w:pPr>
              <w:pStyle w:val="TableContents"/>
              <w:spacing w:before="0" w:after="0"/>
              <w:ind w:left="0" w:right="0" w:hanging="0"/>
              <w:jc w:val="right"/>
              <w:rPr/>
            </w:pPr>
            <w:r>
              <w:rPr/>
              <w:t>​</w:t>
            </w:r>
          </w:p>
        </w:tc>
        <w:tc>
          <w:tcPr>
            <w:tcW w:w="498" w:type="dxa"/>
            <w:tcBorders/>
            <w:shd w:fill="auto" w:val="clear"/>
            <w:vAlign w:val="center"/>
          </w:tcPr>
          <w:p>
            <w:pPr>
              <w:pStyle w:val="TableContents"/>
              <w:spacing w:before="0" w:after="0"/>
              <w:ind w:left="0" w:right="0" w:hanging="0"/>
              <w:rPr/>
            </w:pPr>
            <w:r>
              <w:rPr/>
              <w:t>​</w:t>
            </w:r>
          </w:p>
        </w:tc>
        <w:tc>
          <w:tcPr>
            <w:tcW w:w="299" w:type="dxa"/>
            <w:tcBorders/>
            <w:shd w:fill="auto" w:val="clear"/>
            <w:vAlign w:val="center"/>
          </w:tcPr>
          <w:p>
            <w:pPr>
              <w:pStyle w:val="TableContents"/>
              <w:spacing w:before="0" w:after="0"/>
              <w:ind w:left="0" w:right="0" w:hanging="0"/>
              <w:rPr/>
            </w:pPr>
            <w:r>
              <w:rPr/>
              <w:t>​</w:t>
            </w:r>
          </w:p>
        </w:tc>
        <w:tc>
          <w:tcPr>
            <w:tcW w:w="110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rPr/>
            </w:pPr>
            <w:r>
              <w:rPr/>
              <w:t>​</w:t>
            </w:r>
          </w:p>
        </w:tc>
      </w:tr>
      <w:tr>
        <w:trPr/>
        <w:tc>
          <w:tcPr>
            <w:tcW w:w="9866" w:type="dxa"/>
            <w:gridSpan w:val="10"/>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Finance lease interest calculated using the implied interest rate; operating lease interest calculated using estimated corporate borrowing rate.</w:t>
            </w:r>
          </w:p>
        </w:tc>
        <w:tc>
          <w:tcPr>
            <w:tcW w:w="1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above does not include options to renew lease terms that are not reasonably certain of being exercised, nor leases signed but not yet commenced as of March 31, 2023. As of March 31, 2023, total estimated future minimum lease payments for leases signed but not yet commenced, which consists only of the lease of property in Beverly, Massachusetts, on which a state-of-the-art logistics and flex manufacturing center with 98,000 square feet is being built to our specifications and has an expected commencement date in 2023, is estimated to be $32.5 million.</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662" w:name="Tc_2M_-4Ojed02tJ47OLNxuxA_9_6"/>
      <w:bookmarkStart w:id="663" w:name="Tc_BQY0Ez72IkWRM--nLaHxJg_9_3"/>
      <w:bookmarkStart w:id="664" w:name="Tc_ez74_g1fjkaGRI3ggH1MZA_9_0"/>
      <w:bookmarkStart w:id="665" w:name="Tc_0aU4FcSYfkaPPzsDPzRVuw_8_0"/>
      <w:bookmarkStart w:id="666" w:name="Tc_GIaCM04_f0q-OrAEZihjIA_7_0"/>
      <w:bookmarkStart w:id="667" w:name="Tc_nF6F3Z_OekqyDEiX6hguzg_6_0"/>
      <w:bookmarkStart w:id="668" w:name="Tc_kh8vkqCuIkyJei4yD50r8g_5_5"/>
      <w:bookmarkStart w:id="669" w:name="Tc_JK3HZgml90WN7Csqnx25bw_5_2"/>
      <w:bookmarkStart w:id="670" w:name="Tc_fjLzaHei6E-MveNleWPpbw_5_0"/>
      <w:bookmarkStart w:id="671" w:name="Tc_Ua148JGmWEmcWDZYMyU3qA_4_2"/>
      <w:bookmarkStart w:id="672" w:name="Tc_YFwlgJEP_0a8BXMkvndcAA_3_5"/>
      <w:bookmarkStart w:id="673" w:name="Tc_w_Iz_Gbh-Uysnu9b4vIF2g_3_2"/>
      <w:bookmarkStart w:id="674" w:name="Tc_Pe9_KfpRykO-5XKgw6Ixdg_3_0"/>
      <w:bookmarkStart w:id="675" w:name="Tc_czaF9FkYE0mNGyjJ7m60XQ_2_2"/>
      <w:bookmarkStart w:id="676" w:name="Tc_4UrelQCZcESmo1IErRIRdw_8_0"/>
      <w:bookmarkStart w:id="677" w:name="Tc_3ad2XgY8xkC1i_8UBIoyTg_7_0"/>
      <w:bookmarkStart w:id="678" w:name="Tc_uL3Bzy5QkEWAh33k08nreA_6_0"/>
      <w:bookmarkStart w:id="679" w:name="Tc_H27fru5moUiejcxFaXTFeg_5_0"/>
      <w:bookmarkStart w:id="680" w:name="Tc_b1YWDyfXF0iQcWaG_Gc4yw_4_0"/>
      <w:bookmarkStart w:id="681" w:name="Tc_zD9tGRUDUUi24SWbHGINag_3_0"/>
      <w:bookmarkStart w:id="682" w:name="Tc_DsDR1-cFr0OQIjUv5iRqGw_2_2"/>
      <w:bookmarkStart w:id="683" w:name="Tc_MT4vQygEWUa3XHgXyKveEQ_2_0"/>
      <w:bookmarkStart w:id="684" w:name="Tc_XDisgAUTz0Kvd-exFG5Bjg_1_2"/>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t>​</w:t>
      </w:r>
    </w:p>
    <w:tbl>
      <w:tblPr>
        <w:tblW w:w="4816" w:type="dxa"/>
        <w:jc w:val="left"/>
        <w:tblInd w:w="0" w:type="dxa"/>
        <w:tblCellMar>
          <w:top w:w="0" w:type="dxa"/>
          <w:left w:w="0" w:type="dxa"/>
          <w:bottom w:w="0" w:type="dxa"/>
          <w:right w:w="0" w:type="dxa"/>
        </w:tblCellMar>
      </w:tblPr>
      <w:tblGrid>
        <w:gridCol w:w="3436"/>
        <w:gridCol w:w="326"/>
        <w:gridCol w:w="187"/>
        <w:gridCol w:w="713"/>
        <w:gridCol w:w="154"/>
      </w:tblGrid>
      <w:tr>
        <w:trPr/>
        <w:tc>
          <w:tcPr>
            <w:tcW w:w="3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7" w:type="dxa"/>
            <w:tcBorders/>
            <w:shd w:fill="auto" w:val="clear"/>
            <w:vAlign w:val="center"/>
          </w:tcPr>
          <w:p>
            <w:pPr>
              <w:pStyle w:val="TableContents"/>
              <w:spacing w:before="0" w:after="0"/>
              <w:ind w:left="0" w:right="0" w:hanging="0"/>
              <w:rPr/>
            </w:pPr>
            <w:r>
              <w:rPr/>
              <w:t>​</w:t>
            </w:r>
          </w:p>
        </w:tc>
        <w:tc>
          <w:tcPr>
            <w:tcW w:w="713"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154" w:type="dxa"/>
            <w:tcBorders/>
            <w:shd w:fill="auto" w:val="clear"/>
            <w:vAlign w:val="center"/>
          </w:tcPr>
          <w:p>
            <w:pPr>
              <w:pStyle w:val="TableContents"/>
              <w:spacing w:before="0" w:after="0"/>
              <w:ind w:left="0" w:right="0" w:hanging="0"/>
              <w:rPr/>
            </w:pPr>
            <w:r>
              <w:rPr/>
              <w:t>​</w:t>
            </w:r>
          </w:p>
        </w:tc>
      </w:tr>
      <w:tr>
        <w:trPr/>
        <w:tc>
          <w:tcPr>
            <w:tcW w:w="34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Lease term and discount rate</w:t>
            </w:r>
          </w:p>
        </w:tc>
        <w:tc>
          <w:tcPr>
            <w:tcW w:w="326" w:type="dxa"/>
            <w:tcBorders/>
            <w:shd w:fill="auto" w:val="clear"/>
            <w:vAlign w:val="center"/>
          </w:tcPr>
          <w:p>
            <w:pPr>
              <w:pStyle w:val="TableContents"/>
              <w:spacing w:before="0" w:after="0"/>
              <w:ind w:left="0" w:right="0" w:hanging="0"/>
              <w:jc w:val="center"/>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shd w:fill="auto" w:val="clear"/>
            <w:vAlign w:val="center"/>
          </w:tcPr>
          <w:p>
            <w:pPr>
              <w:pStyle w:val="TableContents"/>
              <w:spacing w:before="0" w:after="0"/>
              <w:ind w:left="0" w:right="0" w:hanging="0"/>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Weighted-average remaining lease term (years):</w:t>
            </w:r>
          </w:p>
        </w:tc>
        <w:tc>
          <w:tcPr>
            <w:tcW w:w="326" w:type="dxa"/>
            <w:tcBorders/>
            <w:shd w:fill="auto" w:val="clear"/>
            <w:vAlign w:val="center"/>
          </w:tcPr>
          <w:p>
            <w:pPr>
              <w:pStyle w:val="TableContents"/>
              <w:spacing w:before="0" w:after="0"/>
              <w:ind w:left="0" w:right="0" w:hanging="0"/>
              <w:jc w:val="center"/>
              <w:rPr/>
            </w:pPr>
            <w:r>
              <w:rPr/>
              <w:t>​</w:t>
            </w:r>
          </w:p>
        </w:tc>
        <w:tc>
          <w:tcPr>
            <w:tcW w:w="187" w:type="dxa"/>
            <w:tcBorders/>
            <w:shd w:fill="auto" w:val="clear"/>
            <w:vAlign w:val="center"/>
          </w:tcPr>
          <w:p>
            <w:pPr>
              <w:pStyle w:val="TableContents"/>
              <w:spacing w:before="0" w:after="0"/>
              <w:ind w:left="0" w:right="0" w:hanging="0"/>
              <w:jc w:val="center"/>
              <w:rPr/>
            </w:pPr>
            <w:r>
              <w:rPr/>
              <w:t>​</w:t>
            </w:r>
          </w:p>
        </w:tc>
        <w:tc>
          <w:tcPr>
            <w:tcW w:w="713"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leases</w:t>
            </w:r>
          </w:p>
        </w:tc>
        <w:tc>
          <w:tcPr>
            <w:tcW w:w="326" w:type="dxa"/>
            <w:tcBorders/>
            <w:shd w:fill="CCEEFF" w:val="clear"/>
            <w:vAlign w:val="center"/>
          </w:tcPr>
          <w:p>
            <w:pPr>
              <w:pStyle w:val="TableContents"/>
              <w:spacing w:before="0" w:after="0"/>
              <w:ind w:left="0" w:right="0" w:hanging="0"/>
              <w:rPr/>
            </w:pPr>
            <w:r>
              <w:rPr/>
              <w:t>​</w:t>
            </w:r>
          </w:p>
        </w:tc>
        <w:tc>
          <w:tcPr>
            <w:tcW w:w="187" w:type="dxa"/>
            <w:tcBorders/>
            <w:shd w:fill="CCEEFF" w:val="clear"/>
            <w:vAlign w:val="center"/>
          </w:tcPr>
          <w:p>
            <w:pPr>
              <w:pStyle w:val="TableContents"/>
              <w:spacing w:before="0" w:after="0"/>
              <w:ind w:left="0" w:right="0" w:hanging="0"/>
              <w:rPr/>
            </w:pPr>
            <w:r>
              <w:rPr/>
              <w:t>​</w:t>
            </w:r>
          </w:p>
        </w:tc>
        <w:tc>
          <w:tcPr>
            <w:tcW w:w="713"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2.9</w:t>
            </w:r>
          </w:p>
        </w:tc>
        <w:tc>
          <w:tcPr>
            <w:tcW w:w="154" w:type="dxa"/>
            <w:tcBorders/>
            <w:shd w:fill="CCEEFF" w:val="clear"/>
            <w:vAlign w:val="center"/>
          </w:tcPr>
          <w:p>
            <w:pPr>
              <w:pStyle w:val="TableContents"/>
              <w:spacing w:before="0" w:after="0"/>
              <w:ind w:left="0" w:right="0" w:hanging="0"/>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Finance leases</w:t>
            </w:r>
          </w:p>
        </w:tc>
        <w:tc>
          <w:tcPr>
            <w:tcW w:w="326" w:type="dxa"/>
            <w:tcBorders/>
            <w:shd w:fill="auto" w:val="clear"/>
            <w:vAlign w:val="center"/>
          </w:tcPr>
          <w:p>
            <w:pPr>
              <w:pStyle w:val="TableContents"/>
              <w:spacing w:before="0" w:after="0"/>
              <w:ind w:left="0" w:right="0" w:hanging="0"/>
              <w:rPr/>
            </w:pPr>
            <w:r>
              <w:rPr/>
              <w:t>​</w:t>
            </w:r>
          </w:p>
        </w:tc>
        <w:tc>
          <w:tcPr>
            <w:tcW w:w="187" w:type="dxa"/>
            <w:tcBorders/>
            <w:shd w:fill="auto" w:val="clear"/>
            <w:vAlign w:val="center"/>
          </w:tcPr>
          <w:p>
            <w:pPr>
              <w:pStyle w:val="TableContents"/>
              <w:spacing w:before="0" w:after="0"/>
              <w:ind w:left="0" w:right="0" w:hanging="0"/>
              <w:jc w:val="right"/>
              <w:rPr/>
            </w:pPr>
            <w:r>
              <w:rPr/>
              <w:t> </w:t>
            </w:r>
          </w:p>
        </w:tc>
        <w:tc>
          <w:tcPr>
            <w:tcW w:w="713"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13.8</w:t>
            </w:r>
          </w:p>
        </w:tc>
        <w:tc>
          <w:tcPr>
            <w:tcW w:w="154" w:type="dxa"/>
            <w:tcBorders/>
            <w:shd w:fill="auto" w:val="clear"/>
            <w:vAlign w:val="center"/>
          </w:tcPr>
          <w:p>
            <w:pPr>
              <w:pStyle w:val="TableContents"/>
              <w:spacing w:before="0" w:after="0"/>
              <w:ind w:left="0" w:right="0" w:hanging="0"/>
              <w:rPr/>
            </w:pPr>
            <w:r>
              <w:rPr/>
              <w:t>​</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Weighted-average discount rate:</w:t>
            </w:r>
          </w:p>
        </w:tc>
        <w:tc>
          <w:tcPr>
            <w:tcW w:w="326" w:type="dxa"/>
            <w:tcBorders/>
            <w:shd w:fill="CCEEFF" w:val="clear"/>
            <w:vAlign w:val="center"/>
          </w:tcPr>
          <w:p>
            <w:pPr>
              <w:pStyle w:val="TableContents"/>
              <w:spacing w:before="0" w:after="0"/>
              <w:ind w:left="0" w:right="0" w:hanging="0"/>
              <w:rPr/>
            </w:pPr>
            <w:r>
              <w:rPr/>
              <w:t>​</w:t>
            </w:r>
          </w:p>
        </w:tc>
        <w:tc>
          <w:tcPr>
            <w:tcW w:w="187" w:type="dxa"/>
            <w:tcBorders/>
            <w:shd w:fill="CCEEFF" w:val="clear"/>
            <w:vAlign w:val="center"/>
          </w:tcPr>
          <w:p>
            <w:pPr>
              <w:pStyle w:val="TableContents"/>
              <w:spacing w:before="0" w:after="0"/>
              <w:ind w:left="0" w:right="0" w:hanging="0"/>
              <w:jc w:val="right"/>
              <w:rPr/>
            </w:pPr>
            <w:r>
              <w:rPr/>
              <w:t>​</w:t>
            </w:r>
          </w:p>
        </w:tc>
        <w:tc>
          <w:tcPr>
            <w:tcW w:w="713" w:type="dxa"/>
            <w:tcBorders/>
            <w:shd w:fill="CCEEFF" w:val="clear"/>
            <w:vAlign w:val="center"/>
          </w:tcPr>
          <w:p>
            <w:pPr>
              <w:pStyle w:val="TableContents"/>
              <w:spacing w:before="0" w:after="0"/>
              <w:ind w:left="0" w:right="0" w:hanging="0"/>
              <w:jc w:val="center"/>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leases</w:t>
            </w:r>
          </w:p>
        </w:tc>
        <w:tc>
          <w:tcPr>
            <w:tcW w:w="326" w:type="dxa"/>
            <w:tcBorders/>
            <w:shd w:fill="auto" w:val="clear"/>
            <w:vAlign w:val="center"/>
          </w:tcPr>
          <w:p>
            <w:pPr>
              <w:pStyle w:val="TableContents"/>
              <w:spacing w:before="0" w:after="0"/>
              <w:ind w:left="0" w:right="0" w:hanging="0"/>
              <w:rPr/>
            </w:pPr>
            <w:r>
              <w:rPr/>
              <w:t>​</w:t>
            </w:r>
          </w:p>
        </w:tc>
        <w:tc>
          <w:tcPr>
            <w:tcW w:w="187" w:type="dxa"/>
            <w:tcBorders/>
            <w:shd w:fill="auto" w:val="clear"/>
            <w:vAlign w:val="center"/>
          </w:tcPr>
          <w:p>
            <w:pPr>
              <w:pStyle w:val="TableContents"/>
              <w:spacing w:before="0" w:after="0"/>
              <w:ind w:left="0" w:right="0" w:hanging="0"/>
              <w:jc w:val="right"/>
              <w:rPr/>
            </w:pPr>
            <w:r>
              <w:rPr/>
              <w:t> </w:t>
            </w:r>
          </w:p>
        </w:tc>
        <w:tc>
          <w:tcPr>
            <w:tcW w:w="713"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4.5%</w:t>
            </w:r>
          </w:p>
        </w:tc>
        <w:tc>
          <w:tcPr>
            <w:tcW w:w="154" w:type="dxa"/>
            <w:tcBorders/>
            <w:shd w:fill="auto" w:val="clear"/>
            <w:vAlign w:val="center"/>
          </w:tcPr>
          <w:p>
            <w:pPr>
              <w:pStyle w:val="TableContents"/>
              <w:spacing w:before="0" w:after="0"/>
              <w:ind w:left="0" w:right="0" w:hanging="0"/>
              <w:rPr/>
            </w:pPr>
            <w:r>
              <w:rPr/>
              <w:t>​</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Finance leases</w:t>
            </w:r>
          </w:p>
        </w:tc>
        <w:tc>
          <w:tcPr>
            <w:tcW w:w="326" w:type="dxa"/>
            <w:tcBorders/>
            <w:shd w:fill="CCEEFF" w:val="clear"/>
            <w:vAlign w:val="center"/>
          </w:tcPr>
          <w:p>
            <w:pPr>
              <w:pStyle w:val="TableContents"/>
              <w:spacing w:before="0" w:after="0"/>
              <w:ind w:left="0" w:right="0" w:hanging="0"/>
              <w:rPr/>
            </w:pPr>
            <w:r>
              <w:rPr/>
              <w:t>​</w:t>
            </w:r>
          </w:p>
        </w:tc>
        <w:tc>
          <w:tcPr>
            <w:tcW w:w="187" w:type="dxa"/>
            <w:tcBorders/>
            <w:shd w:fill="CCEEFF" w:val="clear"/>
            <w:vAlign w:val="center"/>
          </w:tcPr>
          <w:p>
            <w:pPr>
              <w:pStyle w:val="TableContents"/>
              <w:spacing w:before="0" w:after="0"/>
              <w:ind w:left="0" w:right="0" w:hanging="0"/>
              <w:jc w:val="right"/>
              <w:rPr/>
            </w:pPr>
            <w:r>
              <w:rPr/>
              <w:t> </w:t>
            </w:r>
          </w:p>
        </w:tc>
        <w:tc>
          <w:tcPr>
            <w:tcW w:w="713"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10.5%</w:t>
            </w:r>
          </w:p>
        </w:tc>
        <w:tc>
          <w:tcPr>
            <w:tcW w:w="154" w:type="dxa"/>
            <w:tcBorders/>
            <w:shd w:fill="CCEEFF" w:val="clear"/>
            <w:vAlign w:val="center"/>
          </w:tcPr>
          <w:p>
            <w:pPr>
              <w:pStyle w:val="TableContents"/>
              <w:spacing w:before="0" w:after="0"/>
              <w:ind w:left="0" w:right="0" w:hanging="0"/>
              <w:rPr/>
            </w:pPr>
            <w:r>
              <w:rPr/>
              <w:t>​</w:t>
            </w:r>
          </w:p>
        </w:tc>
      </w:tr>
      <w:tr>
        <w:trPr/>
        <w:tc>
          <w:tcPr>
            <w:tcW w:w="3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7" w:type="dxa"/>
            <w:tcBorders/>
            <w:shd w:fill="auto" w:val="clear"/>
            <w:vAlign w:val="center"/>
          </w:tcPr>
          <w:p>
            <w:pPr>
              <w:pStyle w:val="TableContents"/>
              <w:spacing w:before="0" w:after="0"/>
              <w:ind w:left="0" w:right="0" w:hanging="0"/>
              <w:rPr/>
            </w:pPr>
            <w:r>
              <w:rPr/>
              <w:t>​</w:t>
            </w:r>
          </w:p>
        </w:tc>
        <w:tc>
          <w:tcPr>
            <w:tcW w:w="713"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three months ended March 31, 2023 and 2022, respectively:</w:t>
      </w:r>
    </w:p>
    <w:p>
      <w:pPr>
        <w:pStyle w:val="TextBody"/>
        <w:spacing w:before="0" w:after="0"/>
        <w:ind w:left="0" w:right="0" w:hanging="0"/>
        <w:rPr/>
      </w:pPr>
      <w:r>
        <w:rPr/>
        <w:t>​</w:t>
      </w:r>
    </w:p>
    <w:p>
      <w:pPr>
        <w:pStyle w:val="TextBody"/>
        <w:spacing w:before="0" w:after="0"/>
        <w:ind w:left="0" w:right="0" w:hanging="0"/>
        <w:rPr/>
      </w:pPr>
      <w:r>
        <w:rPr/>
        <w:t>​</w:t>
      </w:r>
    </w:p>
    <w:tbl>
      <w:tblPr>
        <w:tblW w:w="8370" w:type="dxa"/>
        <w:jc w:val="left"/>
        <w:tblInd w:w="0" w:type="dxa"/>
        <w:tblCellMar>
          <w:top w:w="0" w:type="dxa"/>
          <w:left w:w="0" w:type="dxa"/>
          <w:bottom w:w="0" w:type="dxa"/>
          <w:right w:w="0" w:type="dxa"/>
        </w:tblCellMar>
      </w:tblPr>
      <w:tblGrid>
        <w:gridCol w:w="5491"/>
        <w:gridCol w:w="326"/>
        <w:gridCol w:w="270"/>
        <w:gridCol w:w="705"/>
        <w:gridCol w:w="449"/>
        <w:gridCol w:w="270"/>
        <w:gridCol w:w="705"/>
        <w:gridCol w:w="154"/>
      </w:tblGrid>
      <w:tr>
        <w:trPr/>
        <w:tc>
          <w:tcPr>
            <w:tcW w:w="5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486785" cy="175260"/>
                      <wp:effectExtent l="0" t="0" r="0" b="0"/>
                      <wp:wrapNone/>
                      <wp:docPr id="94" name="Frame94"/>
                      <a:graphic xmlns:a="http://schemas.openxmlformats.org/drawingml/2006/main">
                        <a:graphicData uri="http://schemas.microsoft.com/office/word/2010/wordprocessingShape">
                          <wps:wsp>
                            <wps:cNvSpPr txBox="1"/>
                            <wps:spPr>
                              <a:xfrm>
                                <a:off x="0" y="0"/>
                                <a:ext cx="3486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71450" cy="175260"/>
                      <wp:effectExtent l="0" t="0" r="0" b="0"/>
                      <wp:wrapNone/>
                      <wp:docPr id="96" name="Frame96"/>
                      <a:graphic xmlns:a="http://schemas.openxmlformats.org/drawingml/2006/main">
                        <a:graphicData uri="http://schemas.microsoft.com/office/word/2010/wordprocessingShape">
                          <wps:wsp>
                            <wps:cNvSpPr txBox="1"/>
                            <wps:spPr>
                              <a:xfrm>
                                <a:off x="0" y="0"/>
                                <a:ext cx="171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47675" cy="175260"/>
                      <wp:effectExtent l="0" t="0" r="0" b="0"/>
                      <wp:wrapNone/>
                      <wp:docPr id="97" name="Frame97"/>
                      <a:graphic xmlns:a="http://schemas.openxmlformats.org/drawingml/2006/main">
                        <a:graphicData uri="http://schemas.microsoft.com/office/word/2010/wordprocessingShape">
                          <wps:wsp>
                            <wps:cNvSpPr txBox="1"/>
                            <wps:spPr>
                              <a:xfrm>
                                <a:off x="0" y="0"/>
                                <a:ext cx="447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85115" cy="175260"/>
                      <wp:effectExtent l="0" t="0" r="0" b="0"/>
                      <wp:wrapNone/>
                      <wp:docPr id="98" name="Frame98"/>
                      <a:graphic xmlns:a="http://schemas.openxmlformats.org/drawingml/2006/main">
                        <a:graphicData uri="http://schemas.microsoft.com/office/word/2010/wordprocessingShape">
                          <wps:wsp>
                            <wps:cNvSpPr txBox="1"/>
                            <wps:spPr>
                              <a:xfrm>
                                <a:off x="0" y="0"/>
                                <a:ext cx="285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71450" cy="175260"/>
                      <wp:effectExtent l="0" t="0" r="0" b="0"/>
                      <wp:wrapNone/>
                      <wp:docPr id="99" name="Frame99"/>
                      <a:graphic xmlns:a="http://schemas.openxmlformats.org/drawingml/2006/main">
                        <a:graphicData uri="http://schemas.microsoft.com/office/word/2010/wordprocessingShape">
                          <wps:wsp>
                            <wps:cNvSpPr txBox="1"/>
                            <wps:spPr>
                              <a:xfrm>
                                <a:off x="0" y="0"/>
                                <a:ext cx="171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47675" cy="175260"/>
                      <wp:effectExtent l="0" t="0" r="0" b="0"/>
                      <wp:wrapNone/>
                      <wp:docPr id="100" name="Frame100"/>
                      <a:graphic xmlns:a="http://schemas.openxmlformats.org/drawingml/2006/main">
                        <a:graphicData uri="http://schemas.microsoft.com/office/word/2010/wordprocessingShape">
                          <wps:wsp>
                            <wps:cNvSpPr txBox="1"/>
                            <wps:spPr>
                              <a:xfrm>
                                <a:off x="0" y="0"/>
                                <a:ext cx="447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97790" cy="175260"/>
                      <wp:effectExtent l="0" t="0" r="0" b="0"/>
                      <wp:wrapNone/>
                      <wp:docPr id="101" name="Frame10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70" w:type="dxa"/>
            <w:tcBorders/>
            <w:shd w:fill="auto" w:val="clear"/>
            <w:vAlign w:val="center"/>
          </w:tcPr>
          <w:p>
            <w:pPr>
              <w:pStyle w:val="TableContents"/>
              <w:spacing w:before="0" w:after="0"/>
              <w:ind w:left="0" w:right="0" w:hanging="0"/>
              <w:jc w:val="center"/>
              <w:rPr/>
            </w:pPr>
            <w:r>
              <w:rPr/>
              <w:t>​</w:t>
            </w:r>
          </w:p>
        </w:tc>
        <w:tc>
          <w:tcPr>
            <w:tcW w:w="705" w:type="dxa"/>
            <w:tcBorders/>
            <w:shd w:fill="auto" w:val="clear"/>
            <w:vAlign w:val="center"/>
          </w:tcPr>
          <w:p>
            <w:pPr>
              <w:pStyle w:val="TableContents"/>
              <w:spacing w:before="0" w:after="0"/>
              <w:ind w:left="0" w:right="0" w:hanging="0"/>
              <w:jc w:val="center"/>
              <w:rPr/>
            </w:pPr>
            <w:r>
              <w:rPr/>
              <w:t>​</w:t>
            </w:r>
          </w:p>
        </w:tc>
        <w:tc>
          <w:tcPr>
            <w:tcW w:w="449" w:type="dxa"/>
            <w:tcBorders/>
            <w:shd w:fill="auto" w:val="clear"/>
            <w:vAlign w:val="center"/>
          </w:tcPr>
          <w:p>
            <w:pPr>
              <w:pStyle w:val="TableContents"/>
              <w:spacing w:before="0" w:after="0"/>
              <w:ind w:left="0" w:right="0" w:hanging="0"/>
              <w:jc w:val="center"/>
              <w:rPr/>
            </w:pPr>
            <w:r>
              <w:rPr/>
              <w:t>​</w:t>
            </w:r>
          </w:p>
        </w:tc>
        <w:tc>
          <w:tcPr>
            <w:tcW w:w="270" w:type="dxa"/>
            <w:tcBorders/>
            <w:shd w:fill="auto" w:val="clear"/>
            <w:vAlign w:val="center"/>
          </w:tcPr>
          <w:p>
            <w:pPr>
              <w:pStyle w:val="TableContents"/>
              <w:spacing w:before="0" w:after="0"/>
              <w:ind w:left="0" w:right="0" w:hanging="0"/>
              <w:jc w:val="center"/>
              <w:rPr/>
            </w:pPr>
            <w:r>
              <w:rPr/>
              <w:t>​</w:t>
            </w:r>
          </w:p>
        </w:tc>
        <w:tc>
          <w:tcPr>
            <w:tcW w:w="705"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9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c>
          <w:tcPr>
            <w:tcW w:w="154" w:type="dxa"/>
            <w:tcBorders/>
            <w:shd w:fill="auto" w:val="clear"/>
            <w:vAlign w:val="center"/>
          </w:tcPr>
          <w:p>
            <w:pPr>
              <w:pStyle w:val="TableContents"/>
              <w:spacing w:before="0" w:after="0"/>
              <w:ind w:left="0" w:right="0" w:hanging="0"/>
              <w:rPr/>
            </w:pPr>
            <w:r>
              <w:rPr/>
              <w:t>​</w:t>
            </w:r>
          </w:p>
        </w:tc>
      </w:tr>
      <w:tr>
        <w:trPr/>
        <w:tc>
          <w:tcPr>
            <w:tcW w:w="54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Cash paid for amounts included in the measurement of lease liabilities</w:t>
            </w:r>
          </w:p>
        </w:tc>
        <w:tc>
          <w:tcPr>
            <w:tcW w:w="326" w:type="dxa"/>
            <w:tcBorders/>
            <w:shd w:fill="auto" w:val="clear"/>
            <w:vAlign w:val="center"/>
          </w:tcPr>
          <w:p>
            <w:pPr>
              <w:pStyle w:val="TableContents"/>
              <w:spacing w:before="0" w:after="0"/>
              <w:ind w:left="0" w:right="0" w:hanging="0"/>
              <w:jc w:val="center"/>
              <w:rPr/>
            </w:pPr>
            <w:r>
              <w:rPr/>
              <w:t>    </w:t>
            </w:r>
          </w:p>
        </w:tc>
        <w:tc>
          <w:tcPr>
            <w:tcW w:w="9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9" w:type="dxa"/>
            <w:tcBorders/>
            <w:shd w:fill="auto" w:val="clear"/>
            <w:vAlign w:val="center"/>
          </w:tcPr>
          <w:p>
            <w:pPr>
              <w:pStyle w:val="TableContents"/>
              <w:spacing w:before="0" w:after="0"/>
              <w:ind w:left="0" w:right="0" w:hanging="0"/>
              <w:jc w:val="center"/>
              <w:rPr/>
            </w:pPr>
            <w:r>
              <w:rPr/>
              <w:t>    </w:t>
            </w:r>
          </w:p>
        </w:tc>
        <w:tc>
          <w:tcPr>
            <w:tcW w:w="9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rPr/>
            </w:pPr>
            <w:r>
              <w:rPr/>
              <w:t>​</w:t>
            </w:r>
          </w:p>
        </w:tc>
      </w:tr>
      <w:tr>
        <w:trPr/>
        <w:tc>
          <w:tcPr>
            <w:tcW w:w="8370"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5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99"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shd w:fill="auto" w:val="clear"/>
            <w:vAlign w:val="center"/>
          </w:tcPr>
          <w:p>
            <w:pPr>
              <w:pStyle w:val="TableContents"/>
              <w:spacing w:before="0" w:after="0"/>
              <w:ind w:left="0" w:right="0" w:hanging="0"/>
              <w:rPr/>
            </w:pPr>
            <w:r>
              <w:rPr/>
              <w:t>​</w:t>
            </w:r>
          </w:p>
        </w:tc>
      </w:tr>
      <w:tr>
        <w:trPr/>
        <w:tc>
          <w:tcPr>
            <w:tcW w:w="549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cash outflows from operating leases</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2,244</w:t>
            </w:r>
          </w:p>
        </w:tc>
        <w:tc>
          <w:tcPr>
            <w:tcW w:w="449"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1,896</w:t>
            </w:r>
          </w:p>
        </w:tc>
        <w:tc>
          <w:tcPr>
            <w:tcW w:w="154" w:type="dxa"/>
            <w:tcBorders/>
            <w:shd w:fill="CCEEFF" w:val="clear"/>
            <w:vAlign w:val="center"/>
          </w:tcPr>
          <w:p>
            <w:pPr>
              <w:pStyle w:val="TableContents"/>
              <w:spacing w:before="0" w:after="0"/>
              <w:ind w:left="0" w:right="0" w:hanging="0"/>
              <w:rPr/>
            </w:pPr>
            <w:r>
              <w:rPr/>
              <w:t>​</w:t>
            </w:r>
          </w:p>
        </w:tc>
      </w:tr>
      <w:tr>
        <w:trPr/>
        <w:tc>
          <w:tcPr>
            <w:tcW w:w="549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cash outflows from finance leases</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jc w:val="right"/>
              <w:rPr/>
            </w:pPr>
            <w:r>
              <w:rPr/>
              <w:t> </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1,231</w:t>
            </w:r>
          </w:p>
        </w:tc>
        <w:tc>
          <w:tcPr>
            <w:tcW w:w="449"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jc w:val="right"/>
              <w:rPr/>
            </w:pPr>
            <w:r>
              <w:rPr/>
              <w:t> </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1,258</w:t>
            </w:r>
          </w:p>
        </w:tc>
        <w:tc>
          <w:tcPr>
            <w:tcW w:w="154" w:type="dxa"/>
            <w:tcBorders/>
            <w:shd w:fill="auto" w:val="clear"/>
            <w:vAlign w:val="center"/>
          </w:tcPr>
          <w:p>
            <w:pPr>
              <w:pStyle w:val="TableContents"/>
              <w:spacing w:before="0" w:after="0"/>
              <w:ind w:left="0" w:right="0" w:hanging="0"/>
              <w:rPr/>
            </w:pPr>
            <w:r>
              <w:rPr/>
              <w:t>​</w:t>
            </w:r>
          </w:p>
        </w:tc>
      </w:tr>
      <w:tr>
        <w:trPr/>
        <w:tc>
          <w:tcPr>
            <w:tcW w:w="549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Financing cash outflows from finance leases</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jc w:val="right"/>
              <w:rPr/>
            </w:pPr>
            <w:r>
              <w:rPr/>
              <w:t> </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289</w:t>
            </w:r>
          </w:p>
        </w:tc>
        <w:tc>
          <w:tcPr>
            <w:tcW w:w="449"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jc w:val="right"/>
              <w:rPr/>
            </w:pPr>
            <w:r>
              <w:rPr/>
              <w:t> </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154" w:type="dxa"/>
            <w:tcBorders/>
            <w:shd w:fill="CCEEFF" w:val="clear"/>
            <w:vAlign w:val="center"/>
          </w:tcPr>
          <w:p>
            <w:pPr>
              <w:pStyle w:val="TableContents"/>
              <w:spacing w:before="0" w:after="0"/>
              <w:ind w:left="0" w:right="0" w:hanging="0"/>
              <w:rPr/>
            </w:pPr>
            <w:r>
              <w:rPr/>
              <w:t>​</w:t>
            </w:r>
          </w:p>
        </w:tc>
      </w:tr>
      <w:tr>
        <w:trPr/>
        <w:tc>
          <w:tcPr>
            <w:tcW w:w="549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lease assets obtained in exchange for operating lease liabilities</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jc w:val="right"/>
              <w:rPr/>
            </w:pPr>
            <w:r>
              <w:rPr/>
              <w:t> </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757</w:t>
            </w:r>
          </w:p>
        </w:tc>
        <w:tc>
          <w:tcPr>
            <w:tcW w:w="449"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jc w:val="right"/>
              <w:rPr/>
            </w:pPr>
            <w:r>
              <w:rPr/>
              <w:t> </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1,638</w:t>
            </w:r>
          </w:p>
        </w:tc>
        <w:tc>
          <w:tcPr>
            <w:tcW w:w="154" w:type="dxa"/>
            <w:tcBorders/>
            <w:shd w:fill="auto" w:val="clear"/>
            <w:vAlign w:val="center"/>
          </w:tcPr>
          <w:p>
            <w:pPr>
              <w:pStyle w:val="TableContents"/>
              <w:spacing w:before="0" w:after="0"/>
              <w:ind w:left="0" w:right="0" w:hanging="0"/>
              <w:rPr/>
            </w:pPr>
            <w:r>
              <w:rPr/>
              <w:t>​</w:t>
            </w:r>
          </w:p>
        </w:tc>
      </w:tr>
      <w:tr>
        <w:trPr/>
        <w:tc>
          <w:tcPr>
            <w:tcW w:w="549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Finance lease assets obtained in exchange for new finance lease liabilities</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jc w:val="right"/>
              <w:rPr/>
            </w:pPr>
            <w:r>
              <w:rPr/>
              <w:t> </w:t>
            </w:r>
          </w:p>
        </w:tc>
        <w:tc>
          <w:tcPr>
            <w:tcW w:w="705" w:type="dxa"/>
            <w:tcBorders/>
            <w:shd w:fill="CCEEFF" w:val="clear"/>
            <w:vAlign w:val="center"/>
          </w:tcPr>
          <w:p>
            <w:pPr>
              <w:pStyle w:val="TableContents"/>
              <w:spacing w:before="0" w:after="0"/>
              <w:ind w:left="0" w:right="0" w:hanging="0"/>
              <w:jc w:val="right"/>
              <w:rPr/>
            </w:pPr>
            <w:r>
              <w:rPr/>
              <w:t>—</w:t>
            </w:r>
          </w:p>
        </w:tc>
        <w:tc>
          <w:tcPr>
            <w:tcW w:w="449"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jc w:val="right"/>
              <w:rPr/>
            </w:pPr>
            <w:r>
              <w:rPr/>
              <w:t> </w:t>
            </w:r>
          </w:p>
        </w:tc>
        <w:tc>
          <w:tcPr>
            <w:tcW w:w="705"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jc w:val="right"/>
              <w:rPr/>
            </w:pPr>
            <w:r>
              <w:rPr/>
              <w:t>​</w:t>
            </w:r>
          </w:p>
        </w:tc>
        <w:tc>
          <w:tcPr>
            <w:tcW w:w="449" w:type="dxa"/>
            <w:tcBorders/>
            <w:shd w:fill="auto" w:val="clear"/>
            <w:vAlign w:val="center"/>
          </w:tcPr>
          <w:p>
            <w:pPr>
              <w:pStyle w:val="TableContents"/>
              <w:spacing w:before="0" w:after="0"/>
              <w:ind w:left="0" w:right="0" w:hanging="0"/>
              <w:rPr/>
            </w:pPr>
            <w:r>
              <w:rPr/>
              <w:t>​</w:t>
            </w:r>
          </w:p>
        </w:tc>
        <w:tc>
          <w:tcPr>
            <w:tcW w:w="270"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685" w:name="Tc_cL13kHmGA0yCKQEozP-fdg_7_6"/>
      <w:bookmarkStart w:id="686" w:name="Tc__icNR1JkY0K5DIZIaxF6sA_7_3"/>
      <w:bookmarkStart w:id="687" w:name="Tc_DpV4ueuY5EaUl7qrfmUulA_7_0"/>
      <w:bookmarkStart w:id="688" w:name="Tc_P8u7sPOqPEGK0lZ8p7gi4Q_6_0"/>
      <w:bookmarkStart w:id="689" w:name="Tc_CaU4kay-e02lgAYCEDJTRg_5_6"/>
      <w:bookmarkStart w:id="690" w:name="Tc_eFrPcATIP06YiFRqftj3Bg_5_3"/>
      <w:bookmarkStart w:id="691" w:name="Tc_Hmd7Rs6X2Emo9GvdlHMrxA_5_0"/>
      <w:bookmarkStart w:id="692" w:name="Tc_gC4ZdNghjkqJ8eW0gd3P9Q_4_3"/>
      <w:bookmarkStart w:id="693" w:name="Tc_GGE-HkZGx0OrHaffwUutNw_3_6"/>
      <w:bookmarkStart w:id="694" w:name="Tc_C8_snXpiok-a0O5_NpdjTg_3_3"/>
      <w:bookmarkStart w:id="695" w:name="Tc_rLuAXjUguUWNkuWnao5WYA_2_3"/>
      <w:bookmarkStart w:id="696" w:name="Tc_Ba_vlbpkPk-ZV-RY2YgDcg_1_3"/>
      <w:bookmarkEnd w:id="685"/>
      <w:bookmarkEnd w:id="686"/>
      <w:bookmarkEnd w:id="687"/>
      <w:bookmarkEnd w:id="688"/>
      <w:bookmarkEnd w:id="689"/>
      <w:bookmarkEnd w:id="690"/>
      <w:bookmarkEnd w:id="691"/>
      <w:bookmarkEnd w:id="692"/>
      <w:bookmarkEnd w:id="693"/>
      <w:bookmarkEnd w:id="694"/>
      <w:bookmarkEnd w:id="695"/>
      <w:bookmarkEnd w:id="696"/>
      <w:r>
        <w:rPr>
          <w:rFonts w:ascii="Times New Roman;Times;serif" w:hAnsi="Times New Roman;Times;serif"/>
          <w:b/>
          <w:sz w:val="20"/>
        </w:rPr>
        <w:t>Note 4. Revenue</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Revenue by categories used by management are as follows:</w:t>
      </w:r>
    </w:p>
    <w:p>
      <w:pPr>
        <w:pStyle w:val="TextBody"/>
        <w:spacing w:before="0" w:after="0"/>
        <w:ind w:left="0" w:right="0" w:hanging="0"/>
        <w:rPr/>
      </w:pPr>
      <w:r>
        <w:rPr/>
        <w:t>​</w:t>
      </w:r>
    </w:p>
    <w:tbl>
      <w:tblPr>
        <w:tblW w:w="3437" w:type="dxa"/>
        <w:jc w:val="left"/>
        <w:tblInd w:w="0" w:type="dxa"/>
        <w:tblCellMar>
          <w:top w:w="0" w:type="dxa"/>
          <w:left w:w="0" w:type="dxa"/>
          <w:bottom w:w="0" w:type="dxa"/>
          <w:right w:w="0" w:type="dxa"/>
        </w:tblCellMar>
      </w:tblPr>
      <w:tblGrid>
        <w:gridCol w:w="1141"/>
        <w:gridCol w:w="109"/>
        <w:gridCol w:w="109"/>
        <w:gridCol w:w="196"/>
        <w:gridCol w:w="736"/>
        <w:gridCol w:w="109"/>
        <w:gridCol w:w="196"/>
        <w:gridCol w:w="841"/>
      </w:tblGrid>
      <w:tr>
        <w:trPr/>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24535" cy="175260"/>
                      <wp:effectExtent l="0" t="0" r="0" b="0"/>
                      <wp:wrapNone/>
                      <wp:docPr id="102" name="Frame10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4460" cy="175260"/>
                      <wp:effectExtent l="0" t="0" r="0" b="0"/>
                      <wp:wrapNone/>
                      <wp:docPr id="105" name="Frame10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67360" cy="175260"/>
                      <wp:effectExtent l="0" t="0" r="0" b="0"/>
                      <wp:wrapNone/>
                      <wp:docPr id="106" name="Frame106"/>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4460" cy="175260"/>
                      <wp:effectExtent l="0" t="0" r="0" b="0"/>
                      <wp:wrapNone/>
                      <wp:docPr id="108" name="Frame10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34035" cy="175260"/>
                      <wp:effectExtent l="0" t="0" r="0" b="0"/>
                      <wp:wrapNone/>
                      <wp:docPr id="109" name="Frame109"/>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7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7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r>
      <w:tr>
        <w:trPr/>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37"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114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7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1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Systems</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195,198 </w:t>
            </w:r>
          </w:p>
        </w:tc>
        <w:tc>
          <w:tcPr>
            <w:tcW w:w="109" w:type="dxa"/>
            <w:tcBorders/>
            <w:shd w:fill="CCEEFF" w:val="clear"/>
            <w:vAlign w:val="center"/>
          </w:tcPr>
          <w:p>
            <w:pPr>
              <w:pStyle w:val="TableContents"/>
              <w:spacing w:before="0" w:after="0"/>
              <w:ind w:left="0" w:right="0" w:hanging="0"/>
              <w:jc w:val="center"/>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151,801 </w:t>
            </w:r>
          </w:p>
        </w:tc>
      </w:tr>
      <w:tr>
        <w:trPr/>
        <w:tc>
          <w:tcPr>
            <w:tcW w:w="114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Aftermarket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58,822</w:t>
            </w:r>
          </w:p>
        </w:tc>
        <w:tc>
          <w:tcPr>
            <w:tcW w:w="109" w:type="dxa"/>
            <w:tcBorders/>
            <w:shd w:fill="auto" w:val="clear"/>
            <w:vAlign w:val="center"/>
          </w:tcPr>
          <w:p>
            <w:pPr>
              <w:pStyle w:val="TableContents"/>
              <w:spacing w:before="0" w:after="0"/>
              <w:ind w:left="0" w:right="0" w:hanging="0"/>
              <w:jc w:val="center"/>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51,794</w:t>
            </w:r>
          </w:p>
        </w:tc>
      </w:tr>
      <w:tr>
        <w:trPr/>
        <w:tc>
          <w:tcPr>
            <w:tcW w:w="114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254,020 </w:t>
            </w:r>
          </w:p>
        </w:tc>
        <w:tc>
          <w:tcPr>
            <w:tcW w:w="109" w:type="dxa"/>
            <w:tcBorders/>
            <w:shd w:fill="CCEEFF" w:val="clear"/>
            <w:vAlign w:val="center"/>
          </w:tcPr>
          <w:p>
            <w:pPr>
              <w:pStyle w:val="TableContents"/>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 xml:space="preserve">203,595 </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697" w:name="Tc_LlZk_2sQw0-h5BbNRmMOOw_8_6"/>
      <w:bookmarkStart w:id="698" w:name="Tc_HvNe4-aOE0eqH1REcBRO6Q_8_3"/>
      <w:bookmarkStart w:id="699" w:name="Tc_cF6j7sbibkWBKWW1Vhldzg_8_0"/>
      <w:bookmarkStart w:id="700" w:name="Tc_wpy7ImdyIUazKI-11Bx5nQ_7_0"/>
      <w:bookmarkStart w:id="701" w:name="Tc_aWAgJSu1bkOtssaQIhT18g_6_0"/>
      <w:bookmarkStart w:id="702" w:name="Tc_DqRWUo97o0qA9lp6FKg4aw_5_6"/>
      <w:bookmarkStart w:id="703" w:name="Tc_xG0XM73QR0SbFF8ROzOsOQ_5_3"/>
      <w:bookmarkStart w:id="704" w:name="Tc_rGW6jk6cC0S8ocF-qPx7Mg_5_0"/>
      <w:bookmarkStart w:id="705" w:name="Tc_LZakB-xrBUSXScyRr7Uv5Q_4_3"/>
      <w:bookmarkStart w:id="706" w:name="Tc_dJMDsqELq0iP00jqgkwtBg_3_6"/>
      <w:bookmarkStart w:id="707" w:name="Tc_Rvxz1b_rMkm-s8qhIKvgsg_3_3"/>
      <w:bookmarkStart w:id="708" w:name="Tc_rVIuzNQRn0eQFRoUWSCL2g_2_3"/>
      <w:bookmarkStart w:id="709" w:name="Tc_SaygvWHPKkeU9Jinzgo52Q_1_3"/>
      <w:bookmarkStart w:id="710" w:name="_2e5a57d7_0637_4587_9f1d_d030f2861869"/>
      <w:bookmarkStart w:id="711" w:name="Tc_XppjNpb_vEOgBpwaExAQFw_4_5"/>
      <w:bookmarkStart w:id="712" w:name="Tc_l_NBZ89u5UmDYMsbdz-HEA_4_2"/>
      <w:bookmarkStart w:id="713" w:name="Tc_QdUSjpAJLkmBgLpbWtXsXg_4_0"/>
      <w:bookmarkStart w:id="714" w:name="Tc_C0f3CciOe0qRL3kNXU8tow_3_2"/>
      <w:bookmarkStart w:id="715" w:name="Tc_QhgPqtrxBkO6sykgz_-lcg_2_5"/>
      <w:bookmarkStart w:id="716" w:name="Tc_O9s-ukLtVEShZi0j7Dy_3w_2_2"/>
      <w:bookmarkStart w:id="717" w:name="Tc_Ecnu-fQJCkG9E_tmr_8rsQ_1_5"/>
      <w:bookmarkStart w:id="718" w:name="Tc_qJeHMrb1iEKatUiOBjauMA_1_2"/>
      <w:bookmarkStart w:id="719" w:name="_7247dc7e_7639_47af_a371_764497dc934b"/>
      <w:bookmarkStart w:id="720" w:name="Tc_RDVtiFtkMUKYSckdAS2K_A_8_6"/>
      <w:bookmarkStart w:id="721" w:name="Tc_r1BhK6Yza0WBf1iSao8z7Q_8_3"/>
      <w:bookmarkStart w:id="722" w:name="Tc_xJb_K22iYEuE4Ud1fmn_hw_8_0"/>
      <w:bookmarkStart w:id="723" w:name="Tc_e09K3FjIWEaevQ4vfRnZ5Q_7_0"/>
      <w:bookmarkStart w:id="724" w:name="Tc_ypiQZmb-4k6QrtCTW3KfQA_6_0"/>
      <w:bookmarkStart w:id="725" w:name="Tc_s9g3DLSDS0SnhdWr9B4QBQ_5_6"/>
      <w:bookmarkStart w:id="726" w:name="Tc_VuWLq9xdH0G8o1WkOjNFtg_5_3"/>
      <w:bookmarkStart w:id="727" w:name="Tc_2KeQRS_s7U-JqA3wmhTCUg_5_0"/>
      <w:bookmarkStart w:id="728" w:name="Tc_2ghxos7eoUGm6XiiPgRmlQ_4_3"/>
      <w:bookmarkStart w:id="729" w:name="Tc_VkLcGiTzz0io1TflnnhGOw_3_6"/>
      <w:bookmarkStart w:id="730" w:name="Tc_FsdiJvtlMkGb40dJIM910A_3_3"/>
      <w:bookmarkStart w:id="731" w:name="Tc_dYUOc1Q66EWf-sesnTdEZw_2_3"/>
      <w:bookmarkStart w:id="732" w:name="Tc_k7iOe0qHxE-epvEhRofhHQ_1_3"/>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Pr>
          <w:rFonts w:ascii="Times New Roman;Times;serif" w:hAnsi="Times New Roman;Times;serif"/>
          <w:sz w:val="20"/>
        </w:rPr>
        <w:t>We also consider revenue by geography. Revenue is allocated to geographic markets based upon the location to which our products are shipped and in which our services are performed. Revenue in our principal geographic markets is as follows:</w:t>
      </w:r>
    </w:p>
    <w:p>
      <w:pPr>
        <w:pStyle w:val="TextBody"/>
        <w:spacing w:before="0" w:after="0"/>
        <w:ind w:left="0" w:right="0" w:hanging="0"/>
        <w:rPr/>
      </w:pPr>
      <w:r>
        <w:rPr/>
        <w:t>​</w:t>
      </w:r>
    </w:p>
    <w:tbl>
      <w:tblPr>
        <w:tblW w:w="3437" w:type="dxa"/>
        <w:jc w:val="left"/>
        <w:tblInd w:w="0" w:type="dxa"/>
        <w:tblCellMar>
          <w:top w:w="0" w:type="dxa"/>
          <w:left w:w="0" w:type="dxa"/>
          <w:bottom w:w="0" w:type="dxa"/>
          <w:right w:w="0" w:type="dxa"/>
        </w:tblCellMar>
      </w:tblPr>
      <w:tblGrid>
        <w:gridCol w:w="1231"/>
        <w:gridCol w:w="109"/>
        <w:gridCol w:w="109"/>
        <w:gridCol w:w="196"/>
        <w:gridCol w:w="691"/>
        <w:gridCol w:w="109"/>
        <w:gridCol w:w="196"/>
        <w:gridCol w:w="796"/>
      </w:tblGrid>
      <w:tr>
        <w:trPr/>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81685" cy="175260"/>
                      <wp:effectExtent l="0" t="0" r="0" b="0"/>
                      <wp:wrapNone/>
                      <wp:docPr id="110" name="Frame110"/>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4460" cy="175260"/>
                      <wp:effectExtent l="0" t="0" r="0" b="0"/>
                      <wp:wrapNone/>
                      <wp:docPr id="113" name="Frame11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38785" cy="175260"/>
                      <wp:effectExtent l="0" t="0" r="0" b="0"/>
                      <wp:wrapNone/>
                      <wp:docPr id="114" name="Frame11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24460" cy="175260"/>
                      <wp:effectExtent l="0" t="0" r="0" b="0"/>
                      <wp:wrapNone/>
                      <wp:docPr id="116" name="Frame11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05460" cy="175260"/>
                      <wp:effectExtent l="0" t="0" r="0" b="0"/>
                      <wp:wrapNone/>
                      <wp:docPr id="117" name="Frame11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8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2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r>
      <w:tr>
        <w:trPr/>
        <w:tc>
          <w:tcPr>
            <w:tcW w:w="12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37"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12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8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2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North America </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45,166</w:t>
            </w:r>
          </w:p>
        </w:tc>
        <w:tc>
          <w:tcPr>
            <w:tcW w:w="109"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24,913</w:t>
            </w:r>
          </w:p>
        </w:tc>
      </w:tr>
      <w:tr>
        <w:trPr/>
        <w:tc>
          <w:tcPr>
            <w:tcW w:w="12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Asia Pacific</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191,103</w:t>
            </w:r>
          </w:p>
        </w:tc>
        <w:tc>
          <w:tcPr>
            <w:tcW w:w="10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149,240</w:t>
            </w:r>
          </w:p>
        </w:tc>
      </w:tr>
      <w:tr>
        <w:trPr/>
        <w:tc>
          <w:tcPr>
            <w:tcW w:w="12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Europe</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17,751</w:t>
            </w:r>
          </w:p>
        </w:tc>
        <w:tc>
          <w:tcPr>
            <w:tcW w:w="109" w:type="dxa"/>
            <w:tcBorders/>
            <w:shd w:fill="CCEEFF" w:val="clear"/>
            <w:vAlign w:val="center"/>
          </w:tcPr>
          <w:p>
            <w:pPr>
              <w:pStyle w:val="TableContents"/>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29,442</w:t>
            </w:r>
          </w:p>
        </w:tc>
      </w:tr>
      <w:tr>
        <w:trPr/>
        <w:tc>
          <w:tcPr>
            <w:tcW w:w="12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Revenue</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254,020</w:t>
            </w:r>
          </w:p>
        </w:tc>
        <w:tc>
          <w:tcPr>
            <w:tcW w:w="109" w:type="dxa"/>
            <w:tcBorders/>
            <w:shd w:fill="auto" w:val="clear"/>
            <w:vAlign w:val="center"/>
          </w:tcPr>
          <w:p>
            <w:pPr>
              <w:pStyle w:val="TableContents"/>
              <w:spacing w:before="0" w:after="0"/>
              <w:ind w:left="0" w:right="0" w:hanging="0"/>
              <w:jc w:val="right"/>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203,595</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Our system sales revenue transactions give rise to contract liabilities (in the case of pre-payments and the fair value of goods and services to be delivered after the system delivery, such as installation and certain warranty obligations).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Contract liabilities are as follows:</w:t>
      </w:r>
    </w:p>
    <w:p>
      <w:pPr>
        <w:pStyle w:val="TextBody"/>
        <w:spacing w:before="0" w:after="0"/>
        <w:ind w:left="0" w:right="0" w:hanging="0"/>
        <w:rPr/>
      </w:pPr>
      <w:r>
        <w:rPr/>
        <w:t>​</w:t>
      </w:r>
    </w:p>
    <w:tbl>
      <w:tblPr>
        <w:tblW w:w="3699" w:type="dxa"/>
        <w:jc w:val="left"/>
        <w:tblInd w:w="0" w:type="dxa"/>
        <w:tblCellMar>
          <w:top w:w="0" w:type="dxa"/>
          <w:left w:w="0" w:type="dxa"/>
          <w:bottom w:w="0" w:type="dxa"/>
          <w:right w:w="0" w:type="dxa"/>
        </w:tblCellMar>
      </w:tblPr>
      <w:tblGrid>
        <w:gridCol w:w="1396"/>
        <w:gridCol w:w="109"/>
        <w:gridCol w:w="199"/>
        <w:gridCol w:w="701"/>
        <w:gridCol w:w="109"/>
        <w:gridCol w:w="249"/>
        <w:gridCol w:w="936"/>
      </w:tblGrid>
      <w:tr>
        <w:trPr/>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886460" cy="175260"/>
                      <wp:effectExtent l="0" t="0" r="0" b="0"/>
                      <wp:wrapNone/>
                      <wp:docPr id="118" name="Frame118"/>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6365" cy="175260"/>
                      <wp:effectExtent l="0" t="0" r="0" b="0"/>
                      <wp:wrapNone/>
                      <wp:docPr id="120" name="Frame120"/>
                      <a:graphic xmlns:a="http://schemas.openxmlformats.org/drawingml/2006/main">
                        <a:graphicData uri="http://schemas.microsoft.com/office/word/2010/wordprocessingShape">
                          <wps:wsp>
                            <wps:cNvSpPr txBox="1"/>
                            <wps:spPr>
                              <a:xfrm>
                                <a:off x="0" y="0"/>
                                <a:ext cx="1263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45135" cy="175260"/>
                      <wp:effectExtent l="0" t="0" r="0" b="0"/>
                      <wp:wrapNone/>
                      <wp:docPr id="121" name="Frame121"/>
                      <a:graphic xmlns:a="http://schemas.openxmlformats.org/drawingml/2006/main">
                        <a:graphicData uri="http://schemas.microsoft.com/office/word/2010/wordprocessingShape">
                          <wps:wsp>
                            <wps:cNvSpPr txBox="1"/>
                            <wps:spPr>
                              <a:xfrm>
                                <a:off x="0" y="0"/>
                                <a:ext cx="445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8115" cy="175260"/>
                      <wp:effectExtent l="0" t="0" r="0" b="0"/>
                      <wp:wrapNone/>
                      <wp:docPr id="123" name="Frame123"/>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94360" cy="175260"/>
                      <wp:effectExtent l="0" t="0" r="0" b="0"/>
                      <wp:wrapNone/>
                      <wp:docPr id="124" name="Frame124"/>
                      <a:graphic xmlns:a="http://schemas.openxmlformats.org/drawingml/2006/main">
                        <a:graphicData uri="http://schemas.microsoft.com/office/word/2010/wordprocessingShape">
                          <wps:wsp>
                            <wps:cNvSpPr txBox="1"/>
                            <wps:spPr>
                              <a:xfrm>
                                <a:off x="0" y="0"/>
                                <a:ext cx="594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109" w:type="dxa"/>
            <w:tcBorders/>
            <w:shd w:fill="auto" w:val="clear"/>
            <w:vAlign w:val="center"/>
          </w:tcPr>
          <w:p>
            <w:pPr>
              <w:pStyle w:val="TableContents"/>
              <w:spacing w:before="0" w:after="0"/>
              <w:ind w:left="0" w:right="0" w:hanging="0"/>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13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99"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13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9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3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Contract liabilities</w:t>
            </w:r>
          </w:p>
        </w:tc>
        <w:tc>
          <w:tcPr>
            <w:tcW w:w="109" w:type="dxa"/>
            <w:tcBorders/>
            <w:shd w:fill="CCEEFF" w:val="clear"/>
            <w:vAlign w:val="center"/>
          </w:tcPr>
          <w:p>
            <w:pPr>
              <w:pStyle w:val="TableContents"/>
              <w:spacing w:before="0" w:after="0"/>
              <w:ind w:left="0" w:right="0" w:hanging="0"/>
              <w:rPr/>
            </w:pPr>
            <w:r>
              <w:rPr/>
              <w:t>​</w:t>
            </w:r>
          </w:p>
        </w:tc>
        <w:tc>
          <w:tcPr>
            <w:tcW w:w="19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201,725</w:t>
            </w:r>
          </w:p>
        </w:tc>
        <w:tc>
          <w:tcPr>
            <w:tcW w:w="109" w:type="dxa"/>
            <w:tcBorders/>
            <w:shd w:fill="CCEEFF" w:val="clear"/>
            <w:vAlign w:val="center"/>
          </w:tcPr>
          <w:p>
            <w:pPr>
              <w:pStyle w:val="TableContents"/>
              <w:spacing w:before="0" w:after="0"/>
              <w:ind w:left="0" w:right="0" w:hanging="0"/>
              <w:rPr/>
            </w:pPr>
            <w:r>
              <w:rPr/>
              <w:t>​</w:t>
            </w:r>
          </w:p>
        </w:tc>
        <w:tc>
          <w:tcPr>
            <w:tcW w:w="24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154,777</w:t>
            </w:r>
          </w:p>
        </w:tc>
      </w:tr>
      <w:tr>
        <w:trPr/>
        <w:tc>
          <w:tcPr>
            <w:tcW w:w="13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9"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936"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Contract liabilities are reflected as deferred revenue on the consolidated balance sheet and relate to payments invoiced or received in advance of completion of performance obligations under a contract. Contract liabilities are recognized as revenue upon the fulfillment of performance obligations.</w:t>
      </w:r>
    </w:p>
    <w:p>
      <w:pPr>
        <w:pStyle w:val="TextBody"/>
        <w:spacing w:before="0" w:after="0"/>
        <w:ind w:left="0" w:right="0" w:hanging="0"/>
        <w:rPr/>
      </w:pPr>
      <w:r>
        <w:rPr/>
        <w:t>​</w:t>
      </w:r>
    </w:p>
    <w:tbl>
      <w:tblPr>
        <w:tblW w:w="4779" w:type="dxa"/>
        <w:jc w:val="left"/>
        <w:tblInd w:w="0" w:type="dxa"/>
        <w:tblCellMar>
          <w:top w:w="0" w:type="dxa"/>
          <w:left w:w="0" w:type="dxa"/>
          <w:bottom w:w="0" w:type="dxa"/>
          <w:right w:w="0" w:type="dxa"/>
        </w:tblCellMar>
      </w:tblPr>
      <w:tblGrid>
        <w:gridCol w:w="2416"/>
        <w:gridCol w:w="109"/>
        <w:gridCol w:w="266"/>
        <w:gridCol w:w="196"/>
        <w:gridCol w:w="721"/>
        <w:gridCol w:w="109"/>
        <w:gridCol w:w="196"/>
        <w:gridCol w:w="766"/>
      </w:tblGrid>
      <w:tr>
        <w:trPr/>
        <w:tc>
          <w:tcPr>
            <w:tcW w:w="24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534160" cy="175260"/>
                      <wp:effectExtent l="0" t="0" r="0" b="0"/>
                      <wp:wrapNone/>
                      <wp:docPr id="125" name="Frame125"/>
                      <a:graphic xmlns:a="http://schemas.openxmlformats.org/drawingml/2006/main">
                        <a:graphicData uri="http://schemas.microsoft.com/office/word/2010/wordprocessingShape">
                          <wps:wsp>
                            <wps:cNvSpPr txBox="1"/>
                            <wps:spPr>
                              <a:xfrm>
                                <a:off x="0" y="0"/>
                                <a:ext cx="1534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68910" cy="175260"/>
                      <wp:effectExtent l="0" t="0" r="0" b="0"/>
                      <wp:wrapNone/>
                      <wp:docPr id="127" name="Frame12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4460" cy="175260"/>
                      <wp:effectExtent l="0" t="0" r="0" b="0"/>
                      <wp:wrapNone/>
                      <wp:docPr id="128" name="Frame12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57835" cy="175260"/>
                      <wp:effectExtent l="0" t="0" r="0" b="0"/>
                      <wp:wrapNone/>
                      <wp:docPr id="129" name="Frame129"/>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24460" cy="175260"/>
                      <wp:effectExtent l="0" t="0" r="0" b="0"/>
                      <wp:wrapNone/>
                      <wp:docPr id="131" name="Frame13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86410" cy="175260"/>
                      <wp:effectExtent l="0" t="0" r="0" b="0"/>
                      <wp:wrapNone/>
                      <wp:docPr id="132" name="Frame132"/>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98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4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19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r>
      <w:tr>
        <w:trPr/>
        <w:tc>
          <w:tcPr>
            <w:tcW w:w="24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9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79"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24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98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beginning of the period</w:t>
            </w:r>
          </w:p>
        </w:tc>
        <w:tc>
          <w:tcPr>
            <w:tcW w:w="109"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154,777</w:t>
            </w:r>
          </w:p>
        </w:tc>
        <w:tc>
          <w:tcPr>
            <w:tcW w:w="109"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68,436</w:t>
            </w:r>
          </w:p>
        </w:tc>
      </w:tr>
      <w:tr>
        <w:trPr/>
        <w:tc>
          <w:tcPr>
            <w:tcW w:w="24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Deferral of revenue</w:t>
            </w:r>
          </w:p>
        </w:tc>
        <w:tc>
          <w:tcPr>
            <w:tcW w:w="10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88,048</w:t>
            </w:r>
          </w:p>
        </w:tc>
        <w:tc>
          <w:tcPr>
            <w:tcW w:w="109"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23,394</w:t>
            </w:r>
          </w:p>
        </w:tc>
      </w:tr>
      <w:tr>
        <w:trPr/>
        <w:tc>
          <w:tcPr>
            <w:tcW w:w="24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Recognition of deferred revenue</w:t>
            </w:r>
          </w:p>
        </w:tc>
        <w:tc>
          <w:tcPr>
            <w:tcW w:w="109"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(41,100)</w:t>
            </w:r>
          </w:p>
        </w:tc>
        <w:tc>
          <w:tcPr>
            <w:tcW w:w="109" w:type="dxa"/>
            <w:tcBorders/>
            <w:shd w:fill="CCEEFF" w:val="clear"/>
            <w:vAlign w:val="center"/>
          </w:tcPr>
          <w:p>
            <w:pPr>
              <w:pStyle w:val="TableContents"/>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(16,990)</w:t>
            </w:r>
          </w:p>
        </w:tc>
      </w:tr>
      <w:tr>
        <w:trPr/>
        <w:tc>
          <w:tcPr>
            <w:tcW w:w="24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end of the period</w:t>
            </w:r>
          </w:p>
        </w:tc>
        <w:tc>
          <w:tcPr>
            <w:tcW w:w="109"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201,725</w:t>
            </w:r>
          </w:p>
        </w:tc>
        <w:tc>
          <w:tcPr>
            <w:tcW w:w="109" w:type="dxa"/>
            <w:tcBorders/>
            <w:shd w:fill="auto" w:val="clear"/>
            <w:vAlign w:val="center"/>
          </w:tcPr>
          <w:p>
            <w:pPr>
              <w:pStyle w:val="TableContents"/>
              <w:spacing w:before="0" w:after="0"/>
              <w:ind w:left="0" w:right="0" w:hanging="0"/>
              <w:jc w:val="right"/>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74,840</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majority of our system transactions have payment terms of 90% due upon shipment of the system and 10% due upon acceptance. Aftermarket transaction payment terms typically provide that payment is due either within 30 or 60 days after the service is provided or parts delivered.</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Note 5. Receivables and Allowances for Credit Losses</w:t>
      </w:r>
    </w:p>
    <w:p>
      <w:pPr>
        <w:pStyle w:val="TextBody"/>
        <w:spacing w:before="0" w:after="0"/>
        <w:ind w:left="0" w:right="0" w:firstLine="720"/>
        <w:jc w:val="both"/>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All trade receivables are reported on the consolidated balance sheets at their amortized cost adjusted for any write-offs and net of allowances for credit losses. </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maintain an allowance for credit losses, which represent an estimate of expected losses over the remaining contractual life of our receivables, considering current market conditions and estimates for supportable forecasts when appropriate. The estimate is a result of our ongoing assessments and evaluations of collectability, historical loss experience, and future expectations in estimating credit losses in our receivable portfolio. We use historical loss experience rates and apply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733" w:name="Tc_HKRdQ-oiOk2vlbTw8R1pmg_9_6"/>
      <w:bookmarkStart w:id="734" w:name="Tc_t3e9EVl2BkqKDo4C6_cXiw_9_5"/>
      <w:bookmarkStart w:id="735" w:name="Tc_7iALIUu0FkOFWMkwUf2LKw_9_3"/>
      <w:bookmarkStart w:id="736" w:name="Tc_Wk2WqMQDxE6hdtOzYE3DPA_9_2"/>
      <w:bookmarkStart w:id="737" w:name="Tc_7mStskki00-OhT8XVgpBsQ_9_0"/>
      <w:bookmarkStart w:id="738" w:name="Tc_rOFQZnJ3zkqjoxCjHh90XQ_8_6"/>
      <w:bookmarkStart w:id="739" w:name="Tc_ruLclPBWa0uBWzjnqsBpHQ_8_3"/>
      <w:bookmarkStart w:id="740" w:name="Tc_SKBAkRRCyUquLQu0vSVnhA_8_0"/>
      <w:bookmarkStart w:id="741" w:name="Tc_xBOopultYEuHy9Fmg0ReJQ_7_6"/>
      <w:bookmarkStart w:id="742" w:name="Tc_cpcs1bWxVUKpI7CSDk-YIw_7_3"/>
      <w:bookmarkStart w:id="743" w:name="Tc_Diul9d4U7E6rn7Mui0rneQ_7_0"/>
      <w:bookmarkStart w:id="744" w:name="Tc_Lxhr4va31UWReIJa7lGmcg_6_6"/>
      <w:bookmarkStart w:id="745" w:name="Tc_TTjR2i07J0KyudiYdEhylA_6_3"/>
      <w:bookmarkStart w:id="746" w:name="Tc_yXUzg11dHEaidhCODuz-rw_6_0"/>
      <w:bookmarkStart w:id="747" w:name="Tc_lmsim1iPzUGombzTN5ZDCw_5_6"/>
      <w:bookmarkStart w:id="748" w:name="Tc_AFJCABCqZ0m5iqVKFKQENA_5_5"/>
      <w:bookmarkStart w:id="749" w:name="Tc_2rTUHKKPlUefL_Qij2Fq8w_5_3"/>
      <w:bookmarkStart w:id="750" w:name="Tc_dRDR8zCdn0OeJzaagDozeg_5_2"/>
      <w:bookmarkStart w:id="751" w:name="Tc_5VKKxYJmWkaI5kCCyCDSJw_5_0"/>
      <w:bookmarkStart w:id="752" w:name="Tc_CooO3cc8Wk6KLxAfelEAqg_4_2"/>
      <w:bookmarkStart w:id="753" w:name="Tc_pL1U1ffef0KXuiQD8ARLLA_3_5"/>
      <w:bookmarkStart w:id="754" w:name="Tc_QykRo5ZRrkm4otYstMimBA_3_2"/>
      <w:bookmarkStart w:id="755" w:name="Tc_O5u6P9X8oEm0S-vGoJWXRQ_2_2"/>
      <w:bookmarkStart w:id="756" w:name="Tc_I44cexupXEKhmoUrnpyZ1Q_1_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r>
        <w:rPr>
          <w:rFonts w:ascii="Times New Roman;Times;serif" w:hAnsi="Times New Roman;Times;serif"/>
          <w:sz w:val="20"/>
        </w:rPr>
        <w:t xml:space="preserve">experience, loss migration, delinquency trends, collection experience, current economic conditions, trade restrictions, estimates for supportable forecasts, when appropriate, and credit risk characteristics. </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evaluate the credit risk of the customer when extending credit based on a combination of financial and qualitative factors that may affect our customers’ ability to pay. These factors may include the customer’s financial condition, past payment experience, and credit bureau report, as well as the value of the underlying collateral.</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Management performs detailed reviews of our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following table shows changes of the allowances for credit losses related to trade receivables for the three months ended March 31, 2023 and 2022, respectively: </w:t>
      </w:r>
    </w:p>
    <w:p>
      <w:pPr>
        <w:pStyle w:val="TextBody"/>
        <w:spacing w:before="0" w:after="0"/>
        <w:ind w:left="0" w:right="0" w:firstLine="720"/>
        <w:jc w:val="both"/>
        <w:rPr/>
      </w:pPr>
      <w:r>
        <w:rPr/>
        <w:t>​</w:t>
      </w:r>
    </w:p>
    <w:tbl>
      <w:tblPr>
        <w:tblW w:w="3918" w:type="dxa"/>
        <w:jc w:val="left"/>
        <w:tblInd w:w="0" w:type="dxa"/>
        <w:tblCellMar>
          <w:top w:w="0" w:type="dxa"/>
          <w:left w:w="0" w:type="dxa"/>
          <w:bottom w:w="0" w:type="dxa"/>
          <w:right w:w="0" w:type="dxa"/>
        </w:tblCellMar>
      </w:tblPr>
      <w:tblGrid>
        <w:gridCol w:w="2161"/>
        <w:gridCol w:w="109"/>
        <w:gridCol w:w="260"/>
        <w:gridCol w:w="426"/>
        <w:gridCol w:w="134"/>
        <w:gridCol w:w="260"/>
        <w:gridCol w:w="568"/>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72235" cy="175260"/>
                      <wp:effectExtent l="0" t="0" r="0" b="0"/>
                      <wp:wrapNone/>
                      <wp:docPr id="133" name="Frame133"/>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5100" cy="175260"/>
                      <wp:effectExtent l="0" t="0" r="0" b="0"/>
                      <wp:wrapNone/>
                      <wp:docPr id="135" name="Frame135"/>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70510" cy="175260"/>
                      <wp:effectExtent l="0" t="0" r="0" b="0"/>
                      <wp:wrapNone/>
                      <wp:docPr id="136" name="Frame136"/>
                      <a:graphic xmlns:a="http://schemas.openxmlformats.org/drawingml/2006/main">
                        <a:graphicData uri="http://schemas.microsoft.com/office/word/2010/wordprocessingShape">
                          <wps:wsp>
                            <wps:cNvSpPr txBox="1"/>
                            <wps:spPr>
                              <a:xfrm>
                                <a:off x="0" y="0"/>
                                <a:ext cx="270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5090" cy="175260"/>
                      <wp:effectExtent l="0" t="0" r="0" b="0"/>
                      <wp:wrapNone/>
                      <wp:docPr id="137" name="Frame137"/>
                      <a:graphic xmlns:a="http://schemas.openxmlformats.org/drawingml/2006/main">
                        <a:graphicData uri="http://schemas.microsoft.com/office/word/2010/wordprocessingShape">
                          <wps:wsp>
                            <wps:cNvSpPr txBox="1"/>
                            <wps:spPr>
                              <a:xfrm>
                                <a:off x="0" y="0"/>
                                <a:ext cx="850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65100" cy="175260"/>
                      <wp:effectExtent l="0" t="0" r="0" b="0"/>
                      <wp:wrapNone/>
                      <wp:docPr id="138" name="Frame138"/>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60680" cy="175260"/>
                      <wp:effectExtent l="0" t="0" r="0" b="0"/>
                      <wp:wrapNone/>
                      <wp:docPr id="139" name="Frame139"/>
                      <a:graphic xmlns:a="http://schemas.openxmlformats.org/drawingml/2006/main">
                        <a:graphicData uri="http://schemas.microsoft.com/office/word/2010/wordprocessingShape">
                          <wps:wsp>
                            <wps:cNvSpPr txBox="1"/>
                            <wps:spPr>
                              <a:xfrm>
                                <a:off x="0" y="0"/>
                                <a:ext cx="360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64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1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64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r>
      <w:tr>
        <w:trPr/>
        <w:tc>
          <w:tcPr>
            <w:tcW w:w="21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4" w:type="dxa"/>
            <w:tcBorders/>
            <w:shd w:fill="auto" w:val="clear"/>
            <w:vAlign w:val="center"/>
          </w:tcPr>
          <w:p>
            <w:pPr>
              <w:pStyle w:val="TableContents"/>
              <w:spacing w:before="0" w:after="0"/>
              <w:ind w:left="0" w:right="0" w:hanging="0"/>
              <w:rPr/>
            </w:pPr>
            <w:r>
              <w:rPr/>
              <w:t>​</w:t>
            </w:r>
          </w:p>
        </w:tc>
        <w:tc>
          <w:tcPr>
            <w:tcW w:w="82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18"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1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64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beginning of period</w:t>
            </w:r>
          </w:p>
        </w:tc>
        <w:tc>
          <w:tcPr>
            <w:tcW w:w="109"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6" w:type="dxa"/>
            <w:tcBorders/>
            <w:shd w:fill="CCEEFF" w:val="clear"/>
            <w:vAlign w:val="center"/>
          </w:tcPr>
          <w:p>
            <w:pPr>
              <w:pStyle w:val="TableContents"/>
              <w:spacing w:before="0" w:after="0"/>
              <w:ind w:left="0" w:right="0" w:hanging="0"/>
              <w:jc w:val="right"/>
              <w:rPr/>
            </w:pPr>
            <w:r>
              <w:rPr/>
              <w:t>—</w:t>
            </w:r>
          </w:p>
        </w:tc>
        <w:tc>
          <w:tcPr>
            <w:tcW w:w="134"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spacing w:before="0" w:after="0"/>
              <w:ind w:left="0" w:right="0" w:hanging="0"/>
              <w:jc w:val="right"/>
              <w:rPr/>
            </w:pPr>
            <w:r>
              <w:rPr/>
              <w:t>—</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Provision for credit losses</w:t>
            </w:r>
          </w:p>
        </w:tc>
        <w:tc>
          <w:tcPr>
            <w:tcW w:w="109"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w:t>
            </w:r>
          </w:p>
        </w:tc>
        <w:tc>
          <w:tcPr>
            <w:tcW w:w="426" w:type="dxa"/>
            <w:tcBorders/>
            <w:shd w:fill="auto" w:val="clear"/>
            <w:vAlign w:val="center"/>
          </w:tcPr>
          <w:p>
            <w:pPr>
              <w:pStyle w:val="TableContents"/>
              <w:spacing w:before="0" w:after="0"/>
              <w:ind w:left="0" w:right="0" w:hanging="0"/>
              <w:jc w:val="right"/>
              <w:rPr/>
            </w:pPr>
            <w:r>
              <w:rPr/>
              <w:t>—</w:t>
            </w:r>
          </w:p>
        </w:tc>
        <w:tc>
          <w:tcPr>
            <w:tcW w:w="134"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w:t>
            </w:r>
          </w:p>
        </w:tc>
        <w:tc>
          <w:tcPr>
            <w:tcW w:w="568" w:type="dxa"/>
            <w:tcBorders/>
            <w:shd w:fill="auto" w:val="clear"/>
            <w:vAlign w:val="center"/>
          </w:tcPr>
          <w:p>
            <w:pPr>
              <w:pStyle w:val="TableContents"/>
              <w:spacing w:before="0" w:after="0"/>
              <w:ind w:left="0" w:right="0" w:hanging="0"/>
              <w:jc w:val="right"/>
              <w:rPr/>
            </w:pPr>
            <w:r>
              <w:rPr/>
              <w:t>—</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Charge-offs</w:t>
            </w:r>
          </w:p>
        </w:tc>
        <w:tc>
          <w:tcPr>
            <w:tcW w:w="109"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w:t>
            </w:r>
          </w:p>
        </w:tc>
        <w:tc>
          <w:tcPr>
            <w:tcW w:w="426" w:type="dxa"/>
            <w:tcBorders/>
            <w:shd w:fill="CCEEFF" w:val="clear"/>
            <w:vAlign w:val="center"/>
          </w:tcPr>
          <w:p>
            <w:pPr>
              <w:pStyle w:val="TableContents"/>
              <w:spacing w:before="0" w:after="0"/>
              <w:ind w:left="0" w:right="0" w:hanging="0"/>
              <w:jc w:val="right"/>
              <w:rPr/>
            </w:pPr>
            <w:r>
              <w:rPr/>
              <w:t>—</w:t>
            </w:r>
          </w:p>
        </w:tc>
        <w:tc>
          <w:tcPr>
            <w:tcW w:w="134"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w:t>
            </w:r>
          </w:p>
        </w:tc>
        <w:tc>
          <w:tcPr>
            <w:tcW w:w="568" w:type="dxa"/>
            <w:tcBorders/>
            <w:shd w:fill="CCEEFF" w:val="clear"/>
            <w:vAlign w:val="center"/>
          </w:tcPr>
          <w:p>
            <w:pPr>
              <w:pStyle w:val="TableContents"/>
              <w:spacing w:before="0" w:after="0"/>
              <w:ind w:left="0" w:right="0" w:hanging="0"/>
              <w:jc w:val="right"/>
              <w:rPr/>
            </w:pPr>
            <w:r>
              <w:rPr/>
              <w:t>—</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Recoveries</w:t>
            </w:r>
          </w:p>
        </w:tc>
        <w:tc>
          <w:tcPr>
            <w:tcW w:w="109" w:type="dxa"/>
            <w:tcBorders/>
            <w:shd w:fill="auto" w:val="clear"/>
            <w:vAlign w:val="center"/>
          </w:tcPr>
          <w:p>
            <w:pPr>
              <w:pStyle w:val="TableContents"/>
              <w:spacing w:before="0" w:after="0"/>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34" w:type="dxa"/>
            <w:tcBorders/>
            <w:shd w:fill="auto" w:val="clear"/>
            <w:vAlign w:val="center"/>
          </w:tcPr>
          <w:p>
            <w:pPr>
              <w:pStyle w:val="TableContents"/>
              <w:spacing w:before="0" w:after="0"/>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6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end of period</w:t>
            </w:r>
          </w:p>
        </w:tc>
        <w:tc>
          <w:tcPr>
            <w:tcW w:w="109" w:type="dxa"/>
            <w:tcBorders/>
            <w:shd w:fill="CCEEFF" w:val="clear"/>
            <w:vAlign w:val="center"/>
          </w:tcPr>
          <w:p>
            <w:pPr>
              <w:pStyle w:val="TableContents"/>
              <w:spacing w:before="0" w:after="0"/>
              <w:ind w:left="0" w:right="0" w:hanging="0"/>
              <w:rPr/>
            </w:pPr>
            <w:r>
              <w:rPr/>
              <w:t>​</w:t>
            </w:r>
          </w:p>
        </w:tc>
        <w:tc>
          <w:tcPr>
            <w:tcW w:w="26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34" w:type="dxa"/>
            <w:tcBorders/>
            <w:shd w:fill="CCEEFF" w:val="clear"/>
            <w:vAlign w:val="center"/>
          </w:tcPr>
          <w:p>
            <w:pPr>
              <w:pStyle w:val="TableContents"/>
              <w:spacing w:before="0" w:after="0"/>
              <w:ind w:left="0" w:right="0" w:hanging="0"/>
              <w:rPr/>
            </w:pPr>
            <w:r>
              <w:rPr/>
              <w:t>​</w:t>
            </w:r>
          </w:p>
        </w:tc>
        <w:tc>
          <w:tcPr>
            <w:tcW w:w="26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spacing w:before="0" w:after="0"/>
              <w:ind w:left="0" w:right="70" w:hanging="0"/>
              <w:jc w:val="right"/>
              <w:rPr/>
            </w:pPr>
            <w:r>
              <w:rPr/>
              <w:t>—</w:t>
            </w:r>
          </w:p>
        </w:tc>
      </w:tr>
    </w:tbl>
    <w:p>
      <w:pPr>
        <w:pStyle w:val="TextBody"/>
        <w:spacing w:before="0" w:after="0"/>
        <w:ind w:left="0" w:right="0" w:firstLine="72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757" w:name="Tc_Exz7juZ5qE-D-sSdr4gdag_11_5"/>
      <w:bookmarkStart w:id="758" w:name="Tc_Ykf5eiqxuU-py1ghjLlUZA_11_2"/>
      <w:bookmarkStart w:id="759" w:name="Tc_GYXOO5AaGUyxDetlwba0QA_11_0"/>
      <w:bookmarkStart w:id="760" w:name="Tc_z6rwo4Q8_UyovECHxSq7Dw_10_5"/>
      <w:bookmarkStart w:id="761" w:name="Tc_8Ni-8I6KPUSLpG2EonAG2g_10_2"/>
      <w:bookmarkStart w:id="762" w:name="Tc_8QV4wyXtUEGwLeh3ESuEnQ_10_0"/>
      <w:bookmarkStart w:id="763" w:name="Tc_2NiSEgOGv0qG3Ny2kJE3og_9_0"/>
      <w:bookmarkStart w:id="764" w:name="Tc_NPjfRpowAEatQADzHhGvDg_8_0"/>
      <w:bookmarkStart w:id="765" w:name="Tc_ak8TnpO4_k2jj6L06Veg-A_7_0"/>
      <w:bookmarkStart w:id="766" w:name="Tc__7bAvYFY-EiiCsKcCUQkcQ_6_0"/>
      <w:bookmarkStart w:id="767" w:name="Tc_4PO12fxMdEuPYiUJGwqoJQ_5_5"/>
      <w:bookmarkStart w:id="768" w:name="Tc__gQdEl7pH0iJkMv8XHzKCQ_5_2"/>
      <w:bookmarkStart w:id="769" w:name="Tc_oE5OvU6-R0yj_LqUSpba3g_5_0"/>
      <w:bookmarkStart w:id="770" w:name="Tc_3vmAFVdhbUi-cekJ6RFmnA_4_2"/>
      <w:bookmarkStart w:id="771" w:name="Tc_x7mbuAdEYEyyXJSeic32ng_3_5"/>
      <w:bookmarkStart w:id="772" w:name="Tc_N3xMeXFHjUuTIevbMmM0yg_3_2"/>
      <w:bookmarkStart w:id="773" w:name="Tc_GZKHYZ_520C_kqP40A4Yrg_2_2"/>
      <w:bookmarkStart w:id="774" w:name="Tc_IgI8ufnFm0qkp5ieusup-w_1_2"/>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r>
        <w:rPr>
          <w:rFonts w:ascii="Times New Roman;Times;serif" w:hAnsi="Times New Roman;Times;serif"/>
          <w:b/>
          <w:sz w:val="20"/>
        </w:rPr>
        <w:t>Note 6.  Computation of Net Earnings per Share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Basic earnings per share is computed by dividing income available to common stockholders (the numerator) by the weighted-average number of shares of common stock outstanding (the denominator) for the period. The computation of diluted earnings per share is similar to basic earnings per share, except that the denominator is increased by the number of additional shares of common stock that would have been outstanding if the potentially dilutive shares of common stock issuable on exercise of stock options and vesting of RSUs had been issued, calculated using the treasury stock method. </w:t>
      </w:r>
    </w:p>
    <w:p>
      <w:pPr>
        <w:pStyle w:val="TextBody"/>
        <w:spacing w:before="0" w:after="0"/>
        <w:ind w:left="0" w:right="0" w:firstLine="547"/>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components of net earnings per share are as follows:</w:t>
      </w:r>
    </w:p>
    <w:p>
      <w:pPr>
        <w:pStyle w:val="TextBody"/>
        <w:spacing w:before="0" w:after="0"/>
        <w:ind w:left="0" w:right="0" w:firstLine="720"/>
        <w:rPr/>
      </w:pPr>
      <w:r>
        <w:rPr/>
        <w:t>​</w:t>
      </w:r>
    </w:p>
    <w:tbl>
      <w:tblPr>
        <w:tblW w:w="10205" w:type="dxa"/>
        <w:jc w:val="left"/>
        <w:tblInd w:w="0" w:type="dxa"/>
        <w:tblCellMar>
          <w:top w:w="0" w:type="dxa"/>
          <w:left w:w="0" w:type="dxa"/>
          <w:bottom w:w="0" w:type="dxa"/>
          <w:right w:w="0" w:type="dxa"/>
        </w:tblCellMar>
      </w:tblPr>
      <w:tblGrid>
        <w:gridCol w:w="6504"/>
        <w:gridCol w:w="326"/>
        <w:gridCol w:w="306"/>
        <w:gridCol w:w="940"/>
        <w:gridCol w:w="509"/>
        <w:gridCol w:w="306"/>
        <w:gridCol w:w="940"/>
        <w:gridCol w:w="374"/>
      </w:tblGrid>
      <w:tr>
        <w:trPr/>
        <w:tc>
          <w:tcPr>
            <w:tcW w:w="65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130040" cy="175260"/>
                      <wp:effectExtent l="0" t="0" r="0" b="0"/>
                      <wp:wrapNone/>
                      <wp:docPr id="140" name="Frame140"/>
                      <a:graphic xmlns:a="http://schemas.openxmlformats.org/drawingml/2006/main">
                        <a:graphicData uri="http://schemas.microsoft.com/office/word/2010/wordprocessingShape">
                          <wps:wsp>
                            <wps:cNvSpPr txBox="1"/>
                            <wps:spPr>
                              <a:xfrm>
                                <a:off x="0" y="0"/>
                                <a:ext cx="41300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94310" cy="175260"/>
                      <wp:effectExtent l="0" t="0" r="0" b="0"/>
                      <wp:wrapNone/>
                      <wp:docPr id="142" name="Frame142"/>
                      <a:graphic xmlns:a="http://schemas.openxmlformats.org/drawingml/2006/main">
                        <a:graphicData uri="http://schemas.microsoft.com/office/word/2010/wordprocessingShape">
                          <wps:wsp>
                            <wps:cNvSpPr txBox="1"/>
                            <wps:spPr>
                              <a:xfrm>
                                <a:off x="0" y="0"/>
                                <a:ext cx="194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96900" cy="175260"/>
                      <wp:effectExtent l="0" t="0" r="0" b="0"/>
                      <wp:wrapNone/>
                      <wp:docPr id="143" name="Frame143"/>
                      <a:graphic xmlns:a="http://schemas.openxmlformats.org/drawingml/2006/main">
                        <a:graphicData uri="http://schemas.microsoft.com/office/word/2010/wordprocessingShape">
                          <wps:wsp>
                            <wps:cNvSpPr txBox="1"/>
                            <wps:spPr>
                              <a:xfrm>
                                <a:off x="0" y="0"/>
                                <a:ext cx="596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23215" cy="175260"/>
                      <wp:effectExtent l="0" t="0" r="0" b="0"/>
                      <wp:wrapNone/>
                      <wp:docPr id="144" name="Frame144"/>
                      <a:graphic xmlns:a="http://schemas.openxmlformats.org/drawingml/2006/main">
                        <a:graphicData uri="http://schemas.microsoft.com/office/word/2010/wordprocessingShape">
                          <wps:wsp>
                            <wps:cNvSpPr txBox="1"/>
                            <wps:spPr>
                              <a:xfrm>
                                <a:off x="0" y="0"/>
                                <a:ext cx="323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94310" cy="175260"/>
                      <wp:effectExtent l="0" t="0" r="0" b="0"/>
                      <wp:wrapNone/>
                      <wp:docPr id="145" name="Frame145"/>
                      <a:graphic xmlns:a="http://schemas.openxmlformats.org/drawingml/2006/main">
                        <a:graphicData uri="http://schemas.microsoft.com/office/word/2010/wordprocessingShape">
                          <wps:wsp>
                            <wps:cNvSpPr txBox="1"/>
                            <wps:spPr>
                              <a:xfrm>
                                <a:off x="0" y="0"/>
                                <a:ext cx="194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96900" cy="175260"/>
                      <wp:effectExtent l="0" t="0" r="0" b="0"/>
                      <wp:wrapNone/>
                      <wp:docPr id="146" name="Frame146"/>
                      <a:graphic xmlns:a="http://schemas.openxmlformats.org/drawingml/2006/main">
                        <a:graphicData uri="http://schemas.microsoft.com/office/word/2010/wordprocessingShape">
                          <wps:wsp>
                            <wps:cNvSpPr txBox="1"/>
                            <wps:spPr>
                              <a:xfrm>
                                <a:off x="0" y="0"/>
                                <a:ext cx="596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37490" cy="175260"/>
                      <wp:effectExtent l="0" t="0" r="0" b="0"/>
                      <wp:wrapNone/>
                      <wp:docPr id="147" name="Frame147"/>
                      <a:graphic xmlns:a="http://schemas.openxmlformats.org/drawingml/2006/main">
                        <a:graphicData uri="http://schemas.microsoft.com/office/word/2010/wordprocessingShape">
                          <wps:wsp>
                            <wps:cNvSpPr txBox="1"/>
                            <wps:spPr>
                              <a:xfrm>
                                <a:off x="0" y="0"/>
                                <a:ext cx="2374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5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0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4" w:type="dxa"/>
            <w:tcBorders/>
            <w:shd w:fill="auto" w:val="clear"/>
            <w:vAlign w:val="center"/>
          </w:tcPr>
          <w:p>
            <w:pPr>
              <w:pStyle w:val="TableContents"/>
              <w:spacing w:before="0" w:after="0"/>
              <w:ind w:left="0" w:right="0" w:hanging="0"/>
              <w:jc w:val="center"/>
              <w:rPr/>
            </w:pPr>
            <w:r>
              <w:rPr/>
              <w:t>​</w:t>
            </w:r>
          </w:p>
        </w:tc>
      </w:tr>
      <w:tr>
        <w:trPr/>
        <w:tc>
          <w:tcPr>
            <w:tcW w:w="65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0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74" w:type="dxa"/>
            <w:tcBorders/>
            <w:shd w:fill="auto" w:val="clear"/>
            <w:vAlign w:val="center"/>
          </w:tcPr>
          <w:p>
            <w:pPr>
              <w:pStyle w:val="TableContents"/>
              <w:spacing w:before="0" w:after="0"/>
              <w:ind w:left="0" w:right="0" w:hanging="0"/>
              <w:jc w:val="center"/>
              <w:rPr/>
            </w:pPr>
            <w:r>
              <w:rPr/>
              <w:t>​</w:t>
            </w:r>
          </w:p>
        </w:tc>
      </w:tr>
      <w:tr>
        <w:trPr/>
        <w:tc>
          <w:tcPr>
            <w:tcW w:w="65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09" w:type="dxa"/>
            <w:tcBorders/>
            <w:shd w:fill="auto" w:val="clear"/>
            <w:vAlign w:val="center"/>
          </w:tcPr>
          <w:p>
            <w:pPr>
              <w:pStyle w:val="TableContents"/>
              <w:spacing w:before="0" w:after="0"/>
              <w:ind w:left="0" w:right="0" w:hanging="0"/>
              <w:jc w:val="center"/>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4" w:type="dxa"/>
            <w:tcBorders/>
            <w:shd w:fill="auto" w:val="clear"/>
            <w:vAlign w:val="center"/>
          </w:tcPr>
          <w:p>
            <w:pPr>
              <w:pStyle w:val="TableContents"/>
              <w:spacing w:before="0" w:after="0"/>
              <w:ind w:left="0" w:right="0" w:hanging="0"/>
              <w:jc w:val="center"/>
              <w:rPr/>
            </w:pPr>
            <w:r>
              <w:rPr/>
              <w:t>    </w:t>
            </w:r>
          </w:p>
        </w:tc>
      </w:tr>
      <w:tr>
        <w:trPr/>
        <w:tc>
          <w:tcPr>
            <w:tcW w:w="10205"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65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0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(in thousands, except per share amounts) </w:t>
            </w:r>
          </w:p>
        </w:tc>
        <w:tc>
          <w:tcPr>
            <w:tcW w:w="374" w:type="dxa"/>
            <w:tcBorders/>
            <w:shd w:fill="auto" w:val="clear"/>
            <w:vAlign w:val="center"/>
          </w:tcPr>
          <w:p>
            <w:pPr>
              <w:pStyle w:val="TableContents"/>
              <w:spacing w:before="0" w:after="0"/>
              <w:ind w:left="0" w:right="0" w:hanging="0"/>
              <w:jc w:val="center"/>
              <w:rPr/>
            </w:pPr>
            <w:r>
              <w:rPr/>
              <w:t>​</w:t>
            </w:r>
          </w:p>
        </w:tc>
      </w:tr>
      <w:tr>
        <w:trPr/>
        <w:tc>
          <w:tcPr>
            <w:tcW w:w="650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income available to common stockholders</w:t>
            </w:r>
          </w:p>
        </w:tc>
        <w:tc>
          <w:tcPr>
            <w:tcW w:w="326" w:type="dxa"/>
            <w:tcBorders/>
            <w:shd w:fill="CCEEFF" w:val="clear"/>
            <w:vAlign w:val="center"/>
          </w:tcPr>
          <w:p>
            <w:pPr>
              <w:pStyle w:val="TableContents"/>
              <w:spacing w:before="0" w:after="0"/>
              <w:ind w:left="0" w:right="0" w:hanging="0"/>
              <w:rPr/>
            </w:pPr>
            <w:r>
              <w:rPr/>
              <w:t>​</w:t>
            </w:r>
          </w:p>
        </w:tc>
        <w:tc>
          <w:tcPr>
            <w:tcW w:w="30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47,697</w:t>
            </w:r>
          </w:p>
        </w:tc>
        <w:tc>
          <w:tcPr>
            <w:tcW w:w="509" w:type="dxa"/>
            <w:tcBorders/>
            <w:shd w:fill="CCEEFF" w:val="clear"/>
            <w:vAlign w:val="center"/>
          </w:tcPr>
          <w:p>
            <w:pPr>
              <w:pStyle w:val="TableContents"/>
              <w:spacing w:before="0" w:after="0"/>
              <w:ind w:left="0" w:right="0" w:hanging="0"/>
              <w:rPr/>
            </w:pPr>
            <w:r>
              <w:rPr/>
              <w:t>​</w:t>
            </w:r>
          </w:p>
        </w:tc>
        <w:tc>
          <w:tcPr>
            <w:tcW w:w="30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41,614</w:t>
            </w:r>
          </w:p>
        </w:tc>
        <w:tc>
          <w:tcPr>
            <w:tcW w:w="374" w:type="dxa"/>
            <w:tcBorders/>
            <w:shd w:fill="CCEEFF" w:val="clear"/>
            <w:vAlign w:val="center"/>
          </w:tcPr>
          <w:p>
            <w:pPr>
              <w:pStyle w:val="TableContents"/>
              <w:spacing w:before="0" w:after="0"/>
              <w:ind w:left="0" w:right="0" w:hanging="0"/>
              <w:rPr/>
            </w:pPr>
            <w:r>
              <w:rPr/>
              <w:t>​</w:t>
            </w:r>
          </w:p>
        </w:tc>
      </w:tr>
      <w:tr>
        <w:trPr/>
        <w:tc>
          <w:tcPr>
            <w:tcW w:w="650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Weighted average shares of common stock outstanding used in computing basic income per share</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jc w:val="right"/>
              <w:rPr/>
            </w:pPr>
            <w:r>
              <w:rPr/>
              <w:t> </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32,744</w:t>
            </w:r>
          </w:p>
        </w:tc>
        <w:tc>
          <w:tcPr>
            <w:tcW w:w="509"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jc w:val="right"/>
              <w:rPr/>
            </w:pPr>
            <w:r>
              <w:rPr/>
              <w:t> </w:t>
            </w:r>
          </w:p>
        </w:tc>
        <w:tc>
          <w:tcPr>
            <w:tcW w:w="94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33,245</w:t>
            </w:r>
          </w:p>
        </w:tc>
        <w:tc>
          <w:tcPr>
            <w:tcW w:w="374" w:type="dxa"/>
            <w:tcBorders/>
            <w:shd w:fill="auto" w:val="clear"/>
            <w:vAlign w:val="center"/>
          </w:tcPr>
          <w:p>
            <w:pPr>
              <w:pStyle w:val="TableContents"/>
              <w:spacing w:before="0" w:after="0"/>
              <w:ind w:left="0" w:right="0" w:hanging="0"/>
              <w:rPr/>
            </w:pPr>
            <w:r>
              <w:rPr/>
              <w:t>​</w:t>
            </w:r>
          </w:p>
        </w:tc>
      </w:tr>
      <w:tr>
        <w:trPr/>
        <w:tc>
          <w:tcPr>
            <w:tcW w:w="650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Incremental options and RSUs</w:t>
            </w:r>
          </w:p>
        </w:tc>
        <w:tc>
          <w:tcPr>
            <w:tcW w:w="326" w:type="dxa"/>
            <w:tcBorders/>
            <w:shd w:fill="CCEEFF" w:val="clear"/>
            <w:vAlign w:val="center"/>
          </w:tcPr>
          <w:p>
            <w:pPr>
              <w:pStyle w:val="TableContents"/>
              <w:spacing w:before="0" w:after="0"/>
              <w:ind w:left="0" w:right="0" w:hanging="0"/>
              <w:rPr/>
            </w:pPr>
            <w:r>
              <w:rPr/>
              <w:t>​</w:t>
            </w:r>
          </w:p>
        </w:tc>
        <w:tc>
          <w:tcPr>
            <w:tcW w:w="3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549</w:t>
            </w:r>
          </w:p>
        </w:tc>
        <w:tc>
          <w:tcPr>
            <w:tcW w:w="509" w:type="dxa"/>
            <w:tcBorders/>
            <w:shd w:fill="CCEEFF" w:val="clear"/>
            <w:vAlign w:val="center"/>
          </w:tcPr>
          <w:p>
            <w:pPr>
              <w:pStyle w:val="TableContents"/>
              <w:spacing w:before="0" w:after="0"/>
              <w:ind w:left="0" w:right="0" w:hanging="0"/>
              <w:rPr/>
            </w:pPr>
            <w:r>
              <w:rPr/>
              <w:t>​</w:t>
            </w:r>
          </w:p>
        </w:tc>
        <w:tc>
          <w:tcPr>
            <w:tcW w:w="3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9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729</w:t>
            </w:r>
          </w:p>
        </w:tc>
        <w:tc>
          <w:tcPr>
            <w:tcW w:w="374" w:type="dxa"/>
            <w:tcBorders/>
            <w:shd w:fill="CCEEFF" w:val="clear"/>
            <w:vAlign w:val="center"/>
          </w:tcPr>
          <w:p>
            <w:pPr>
              <w:pStyle w:val="TableContents"/>
              <w:spacing w:before="0" w:after="0"/>
              <w:ind w:left="0" w:right="0" w:hanging="0"/>
              <w:rPr/>
            </w:pPr>
            <w:r>
              <w:rPr/>
              <w:t>​</w:t>
            </w:r>
          </w:p>
        </w:tc>
      </w:tr>
      <w:tr>
        <w:trPr/>
        <w:tc>
          <w:tcPr>
            <w:tcW w:w="650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Weighted average shares of common stock used in computing diluted net income per share</w:t>
            </w:r>
          </w:p>
        </w:tc>
        <w:tc>
          <w:tcPr>
            <w:tcW w:w="326" w:type="dxa"/>
            <w:tcBorders/>
            <w:shd w:fill="auto" w:val="clear"/>
            <w:vAlign w:val="center"/>
          </w:tcPr>
          <w:p>
            <w:pPr>
              <w:pStyle w:val="TableContents"/>
              <w:spacing w:before="0" w:after="0"/>
              <w:ind w:left="0" w:right="0" w:hanging="0"/>
              <w:rPr/>
            </w:pPr>
            <w:r>
              <w:rPr/>
              <w:t>​</w:t>
            </w:r>
          </w:p>
        </w:tc>
        <w:tc>
          <w:tcPr>
            <w:tcW w:w="30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 </w:t>
            </w:r>
          </w:p>
        </w:tc>
        <w:tc>
          <w:tcPr>
            <w:tcW w:w="9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33,293</w:t>
            </w:r>
          </w:p>
        </w:tc>
        <w:tc>
          <w:tcPr>
            <w:tcW w:w="509" w:type="dxa"/>
            <w:tcBorders/>
            <w:shd w:fill="auto" w:val="clear"/>
            <w:vAlign w:val="center"/>
          </w:tcPr>
          <w:p>
            <w:pPr>
              <w:pStyle w:val="TableContents"/>
              <w:spacing w:before="0" w:after="0"/>
              <w:ind w:left="0" w:right="0" w:hanging="0"/>
              <w:rPr/>
            </w:pPr>
            <w:r>
              <w:rPr/>
              <w:t>​</w:t>
            </w:r>
          </w:p>
        </w:tc>
        <w:tc>
          <w:tcPr>
            <w:tcW w:w="30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 </w:t>
            </w:r>
          </w:p>
        </w:tc>
        <w:tc>
          <w:tcPr>
            <w:tcW w:w="9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33,974</w:t>
            </w:r>
          </w:p>
        </w:tc>
        <w:tc>
          <w:tcPr>
            <w:tcW w:w="374" w:type="dxa"/>
            <w:tcBorders/>
            <w:shd w:fill="auto" w:val="clear"/>
            <w:vAlign w:val="center"/>
          </w:tcPr>
          <w:p>
            <w:pPr>
              <w:pStyle w:val="TableContents"/>
              <w:spacing w:before="0" w:after="0"/>
              <w:ind w:left="0" w:right="0" w:hanging="0"/>
              <w:rPr/>
            </w:pPr>
            <w:r>
              <w:rPr/>
              <w:t>​</w:t>
            </w:r>
          </w:p>
        </w:tc>
      </w:tr>
      <w:tr>
        <w:trPr/>
        <w:tc>
          <w:tcPr>
            <w:tcW w:w="650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income per share</w:t>
            </w:r>
          </w:p>
        </w:tc>
        <w:tc>
          <w:tcPr>
            <w:tcW w:w="326" w:type="dxa"/>
            <w:tcBorders/>
            <w:shd w:fill="CCEEFF" w:val="clear"/>
            <w:vAlign w:val="center"/>
          </w:tcPr>
          <w:p>
            <w:pPr>
              <w:pStyle w:val="TableContents"/>
              <w:spacing w:before="0" w:after="0"/>
              <w:ind w:left="0" w:right="0" w:hanging="0"/>
              <w:rPr/>
            </w:pPr>
            <w:r>
              <w:rPr/>
              <w:t>​</w:t>
            </w:r>
          </w:p>
        </w:tc>
        <w:tc>
          <w:tcPr>
            <w:tcW w:w="30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rPr/>
            </w:pPr>
            <w:r>
              <w:rPr/>
              <w:t>​</w:t>
            </w:r>
          </w:p>
        </w:tc>
        <w:tc>
          <w:tcPr>
            <w:tcW w:w="509" w:type="dxa"/>
            <w:tcBorders/>
            <w:shd w:fill="CCEEFF" w:val="clear"/>
            <w:vAlign w:val="center"/>
          </w:tcPr>
          <w:p>
            <w:pPr>
              <w:pStyle w:val="TableContents"/>
              <w:spacing w:before="0" w:after="0"/>
              <w:ind w:left="0" w:right="0" w:hanging="0"/>
              <w:rPr/>
            </w:pPr>
            <w:r>
              <w:rPr/>
              <w:t>​</w:t>
            </w:r>
          </w:p>
        </w:tc>
        <w:tc>
          <w:tcPr>
            <w:tcW w:w="306" w:type="dxa"/>
            <w:tcBorders/>
            <w:shd w:fill="CCEEFF" w:val="clear"/>
            <w:vAlign w:val="center"/>
          </w:tcPr>
          <w:p>
            <w:pPr>
              <w:pStyle w:val="TableContents"/>
              <w:spacing w:before="0" w:after="0"/>
              <w:ind w:left="0" w:right="0" w:hanging="0"/>
              <w:rPr/>
            </w:pPr>
            <w:r>
              <w:rPr/>
              <w:t>​</w:t>
            </w:r>
          </w:p>
        </w:tc>
        <w:tc>
          <w:tcPr>
            <w:tcW w:w="940" w:type="dxa"/>
            <w:tcBorders/>
            <w:shd w:fill="CCEEFF" w:val="clear"/>
            <w:vAlign w:val="center"/>
          </w:tcPr>
          <w:p>
            <w:pPr>
              <w:pStyle w:val="TableContents"/>
              <w:spacing w:before="0" w:after="0"/>
              <w:ind w:left="0" w:right="0" w:hanging="0"/>
              <w:rPr/>
            </w:pPr>
            <w:r>
              <w:rPr/>
              <w:t>​</w:t>
            </w:r>
          </w:p>
        </w:tc>
        <w:tc>
          <w:tcPr>
            <w:tcW w:w="374" w:type="dxa"/>
            <w:tcBorders/>
            <w:shd w:fill="CCEEFF" w:val="clear"/>
            <w:vAlign w:val="center"/>
          </w:tcPr>
          <w:p>
            <w:pPr>
              <w:pStyle w:val="TableContents"/>
              <w:spacing w:before="0" w:after="0"/>
              <w:ind w:left="0" w:right="0" w:hanging="0"/>
              <w:rPr/>
            </w:pPr>
            <w:r>
              <w:rPr/>
              <w:t>​</w:t>
            </w:r>
          </w:p>
        </w:tc>
      </w:tr>
      <w:tr>
        <w:trPr/>
        <w:tc>
          <w:tcPr>
            <w:tcW w:w="650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Basic</w:t>
            </w:r>
          </w:p>
        </w:tc>
        <w:tc>
          <w:tcPr>
            <w:tcW w:w="326" w:type="dxa"/>
            <w:tcBorders/>
            <w:shd w:fill="auto" w:val="clear"/>
            <w:vAlign w:val="center"/>
          </w:tcPr>
          <w:p>
            <w:pPr>
              <w:pStyle w:val="TableContents"/>
              <w:spacing w:before="0" w:after="0"/>
              <w:ind w:left="0" w:right="0" w:hanging="0"/>
              <w:rPr/>
            </w:pPr>
            <w:r>
              <w:rPr/>
              <w:t>​</w:t>
            </w:r>
          </w:p>
        </w:tc>
        <w:tc>
          <w:tcPr>
            <w:tcW w:w="30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1.46</w:t>
            </w:r>
          </w:p>
        </w:tc>
        <w:tc>
          <w:tcPr>
            <w:tcW w:w="509" w:type="dxa"/>
            <w:tcBorders/>
            <w:shd w:fill="auto" w:val="clear"/>
            <w:vAlign w:val="center"/>
          </w:tcPr>
          <w:p>
            <w:pPr>
              <w:pStyle w:val="TableContents"/>
              <w:spacing w:before="0" w:after="0"/>
              <w:ind w:left="0" w:right="0" w:hanging="0"/>
              <w:rPr/>
            </w:pPr>
            <w:r>
              <w:rPr/>
              <w:t>​</w:t>
            </w:r>
          </w:p>
        </w:tc>
        <w:tc>
          <w:tcPr>
            <w:tcW w:w="30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374" w:type="dxa"/>
            <w:tcBorders/>
            <w:shd w:fill="auto" w:val="clear"/>
            <w:vAlign w:val="center"/>
          </w:tcPr>
          <w:p>
            <w:pPr>
              <w:pStyle w:val="TableContents"/>
              <w:spacing w:before="0" w:after="0"/>
              <w:ind w:left="0" w:right="0" w:hanging="0"/>
              <w:rPr/>
            </w:pPr>
            <w:r>
              <w:rPr/>
              <w:t>​</w:t>
            </w:r>
          </w:p>
        </w:tc>
      </w:tr>
      <w:tr>
        <w:trPr/>
        <w:tc>
          <w:tcPr>
            <w:tcW w:w="650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spacing w:before="0" w:after="0"/>
              <w:ind w:left="0" w:right="0" w:hanging="0"/>
              <w:rPr/>
            </w:pPr>
            <w:r>
              <w:rPr/>
              <w:t>​</w:t>
            </w:r>
          </w:p>
        </w:tc>
        <w:tc>
          <w:tcPr>
            <w:tcW w:w="30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c>
          <w:tcPr>
            <w:tcW w:w="509" w:type="dxa"/>
            <w:tcBorders/>
            <w:shd w:fill="CCEEFF" w:val="clear"/>
            <w:vAlign w:val="center"/>
          </w:tcPr>
          <w:p>
            <w:pPr>
              <w:pStyle w:val="TableContents"/>
              <w:spacing w:before="0" w:after="0"/>
              <w:ind w:left="0" w:right="0" w:hanging="0"/>
              <w:rPr/>
            </w:pPr>
            <w:r>
              <w:rPr/>
              <w:t>​</w:t>
            </w:r>
          </w:p>
        </w:tc>
        <w:tc>
          <w:tcPr>
            <w:tcW w:w="30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7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Diluted weighted average shares of common stock outstanding does not include 1,120 and 4,706 common equivalent shares issuable with respect to outstanding equity awards for the three-month periods ended March 31, 2023 and 2022, respectively, as their effect would have been anti-dilutive.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540"/>
        <w:rPr/>
      </w:pPr>
      <w:r>
        <w:rPr/>
        <w:t>​</w:t>
      </w:r>
    </w:p>
    <w:p>
      <w:pPr>
        <w:pStyle w:val="TextBody"/>
        <w:pBdr/>
        <w:spacing w:before="0" w:after="0"/>
        <w:ind w:left="0" w:right="0" w:hanging="720"/>
        <w:rPr>
          <w:rFonts w:ascii="Times New Roman;Times;serif" w:hAnsi="Times New Roman;Times;serif"/>
          <w:b/>
          <w:sz w:val="20"/>
        </w:rPr>
      </w:pPr>
      <w:bookmarkStart w:id="775" w:name="Tc_KhnW4NqYjkuXljnz8USPwg_6_8"/>
      <w:bookmarkStart w:id="776" w:name="Tc_ST6xtRs59kWZ490oJWnzPg_6_5"/>
      <w:bookmarkStart w:id="777" w:name="Tc_8ZDiuVyukU6JtkrD8x0eLw_6_2"/>
      <w:bookmarkStart w:id="778" w:name="Tc_kBjYrwN-0kqJnBlrDpAX3w_6_0"/>
      <w:bookmarkStart w:id="779" w:name="Tc_GZyMT9a3fEGGuuKOiKbsdg_5_6"/>
      <w:bookmarkStart w:id="780" w:name="Tc_67SVQsWsBUmG9YddiE7jng_5_0"/>
      <w:bookmarkStart w:id="781" w:name="Tc_I-YN_YyZV0GGvXUnRAMZFw_4_8"/>
      <w:bookmarkStart w:id="782" w:name="Tc_PCqQqRXwm0qZocC1VPiBvg_4_5"/>
      <w:bookmarkStart w:id="783" w:name="Tc_OzyAYFcGD0q7DvQPuPQQlw_4_2"/>
      <w:bookmarkStart w:id="784" w:name="Tc_4nl8B5gl_Ua5MHIT3x1HJQ_4_0"/>
      <w:bookmarkStart w:id="785" w:name="Tc_0WJu9w_pOEaXvDxFyE1Ewg_3_2"/>
      <w:bookmarkStart w:id="786" w:name="Tc_RWh2Wc_77U-54X_pCsswpg_2_8"/>
      <w:bookmarkStart w:id="787" w:name="Tc_7yGevrCNbUC85mhK7jG5kw_2_5"/>
      <w:bookmarkStart w:id="788" w:name="Tc_NlWaA56aekG41L1Zhr0OFg_2_2"/>
      <w:bookmarkStart w:id="789" w:name="Tc_OU2sdpPrIUKK9Yi8sZGR_Q_1_5"/>
      <w:bookmarkStart w:id="790" w:name="Tc_eHf5xjHIakyhhYDXRpHN3A_1_2"/>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r>
        <w:rPr>
          <w:rFonts w:ascii="Times New Roman;Times;serif" w:hAnsi="Times New Roman;Times;serif"/>
          <w:b/>
          <w:sz w:val="20"/>
        </w:rPr>
        <w:t xml:space="preserve">Note 7.  Accumulated Other Comprehensive Loss </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the changes in accumulated other comprehensive (loss) income, net of tax, by component, for the three months ended March 31, 2023:</w:t>
      </w:r>
    </w:p>
    <w:p>
      <w:pPr>
        <w:pStyle w:val="TextBody"/>
        <w:spacing w:before="0" w:after="0"/>
        <w:ind w:left="0" w:right="0" w:firstLine="720"/>
        <w:rPr/>
      </w:pPr>
      <w:r>
        <w:rPr/>
        <w:t>​</w:t>
      </w:r>
    </w:p>
    <w:tbl>
      <w:tblPr>
        <w:tblW w:w="8210" w:type="dxa"/>
        <w:jc w:val="left"/>
        <w:tblInd w:w="0" w:type="dxa"/>
        <w:tblCellMar>
          <w:top w:w="0" w:type="dxa"/>
          <w:left w:w="0" w:type="dxa"/>
          <w:bottom w:w="0" w:type="dxa"/>
          <w:right w:w="0" w:type="dxa"/>
        </w:tblCellMar>
      </w:tblPr>
      <w:tblGrid>
        <w:gridCol w:w="4186"/>
        <w:gridCol w:w="326"/>
        <w:gridCol w:w="196"/>
        <w:gridCol w:w="631"/>
        <w:gridCol w:w="326"/>
        <w:gridCol w:w="434"/>
        <w:gridCol w:w="767"/>
        <w:gridCol w:w="326"/>
        <w:gridCol w:w="196"/>
        <w:gridCol w:w="631"/>
        <w:gridCol w:w="191"/>
      </w:tblGrid>
      <w:tr>
        <w:trPr/>
        <w:tc>
          <w:tcPr>
            <w:tcW w:w="4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658110" cy="175260"/>
                      <wp:effectExtent l="0" t="0" r="0" b="0"/>
                      <wp:wrapNone/>
                      <wp:docPr id="148" name="Frame148"/>
                      <a:graphic xmlns:a="http://schemas.openxmlformats.org/drawingml/2006/main">
                        <a:graphicData uri="http://schemas.microsoft.com/office/word/2010/wordprocessingShape">
                          <wps:wsp>
                            <wps:cNvSpPr txBox="1"/>
                            <wps:spPr>
                              <a:xfrm>
                                <a:off x="0" y="0"/>
                                <a:ext cx="2658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460" cy="175260"/>
                      <wp:effectExtent l="0" t="0" r="0" b="0"/>
                      <wp:wrapNone/>
                      <wp:docPr id="150" name="Frame15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00685" cy="175260"/>
                      <wp:effectExtent l="0" t="0" r="0" b="0"/>
                      <wp:wrapNone/>
                      <wp:docPr id="151" name="Frame151"/>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75590" cy="175260"/>
                      <wp:effectExtent l="0" t="0" r="0" b="0"/>
                      <wp:wrapNone/>
                      <wp:docPr id="153" name="Frame153"/>
                      <a:graphic xmlns:a="http://schemas.openxmlformats.org/drawingml/2006/main">
                        <a:graphicData uri="http://schemas.microsoft.com/office/word/2010/wordprocessingShape">
                          <wps:wsp>
                            <wps:cNvSpPr txBox="1"/>
                            <wps:spPr>
                              <a:xfrm>
                                <a:off x="0" y="0"/>
                                <a:ext cx="275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87045" cy="175260"/>
                      <wp:effectExtent l="0" t="0" r="0" b="0"/>
                      <wp:wrapNone/>
                      <wp:docPr id="154" name="Frame154"/>
                      <a:graphic xmlns:a="http://schemas.openxmlformats.org/drawingml/2006/main">
                        <a:graphicData uri="http://schemas.microsoft.com/office/word/2010/wordprocessingShape">
                          <wps:wsp>
                            <wps:cNvSpPr txBox="1"/>
                            <wps:spPr>
                              <a:xfrm>
                                <a:off x="0" y="0"/>
                                <a:ext cx="4870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56" name="Frame15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00685" cy="175260"/>
                      <wp:effectExtent l="0" t="0" r="0" b="0"/>
                      <wp:wrapNone/>
                      <wp:docPr id="157" name="Frame157"/>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1285" cy="175260"/>
                      <wp:effectExtent l="0" t="0" r="0" b="0"/>
                      <wp:wrapNone/>
                      <wp:docPr id="158" name="Frame158"/>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2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shd w:fill="auto" w:val="clear"/>
            <w:vAlign w:val="center"/>
          </w:tcPr>
          <w:p>
            <w:pPr>
              <w:pStyle w:val="TableContents"/>
              <w:spacing w:before="0" w:after="0"/>
              <w:ind w:left="0" w:right="0" w:hanging="0"/>
              <w:jc w:val="center"/>
              <w:rPr/>
            </w:pPr>
            <w:r>
              <w:rPr/>
              <w:t>    </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Defined benefit</w:t>
            </w:r>
          </w:p>
        </w:tc>
        <w:tc>
          <w:tcPr>
            <w:tcW w:w="32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191" w:type="dxa"/>
            <w:tcBorders/>
            <w:shd w:fill="auto" w:val="clear"/>
            <w:vAlign w:val="center"/>
          </w:tcPr>
          <w:p>
            <w:pPr>
              <w:pStyle w:val="TableContents"/>
              <w:spacing w:before="0" w:after="0"/>
              <w:ind w:left="0" w:right="0" w:hanging="0"/>
              <w:jc w:val="center"/>
              <w:rPr/>
            </w:pPr>
            <w:r>
              <w:rPr/>
              <w:t> </w:t>
            </w:r>
          </w:p>
        </w:tc>
      </w:tr>
      <w:tr>
        <w:trPr/>
        <w:tc>
          <w:tcPr>
            <w:tcW w:w="4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26" w:type="dxa"/>
            <w:tcBorders/>
            <w:shd w:fill="auto" w:val="clear"/>
            <w:vAlign w:val="center"/>
          </w:tcPr>
          <w:p>
            <w:pPr>
              <w:pStyle w:val="TableContents"/>
              <w:spacing w:before="0" w:after="0"/>
              <w:ind w:left="0" w:right="0" w:hanging="0"/>
              <w:jc w:val="center"/>
              <w:rPr/>
            </w:pPr>
            <w:r>
              <w:rPr/>
              <w:t>​</w:t>
            </w:r>
          </w:p>
        </w:tc>
        <w:tc>
          <w:tcPr>
            <w:tcW w:w="12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plan</w:t>
            </w:r>
          </w:p>
        </w:tc>
        <w:tc>
          <w:tcPr>
            <w:tcW w:w="326" w:type="dxa"/>
            <w:tcBorders/>
            <w:shd w:fill="auto" w:val="clear"/>
            <w:vAlign w:val="center"/>
          </w:tcPr>
          <w:p>
            <w:pPr>
              <w:pStyle w:val="TableContents"/>
              <w:spacing w:before="0" w:after="0"/>
              <w:ind w:left="0" w:right="0" w:hanging="0"/>
              <w:jc w:val="center"/>
              <w:rPr/>
            </w:pPr>
            <w:r>
              <w:rPr/>
              <w:t>​</w:t>
            </w:r>
          </w:p>
        </w:tc>
        <w:tc>
          <w:tcPr>
            <w:tcW w:w="8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shd w:fill="auto" w:val="clear"/>
            <w:vAlign w:val="center"/>
          </w:tcPr>
          <w:p>
            <w:pPr>
              <w:pStyle w:val="TableContents"/>
              <w:spacing w:before="0" w:after="0"/>
              <w:ind w:left="0" w:right="0" w:hanging="0"/>
              <w:jc w:val="center"/>
              <w:rPr/>
            </w:pPr>
            <w:r>
              <w:rPr/>
              <w:t> </w:t>
            </w:r>
          </w:p>
        </w:tc>
      </w:tr>
      <w:tr>
        <w:trPr/>
        <w:tc>
          <w:tcPr>
            <w:tcW w:w="8210" w:type="dxa"/>
            <w:gridSpan w:val="11"/>
            <w:tcBorders/>
            <w:shd w:fill="auto" w:val="clear"/>
            <w:vAlign w:val="center"/>
          </w:tcPr>
          <w:p>
            <w:pPr>
              <w:pStyle w:val="TableContents"/>
              <w:spacing w:before="0" w:after="283"/>
              <w:ind w:left="0" w:right="0" w:hanging="0"/>
              <w:rPr>
                <w:sz w:val="4"/>
                <w:szCs w:val="4"/>
              </w:rPr>
            </w:pPr>
            <w:r>
              <w:rPr>
                <w:sz w:val="4"/>
                <w:szCs w:val="4"/>
              </w:rPr>
            </w:r>
          </w:p>
        </w:tc>
      </w:tr>
      <w:tr>
        <w:trPr/>
        <w:tc>
          <w:tcPr>
            <w:tcW w:w="4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507"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at December 31, 2022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326" w:type="dxa"/>
            <w:tcBorders/>
            <w:shd w:fill="CCEEFF" w:val="clear"/>
            <w:vAlign w:val="center"/>
          </w:tcPr>
          <w:p>
            <w:pPr>
              <w:pStyle w:val="TableContents"/>
              <w:spacing w:before="0" w:after="0"/>
              <w:ind w:left="0" w:right="0" w:hanging="0"/>
              <w:rPr/>
            </w:pPr>
            <w:r>
              <w:rPr/>
              <w:t>​</w:t>
            </w:r>
          </w:p>
        </w:tc>
        <w:tc>
          <w:tcPr>
            <w:tcW w:w="434"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6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(1,968)</w:t>
            </w:r>
          </w:p>
        </w:tc>
        <w:tc>
          <w:tcPr>
            <w:tcW w:w="191" w:type="dxa"/>
            <w:tcBorders/>
            <w:shd w:fill="CCEEFF" w:val="clear"/>
            <w:vAlign w:val="center"/>
          </w:tcPr>
          <w:p>
            <w:pPr>
              <w:pStyle w:val="TableContents"/>
              <w:spacing w:before="0" w:after="0"/>
              <w:ind w:left="0" w:right="0" w:hanging="0"/>
              <w:rPr/>
            </w:pPr>
            <w:r>
              <w:rPr/>
              <w:t>​</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comprehensive income and pension reclassification</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26" w:type="dxa"/>
            <w:tcBorders/>
            <w:shd w:fill="auto" w:val="clear"/>
            <w:vAlign w:val="center"/>
          </w:tcPr>
          <w:p>
            <w:pPr>
              <w:pStyle w:val="TableContents"/>
              <w:spacing w:before="0" w:after="0"/>
              <w:ind w:left="0" w:right="0" w:hanging="0"/>
              <w:rPr/>
            </w:pPr>
            <w:r>
              <w:rPr/>
              <w:t>​</w:t>
            </w:r>
          </w:p>
        </w:tc>
        <w:tc>
          <w:tcPr>
            <w:tcW w:w="43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76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191" w:type="dxa"/>
            <w:tcBorders/>
            <w:shd w:fill="auto" w:val="clear"/>
            <w:vAlign w:val="center"/>
          </w:tcPr>
          <w:p>
            <w:pPr>
              <w:pStyle w:val="TableContents"/>
              <w:spacing w:before="0" w:after="0"/>
              <w:ind w:left="0" w:right="0" w:hanging="0"/>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at March 31, 2023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(1,944)</w:t>
            </w:r>
          </w:p>
        </w:tc>
        <w:tc>
          <w:tcPr>
            <w:tcW w:w="326" w:type="dxa"/>
            <w:tcBorders/>
            <w:shd w:fill="CCEEFF" w:val="clear"/>
            <w:vAlign w:val="center"/>
          </w:tcPr>
          <w:p>
            <w:pPr>
              <w:pStyle w:val="TableContents"/>
              <w:spacing w:before="0" w:after="0"/>
              <w:ind w:left="0" w:right="0" w:hanging="0"/>
              <w:rPr/>
            </w:pPr>
            <w:r>
              <w:rPr/>
              <w:t>​</w:t>
            </w:r>
          </w:p>
        </w:tc>
        <w:tc>
          <w:tcPr>
            <w:tcW w:w="43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6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(1,918)</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791" w:name="Tc_zmWuto0XNkG5BKdLFqMnUQ_6_4"/>
      <w:bookmarkStart w:id="792" w:name="Tc_kSXrUNridUm6Bz9msoINgg_6_1"/>
      <w:bookmarkStart w:id="793" w:name="Tc_LJnMwVJsf0GUZtpdkwjfog_6_0"/>
      <w:bookmarkStart w:id="794" w:name="Tc_zJfZrNfCo0uHIomLNaPFPQ_5_0"/>
      <w:bookmarkStart w:id="795" w:name="Tc_ZhoPz3e1ok26_HckG-hIyw_4_4"/>
      <w:bookmarkStart w:id="796" w:name="Tc_A68H788tNUSUu8rVpokfvQ_4_1"/>
      <w:bookmarkStart w:id="797" w:name="Tc_TEWL0phzR061B36zOePusA_4_0"/>
      <w:bookmarkStart w:id="798" w:name="Tc_JiWH_LGdzEuLCNoxHeRZ5w_3_1"/>
      <w:bookmarkStart w:id="799" w:name="Tc_9cy1maBqXkiA5_zH9GOFvA_2_5"/>
      <w:bookmarkStart w:id="800" w:name="Tc_rs8E1SD01U6ST20Ri6OU3A_2_1"/>
      <w:bookmarkStart w:id="801" w:name="Tc_gwRlJe0eekC8FunuIMZ9BA_1_4"/>
      <w:bookmarkStart w:id="802" w:name="Tc_rXoldK-sXEmJ0CUs-04vRg_1_1"/>
      <w:bookmarkEnd w:id="791"/>
      <w:bookmarkEnd w:id="792"/>
      <w:bookmarkEnd w:id="793"/>
      <w:bookmarkEnd w:id="794"/>
      <w:bookmarkEnd w:id="795"/>
      <w:bookmarkEnd w:id="796"/>
      <w:bookmarkEnd w:id="797"/>
      <w:bookmarkEnd w:id="798"/>
      <w:bookmarkEnd w:id="799"/>
      <w:bookmarkEnd w:id="800"/>
      <w:bookmarkEnd w:id="801"/>
      <w:bookmarkEnd w:id="802"/>
      <w:r>
        <w:rPr>
          <w:rFonts w:ascii="Times New Roman;Times;serif" w:hAnsi="Times New Roman;Times;serif"/>
          <w:b/>
          <w:sz w:val="20"/>
        </w:rPr>
        <w:t>Note 8. Cash, cash equivalents and restricted cash</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consolidated balance sheets to the total of the amounts shown in the statement of cash flows:</w:t>
      </w:r>
    </w:p>
    <w:p>
      <w:pPr>
        <w:pStyle w:val="TextBody"/>
        <w:spacing w:before="0" w:after="0"/>
        <w:ind w:left="0" w:right="0" w:hanging="0"/>
        <w:rPr/>
      </w:pPr>
      <w:r>
        <w:rPr/>
        <w:t>​</w:t>
      </w:r>
    </w:p>
    <w:tbl>
      <w:tblPr>
        <w:tblW w:w="5771" w:type="dxa"/>
        <w:jc w:val="left"/>
        <w:tblInd w:w="0" w:type="dxa"/>
        <w:tblCellMar>
          <w:top w:w="0" w:type="dxa"/>
          <w:left w:w="0" w:type="dxa"/>
          <w:bottom w:w="0" w:type="dxa"/>
          <w:right w:w="0" w:type="dxa"/>
        </w:tblCellMar>
      </w:tblPr>
      <w:tblGrid>
        <w:gridCol w:w="3436"/>
        <w:gridCol w:w="196"/>
        <w:gridCol w:w="736"/>
        <w:gridCol w:w="109"/>
        <w:gridCol w:w="239"/>
        <w:gridCol w:w="901"/>
        <w:gridCol w:w="154"/>
      </w:tblGrid>
      <w:tr>
        <w:trPr/>
        <w:tc>
          <w:tcPr>
            <w:tcW w:w="3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81860" cy="175260"/>
                      <wp:effectExtent l="0" t="0" r="0" b="0"/>
                      <wp:wrapNone/>
                      <wp:docPr id="159" name="Frame159"/>
                      <a:graphic xmlns:a="http://schemas.openxmlformats.org/drawingml/2006/main">
                        <a:graphicData uri="http://schemas.microsoft.com/office/word/2010/wordprocessingShape">
                          <wps:wsp>
                            <wps:cNvSpPr txBox="1"/>
                            <wps:spPr>
                              <a:xfrm>
                                <a:off x="0" y="0"/>
                                <a:ext cx="2181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4460" cy="175260"/>
                      <wp:effectExtent l="0" t="0" r="0" b="0"/>
                      <wp:wrapNone/>
                      <wp:docPr id="160" name="Frame16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67360" cy="175260"/>
                      <wp:effectExtent l="0" t="0" r="0" b="0"/>
                      <wp:wrapNone/>
                      <wp:docPr id="161" name="Frame161"/>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1765" cy="175260"/>
                      <wp:effectExtent l="0" t="0" r="0" b="0"/>
                      <wp:wrapNone/>
                      <wp:docPr id="163" name="Frame163"/>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72135" cy="175260"/>
                      <wp:effectExtent l="0" t="0" r="0" b="0"/>
                      <wp:wrapNone/>
                      <wp:docPr id="164" name="Frame16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97790" cy="175260"/>
                      <wp:effectExtent l="0" t="0" r="0" b="0"/>
                      <wp:wrapNone/>
                      <wp:docPr id="165" name="Frame165"/>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36" w:type="dxa"/>
            <w:tcBorders/>
            <w:shd w:fill="auto" w:val="clear"/>
            <w:vAlign w:val="center"/>
          </w:tcPr>
          <w:p>
            <w:pPr>
              <w:pStyle w:val="TableContents"/>
              <w:spacing w:before="0" w:after="0"/>
              <w:ind w:left="0" w:right="0" w:hanging="0"/>
              <w:rPr/>
            </w:pPr>
            <w:r>
              <w:rPr/>
              <w:t>​</w:t>
            </w:r>
          </w:p>
        </w:tc>
        <w:tc>
          <w:tcPr>
            <w:tcW w:w="93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54" w:type="dxa"/>
            <w:tcBorders/>
            <w:shd w:fill="auto" w:val="clear"/>
            <w:vAlign w:val="center"/>
          </w:tcPr>
          <w:p>
            <w:pPr>
              <w:pStyle w:val="TableContents"/>
              <w:spacing w:before="0" w:after="0"/>
              <w:ind w:left="0" w:right="0" w:hanging="0"/>
              <w:rPr/>
            </w:pPr>
            <w:r>
              <w:rPr/>
              <w:t>​</w:t>
            </w:r>
          </w:p>
        </w:tc>
      </w:tr>
      <w:tr>
        <w:trPr/>
        <w:tc>
          <w:tcPr>
            <w:tcW w:w="3436" w:type="dxa"/>
            <w:tcBorders/>
            <w:shd w:fill="auto" w:val="clear"/>
            <w:vAlign w:val="center"/>
          </w:tcPr>
          <w:p>
            <w:pPr>
              <w:pStyle w:val="TableContents"/>
              <w:spacing w:before="0" w:after="0"/>
              <w:ind w:left="0" w:right="0" w:hanging="0"/>
              <w:rPr/>
            </w:pPr>
            <w:r>
              <w:rPr/>
              <w:t>​</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jc w:val="center"/>
              <w:rPr/>
            </w:pPr>
            <w:r>
              <w:rPr/>
              <w:t>​</w:t>
            </w:r>
          </w:p>
        </w:tc>
      </w:tr>
      <w:tr>
        <w:trPr/>
        <w:tc>
          <w:tcPr>
            <w:tcW w:w="5771"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3436" w:type="dxa"/>
            <w:tcBorders/>
            <w:shd w:fill="auto" w:val="clear"/>
            <w:vAlign w:val="center"/>
          </w:tcPr>
          <w:p>
            <w:pPr>
              <w:pStyle w:val="TableContents"/>
              <w:spacing w:before="0" w:after="0"/>
              <w:ind w:left="0" w:right="0" w:hanging="0"/>
              <w:rPr/>
            </w:pPr>
            <w:r>
              <w:rPr/>
              <w:t>​</w:t>
            </w:r>
          </w:p>
        </w:tc>
        <w:tc>
          <w:tcPr>
            <w:tcW w:w="218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shd w:fill="auto" w:val="clear"/>
            <w:vAlign w:val="center"/>
          </w:tcPr>
          <w:p>
            <w:pPr>
              <w:pStyle w:val="TableContents"/>
              <w:spacing w:before="0" w:after="0"/>
              <w:ind w:left="0" w:right="0" w:hanging="0"/>
              <w:rPr/>
            </w:pPr>
            <w:r>
              <w:rPr/>
              <w:t>​</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and cash equivalents</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164,479 </w:t>
            </w:r>
          </w:p>
        </w:tc>
        <w:tc>
          <w:tcPr>
            <w:tcW w:w="109"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185,595 </w:t>
            </w:r>
          </w:p>
        </w:tc>
        <w:tc>
          <w:tcPr>
            <w:tcW w:w="154" w:type="dxa"/>
            <w:tcBorders/>
            <w:shd w:fill="CCEEFF" w:val="clear"/>
            <w:vAlign w:val="center"/>
          </w:tcPr>
          <w:p>
            <w:pPr>
              <w:pStyle w:val="TableContents"/>
              <w:spacing w:before="0" w:after="0"/>
              <w:ind w:left="0" w:right="0" w:hanging="0"/>
              <w:rPr/>
            </w:pPr>
            <w:r>
              <w:rPr/>
              <w:t>​</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Long-term restricted cash</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6,653 </w:t>
            </w:r>
          </w:p>
        </w:tc>
        <w:tc>
          <w:tcPr>
            <w:tcW w:w="109"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752 </w:t>
            </w:r>
          </w:p>
        </w:tc>
        <w:tc>
          <w:tcPr>
            <w:tcW w:w="154" w:type="dxa"/>
            <w:tcBorders/>
            <w:shd w:fill="auto" w:val="clear"/>
            <w:vAlign w:val="center"/>
          </w:tcPr>
          <w:p>
            <w:pPr>
              <w:pStyle w:val="TableContents"/>
              <w:spacing w:before="0" w:after="0"/>
              <w:ind w:left="0" w:right="0" w:hanging="0"/>
              <w:rPr/>
            </w:pPr>
            <w:r>
              <w:rPr/>
              <w:t>​</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cash, cash equivalents and restricted cash</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171,132 </w:t>
            </w:r>
          </w:p>
        </w:tc>
        <w:tc>
          <w:tcPr>
            <w:tcW w:w="109"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186,347 </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As of March 31, 2023, we had $6.7 million in restricted cash representing the total of (i) a $5.9 million cash collateral relating to our lease for our headquarters in Beverly, Massachusetts, (ii) a $0.7 million letter of credit relating to workers’ compensation insurance and (iii) a $0.1 million deposit relating to customs activity. </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803" w:name="Tc_p-LhsA61sEyNp9c7L9MSwQ_7_5"/>
      <w:bookmarkStart w:id="804" w:name="Tc_dIaoWX2nOECnpLtKQphIaw_7_2"/>
      <w:bookmarkStart w:id="805" w:name="Tc_jotBU_uL50mHhIEpOVf1AQ_7_0"/>
      <w:bookmarkStart w:id="806" w:name="Tc_8ISlpJAmckqJ0IkvrRmkzA_6_0"/>
      <w:bookmarkStart w:id="807" w:name="Tc_lBBQQ1uKnEeaLlqku8OOyQ_5_0"/>
      <w:bookmarkStart w:id="808" w:name="Tc_GKfpkuhh1UmLylwtXlHiCg_4_5"/>
      <w:bookmarkStart w:id="809" w:name="Tc_yCmWRFVeOEuP5cxb60ANOw_4_2"/>
      <w:bookmarkStart w:id="810" w:name="Tc_4kUs6LibEUCapgCdhYu1yw_4_0"/>
      <w:bookmarkStart w:id="811" w:name="Tc_6vgoBngjAESc8rghTa_tHw_3_2"/>
      <w:bookmarkStart w:id="812" w:name="Tc_xs-dwwjQvkWAGuzmYLGyog_2_5"/>
      <w:bookmarkStart w:id="813" w:name="Tc_wBDO0lR3rUCFHwMYlPrRwg_2_2"/>
      <w:bookmarkStart w:id="814" w:name="Tc_gmItomgfQUeeDfl6yYSUZw_1_5"/>
      <w:bookmarkStart w:id="815" w:name="Tc_xQnHziRfjkmpk1mPwuhLaQ_1_2"/>
      <w:bookmarkEnd w:id="803"/>
      <w:bookmarkEnd w:id="804"/>
      <w:bookmarkEnd w:id="805"/>
      <w:bookmarkEnd w:id="806"/>
      <w:bookmarkEnd w:id="807"/>
      <w:bookmarkEnd w:id="808"/>
      <w:bookmarkEnd w:id="809"/>
      <w:bookmarkEnd w:id="810"/>
      <w:bookmarkEnd w:id="811"/>
      <w:bookmarkEnd w:id="812"/>
      <w:bookmarkEnd w:id="813"/>
      <w:bookmarkEnd w:id="814"/>
      <w:bookmarkEnd w:id="815"/>
      <w:r>
        <w:rPr>
          <w:rFonts w:ascii="Times New Roman;Times;serif" w:hAnsi="Times New Roman;Times;serif"/>
          <w:b/>
          <w:sz w:val="20"/>
        </w:rPr>
        <w:t>Note 9.  Inventories, net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components of inventories are as follows:</w:t>
      </w:r>
    </w:p>
    <w:p>
      <w:pPr>
        <w:pStyle w:val="TextBody"/>
        <w:spacing w:before="0" w:after="0"/>
        <w:ind w:left="0" w:right="0" w:hanging="0"/>
        <w:rPr/>
      </w:pPr>
      <w:r>
        <w:rPr/>
        <w:t>​</w:t>
      </w:r>
    </w:p>
    <w:tbl>
      <w:tblPr>
        <w:tblW w:w="5779" w:type="dxa"/>
        <w:jc w:val="left"/>
        <w:tblInd w:w="0" w:type="dxa"/>
        <w:tblCellMar>
          <w:top w:w="0" w:type="dxa"/>
          <w:left w:w="0" w:type="dxa"/>
          <w:bottom w:w="0" w:type="dxa"/>
          <w:right w:w="0" w:type="dxa"/>
        </w:tblCellMar>
      </w:tblPr>
      <w:tblGrid>
        <w:gridCol w:w="2716"/>
        <w:gridCol w:w="326"/>
        <w:gridCol w:w="199"/>
        <w:gridCol w:w="701"/>
        <w:gridCol w:w="326"/>
        <w:gridCol w:w="252"/>
        <w:gridCol w:w="888"/>
        <w:gridCol w:w="371"/>
      </w:tblGrid>
      <w:tr>
        <w:trPr/>
        <w:tc>
          <w:tcPr>
            <w:tcW w:w="27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724660" cy="175260"/>
                      <wp:effectExtent l="0" t="0" r="0" b="0"/>
                      <wp:wrapNone/>
                      <wp:docPr id="166" name="Frame166"/>
                      <a:graphic xmlns:a="http://schemas.openxmlformats.org/drawingml/2006/main">
                        <a:graphicData uri="http://schemas.microsoft.com/office/word/2010/wordprocessingShape">
                          <wps:wsp>
                            <wps:cNvSpPr txBox="1"/>
                            <wps:spPr>
                              <a:xfrm>
                                <a:off x="0" y="0"/>
                                <a:ext cx="1724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6365" cy="175260"/>
                      <wp:effectExtent l="0" t="0" r="0" b="0"/>
                      <wp:wrapNone/>
                      <wp:docPr id="168" name="Frame168"/>
                      <a:graphic xmlns:a="http://schemas.openxmlformats.org/drawingml/2006/main">
                        <a:graphicData uri="http://schemas.microsoft.com/office/word/2010/wordprocessingShape">
                          <wps:wsp>
                            <wps:cNvSpPr txBox="1"/>
                            <wps:spPr>
                              <a:xfrm>
                                <a:off x="0" y="0"/>
                                <a:ext cx="1263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45135" cy="175260"/>
                      <wp:effectExtent l="0" t="0" r="0" b="0"/>
                      <wp:wrapNone/>
                      <wp:docPr id="169" name="Frame169"/>
                      <a:graphic xmlns:a="http://schemas.openxmlformats.org/drawingml/2006/main">
                        <a:graphicData uri="http://schemas.microsoft.com/office/word/2010/wordprocessingShape">
                          <wps:wsp>
                            <wps:cNvSpPr txBox="1"/>
                            <wps:spPr>
                              <a:xfrm>
                                <a:off x="0" y="0"/>
                                <a:ext cx="445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60020" cy="175260"/>
                      <wp:effectExtent l="0" t="0" r="0" b="0"/>
                      <wp:wrapNone/>
                      <wp:docPr id="171" name="Frame171"/>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63880" cy="175260"/>
                      <wp:effectExtent l="0" t="0" r="0" b="0"/>
                      <wp:wrapNone/>
                      <wp:docPr id="172" name="Frame172"/>
                      <a:graphic xmlns:a="http://schemas.openxmlformats.org/drawingml/2006/main">
                        <a:graphicData uri="http://schemas.microsoft.com/office/word/2010/wordprocessingShape">
                          <wps:wsp>
                            <wps:cNvSpPr txBox="1"/>
                            <wps:spPr>
                              <a:xfrm>
                                <a:off x="0" y="0"/>
                                <a:ext cx="563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35585" cy="175260"/>
                      <wp:effectExtent l="0" t="0" r="0" b="0"/>
                      <wp:wrapNone/>
                      <wp:docPr id="173" name="Frame173"/>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71" w:type="dxa"/>
            <w:tcBorders/>
            <w:shd w:fill="auto" w:val="clear"/>
            <w:vAlign w:val="center"/>
          </w:tcPr>
          <w:p>
            <w:pPr>
              <w:pStyle w:val="TableContents"/>
              <w:spacing w:before="0" w:after="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0"/>
              <w:ind w:left="0" w:right="0" w:hanging="0"/>
              <w:jc w:val="center"/>
              <w:rPr/>
            </w:pPr>
            <w:r>
              <w:rPr/>
              <w:t>    </w:t>
            </w:r>
          </w:p>
        </w:tc>
      </w:tr>
      <w:tr>
        <w:trPr/>
        <w:tc>
          <w:tcPr>
            <w:tcW w:w="5779"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2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66"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1" w:type="dxa"/>
            <w:tcBorders/>
            <w:shd w:fill="auto" w:val="clear"/>
            <w:vAlign w:val="center"/>
          </w:tcPr>
          <w:p>
            <w:pPr>
              <w:pStyle w:val="TableContents"/>
              <w:spacing w:before="0" w:after="0"/>
              <w:ind w:left="0" w:right="0" w:hanging="0"/>
              <w:jc w:val="center"/>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Raw materials</w:t>
            </w:r>
          </w:p>
        </w:tc>
        <w:tc>
          <w:tcPr>
            <w:tcW w:w="326" w:type="dxa"/>
            <w:tcBorders/>
            <w:shd w:fill="CCEEFF" w:val="clear"/>
            <w:vAlign w:val="center"/>
          </w:tcPr>
          <w:p>
            <w:pPr>
              <w:pStyle w:val="TableContents"/>
              <w:spacing w:before="0" w:after="0"/>
              <w:ind w:left="0" w:right="0" w:hanging="0"/>
              <w:rPr/>
            </w:pPr>
            <w:r>
              <w:rPr/>
              <w:t>​</w:t>
            </w:r>
          </w:p>
        </w:tc>
        <w:tc>
          <w:tcPr>
            <w:tcW w:w="19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196,187</w:t>
            </w:r>
          </w:p>
        </w:tc>
        <w:tc>
          <w:tcPr>
            <w:tcW w:w="326" w:type="dxa"/>
            <w:tcBorders/>
            <w:shd w:fill="CCEEFF" w:val="clear"/>
            <w:vAlign w:val="center"/>
          </w:tcPr>
          <w:p>
            <w:pPr>
              <w:pStyle w:val="TableContents"/>
              <w:spacing w:before="0" w:after="0"/>
              <w:ind w:left="0" w:right="0" w:hanging="0"/>
              <w:rPr/>
            </w:pPr>
            <w:r>
              <w:rPr/>
              <w:t>​</w:t>
            </w:r>
          </w:p>
        </w:tc>
        <w:tc>
          <w:tcPr>
            <w:tcW w:w="25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8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187,313</w:t>
            </w:r>
          </w:p>
        </w:tc>
        <w:tc>
          <w:tcPr>
            <w:tcW w:w="371" w:type="dxa"/>
            <w:tcBorders/>
            <w:shd w:fill="CCEEFF" w:val="clear"/>
            <w:vAlign w:val="center"/>
          </w:tcPr>
          <w:p>
            <w:pPr>
              <w:pStyle w:val="TableContents"/>
              <w:spacing w:before="0" w:after="0"/>
              <w:ind w:left="0" w:right="0" w:hanging="0"/>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Work in process</w:t>
            </w:r>
          </w:p>
        </w:tc>
        <w:tc>
          <w:tcPr>
            <w:tcW w:w="326" w:type="dxa"/>
            <w:tcBorders/>
            <w:shd w:fill="auto" w:val="clear"/>
            <w:vAlign w:val="center"/>
          </w:tcPr>
          <w:p>
            <w:pPr>
              <w:pStyle w:val="TableContents"/>
              <w:spacing w:before="0" w:after="0"/>
              <w:ind w:left="0" w:right="0" w:hanging="0"/>
              <w:rPr/>
            </w:pPr>
            <w:r>
              <w:rPr/>
              <w:t>​</w:t>
            </w:r>
          </w:p>
        </w:tc>
        <w:tc>
          <w:tcPr>
            <w:tcW w:w="199" w:type="dxa"/>
            <w:tcBorders/>
            <w:shd w:fill="auto" w:val="clear"/>
            <w:vAlign w:val="center"/>
          </w:tcPr>
          <w:p>
            <w:pPr>
              <w:pStyle w:val="TableContents"/>
              <w:spacing w:before="0" w:after="0"/>
              <w:ind w:left="0" w:right="0" w:hanging="0"/>
              <w:jc w:val="right"/>
              <w:rPr/>
            </w:pPr>
            <w:r>
              <w:rPr/>
              <w:t> </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45,783</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35,069</w:t>
            </w:r>
          </w:p>
        </w:tc>
        <w:tc>
          <w:tcPr>
            <w:tcW w:w="371" w:type="dxa"/>
            <w:tcBorders/>
            <w:shd w:fill="auto" w:val="clear"/>
            <w:vAlign w:val="center"/>
          </w:tcPr>
          <w:p>
            <w:pPr>
              <w:pStyle w:val="TableContents"/>
              <w:spacing w:before="0" w:after="0"/>
              <w:ind w:left="0" w:right="0" w:hanging="0"/>
              <w:rPr/>
            </w:pPr>
            <w:r>
              <w:rPr/>
              <w:t>​</w:t>
            </w:r>
          </w:p>
        </w:tc>
      </w:tr>
      <w:tr>
        <w:trPr/>
        <w:tc>
          <w:tcPr>
            <w:tcW w:w="271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Finished goods (completed systems)</w:t>
            </w:r>
          </w:p>
        </w:tc>
        <w:tc>
          <w:tcPr>
            <w:tcW w:w="326" w:type="dxa"/>
            <w:tcBorders/>
            <w:shd w:fill="CCEEFF" w:val="clear"/>
            <w:vAlign w:val="center"/>
          </w:tcPr>
          <w:p>
            <w:pPr>
              <w:pStyle w:val="TableContents"/>
              <w:spacing w:before="0" w:after="0"/>
              <w:ind w:left="0" w:right="0" w:hanging="0"/>
              <w:rPr/>
            </w:pPr>
            <w:r>
              <w:rPr/>
              <w:t>​</w:t>
            </w:r>
          </w:p>
        </w:tc>
        <w:tc>
          <w:tcPr>
            <w:tcW w:w="19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20,084</w:t>
            </w:r>
          </w:p>
        </w:tc>
        <w:tc>
          <w:tcPr>
            <w:tcW w:w="326" w:type="dxa"/>
            <w:tcBorders/>
            <w:shd w:fill="CCEEFF" w:val="clear"/>
            <w:vAlign w:val="center"/>
          </w:tcPr>
          <w:p>
            <w:pPr>
              <w:pStyle w:val="TableContents"/>
              <w:spacing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8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20,024</w:t>
            </w:r>
          </w:p>
        </w:tc>
        <w:tc>
          <w:tcPr>
            <w:tcW w:w="371" w:type="dxa"/>
            <w:tcBorders/>
            <w:shd w:fill="CCEEFF" w:val="clear"/>
            <w:vAlign w:val="center"/>
          </w:tcPr>
          <w:p>
            <w:pPr>
              <w:pStyle w:val="TableContents"/>
              <w:spacing w:before="0" w:after="0"/>
              <w:ind w:left="0" w:right="0" w:hanging="0"/>
              <w:rPr/>
            </w:pPr>
            <w:r>
              <w:rPr/>
              <w:t>​</w:t>
            </w:r>
          </w:p>
        </w:tc>
      </w:tr>
      <w:tr>
        <w:trPr/>
        <w:tc>
          <w:tcPr>
            <w:tcW w:w="27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Inventories, net</w:t>
            </w:r>
          </w:p>
        </w:tc>
        <w:tc>
          <w:tcPr>
            <w:tcW w:w="326" w:type="dxa"/>
            <w:tcBorders/>
            <w:shd w:fill="auto" w:val="clear"/>
            <w:vAlign w:val="center"/>
          </w:tcPr>
          <w:p>
            <w:pPr>
              <w:pStyle w:val="TableContents"/>
              <w:spacing w:before="0" w:after="0"/>
              <w:ind w:left="0" w:right="0" w:hanging="0"/>
              <w:rPr/>
            </w:pPr>
            <w:r>
              <w:rPr/>
              <w:t>​</w:t>
            </w:r>
          </w:p>
        </w:tc>
        <w:tc>
          <w:tcPr>
            <w:tcW w:w="19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262,054</w:t>
            </w:r>
          </w:p>
        </w:tc>
        <w:tc>
          <w:tcPr>
            <w:tcW w:w="326" w:type="dxa"/>
            <w:tcBorders/>
            <w:shd w:fill="auto" w:val="clear"/>
            <w:vAlign w:val="center"/>
          </w:tcPr>
          <w:p>
            <w:pPr>
              <w:pStyle w:val="TableContents"/>
              <w:spacing w:before="0" w:after="0"/>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8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242,406</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the Company’s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pStyle w:val="TextBody"/>
        <w:spacing w:before="0" w:after="0"/>
        <w:ind w:left="0" w:right="0" w:hanging="0"/>
        <w:rPr/>
      </w:pPr>
      <w:r>
        <w:rPr/>
        <w:t>​</w:t>
      </w:r>
    </w:p>
    <w:p>
      <w:pPr>
        <w:pStyle w:val="TextBody"/>
        <w:pBdr/>
        <w:spacing w:before="0" w:after="0"/>
        <w:ind w:left="0" w:right="0" w:hanging="720"/>
        <w:rPr>
          <w:rFonts w:ascii="Times New Roman;Times;serif" w:hAnsi="Times New Roman;Times;serif"/>
          <w:b/>
          <w:sz w:val="20"/>
        </w:rPr>
      </w:pPr>
      <w:r>
        <w:rPr>
          <w:rFonts w:ascii="Times New Roman;Times;serif" w:hAnsi="Times New Roman;Times;serif"/>
          <w:b/>
          <w:sz w:val="20"/>
        </w:rPr>
        <w:t>Note 10.  Product Warranty</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816" w:name="Tc_pFGg0hOHGEWLWC9UT71eoA_13_5"/>
      <w:bookmarkStart w:id="817" w:name="Tc_yP28nE_ieU6JNKmHwjnRLw_13_2"/>
      <w:bookmarkStart w:id="818" w:name="Tc_C78EpBrO7UaZBGc_XlMjQA_13_0"/>
      <w:bookmarkStart w:id="819" w:name="Tc_BJQBdh2Be02OdHt7iEAzZg_12_0"/>
      <w:bookmarkStart w:id="820" w:name="Tc_K-l6wTBwpU6HBEE2WjhboQ_11_5"/>
      <w:bookmarkStart w:id="821" w:name="Tc_7iVg9BtThU2heQKjM6N-HQ_11_2"/>
      <w:bookmarkStart w:id="822" w:name="Tc_nMLe2j4s-0Sug0HGQeLSVQ_11_0"/>
      <w:bookmarkStart w:id="823" w:name="Tc_KCjQVNH8IkqswoLmQxcf6w_9_5"/>
      <w:bookmarkStart w:id="824" w:name="Tc_AGziVyBSfk-1rtSfAgeSZw_9_2"/>
      <w:bookmarkStart w:id="825" w:name="Tc_qaGcanEufUKCTp_GGSdQBA_9_0"/>
      <w:bookmarkStart w:id="826" w:name="Tc_Yapo1LQlTUalHRj3rjbB1A_8_0"/>
      <w:bookmarkStart w:id="827" w:name="Tc_vXLyvwP_CEW658-5krceKg_7_0"/>
      <w:bookmarkStart w:id="828" w:name="Tc_VeUVdEOoqEKmj59Aa0csdQ_6_0"/>
      <w:bookmarkStart w:id="829" w:name="Tc_4nz_T7L7LUGwf4ir3uGYsQ_5_5"/>
      <w:bookmarkStart w:id="830" w:name="Tc_OYxOUHRK3k2io3GWaO_52g_5_2"/>
      <w:bookmarkStart w:id="831" w:name="Tc_9D-lTCZWokuFMpwxittmbg_5_0"/>
      <w:bookmarkStart w:id="832" w:name="Tc_dAOt-FH3-E-ewI9ad1PF3A_4_2"/>
      <w:bookmarkStart w:id="833" w:name="Tc_gOd8790oYUmSrfIzgmhf4Q_3_5"/>
      <w:bookmarkStart w:id="834" w:name="Tc_YQleuIF0RE25nOf5ZGAnpA_3_2"/>
      <w:bookmarkStart w:id="835" w:name="Tc_lrsHwUSjX0aZyVlmvBsWDA_2_2"/>
      <w:bookmarkStart w:id="836" w:name="Tc_kgsAMU4xKUSasY8dwscvJQ_1_2"/>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changes in our standard product warranty liability are as follows:</w:t>
      </w:r>
    </w:p>
    <w:p>
      <w:pPr>
        <w:pStyle w:val="TextBody"/>
        <w:spacing w:before="0" w:after="0"/>
        <w:ind w:left="0" w:right="0" w:hanging="0"/>
        <w:rPr/>
      </w:pPr>
      <w:r>
        <w:rPr/>
        <w:t>​</w:t>
      </w:r>
    </w:p>
    <w:tbl>
      <w:tblPr>
        <w:tblW w:w="8153" w:type="dxa"/>
        <w:jc w:val="left"/>
        <w:tblInd w:w="0" w:type="dxa"/>
        <w:tblCellMar>
          <w:top w:w="0" w:type="dxa"/>
          <w:left w:w="0" w:type="dxa"/>
          <w:bottom w:w="0" w:type="dxa"/>
          <w:right w:w="0" w:type="dxa"/>
        </w:tblCellMar>
      </w:tblPr>
      <w:tblGrid>
        <w:gridCol w:w="5476"/>
        <w:gridCol w:w="326"/>
        <w:gridCol w:w="196"/>
        <w:gridCol w:w="631"/>
        <w:gridCol w:w="326"/>
        <w:gridCol w:w="196"/>
        <w:gridCol w:w="631"/>
        <w:gridCol w:w="371"/>
      </w:tblGrid>
      <w:tr>
        <w:trPr/>
        <w:tc>
          <w:tcPr>
            <w:tcW w:w="5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477260" cy="175260"/>
                      <wp:effectExtent l="0" t="0" r="0" b="0"/>
                      <wp:wrapNone/>
                      <wp:docPr id="174" name="Frame174"/>
                      <a:graphic xmlns:a="http://schemas.openxmlformats.org/drawingml/2006/main">
                        <a:graphicData uri="http://schemas.microsoft.com/office/word/2010/wordprocessingShape">
                          <wps:wsp>
                            <wps:cNvSpPr txBox="1"/>
                            <wps:spPr>
                              <a:xfrm>
                                <a:off x="0" y="0"/>
                                <a:ext cx="3477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4460" cy="175260"/>
                      <wp:effectExtent l="0" t="0" r="0" b="0"/>
                      <wp:wrapNone/>
                      <wp:docPr id="176" name="Frame17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00685" cy="175260"/>
                      <wp:effectExtent l="0" t="0" r="0" b="0"/>
                      <wp:wrapNone/>
                      <wp:docPr id="177" name="Frame177"/>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4460" cy="175260"/>
                      <wp:effectExtent l="0" t="0" r="0" b="0"/>
                      <wp:wrapNone/>
                      <wp:docPr id="179" name="Frame17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00685" cy="175260"/>
                      <wp:effectExtent l="0" t="0" r="0" b="0"/>
                      <wp:wrapNone/>
                      <wp:docPr id="180" name="Frame180"/>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35585" cy="175260"/>
                      <wp:effectExtent l="0" t="0" r="0" b="0"/>
                      <wp:wrapNone/>
                      <wp:docPr id="181" name="Frame181"/>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8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shd w:fill="auto" w:val="clear"/>
            <w:vAlign w:val="center"/>
          </w:tcPr>
          <w:p>
            <w:pPr>
              <w:pStyle w:val="TableContents"/>
              <w:spacing w:before="0" w:after="0"/>
              <w:ind w:left="0" w:right="0" w:hanging="0"/>
              <w:jc w:val="center"/>
              <w:rPr/>
            </w:pPr>
            <w:r>
              <w:rPr/>
              <w:t>​</w:t>
            </w:r>
          </w:p>
        </w:tc>
      </w:tr>
      <w:tr>
        <w:trPr/>
        <w:tc>
          <w:tcPr>
            <w:tcW w:w="5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71" w:type="dxa"/>
            <w:tcBorders/>
            <w:shd w:fill="auto" w:val="clear"/>
            <w:vAlign w:val="center"/>
          </w:tcPr>
          <w:p>
            <w:pPr>
              <w:pStyle w:val="TableContents"/>
              <w:spacing w:before="0" w:after="0"/>
              <w:ind w:left="0" w:right="0" w:hanging="0"/>
              <w:jc w:val="center"/>
              <w:rPr/>
            </w:pPr>
            <w:r>
              <w:rPr/>
              <w:t>​</w:t>
            </w:r>
          </w:p>
        </w:tc>
      </w:tr>
      <w:tr>
        <w:trPr/>
        <w:tc>
          <w:tcPr>
            <w:tcW w:w="5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    </w:t>
            </w:r>
          </w:p>
        </w:tc>
        <w:tc>
          <w:tcPr>
            <w:tcW w:w="8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0"/>
              <w:ind w:left="0" w:right="0" w:hanging="0"/>
              <w:jc w:val="center"/>
              <w:rPr/>
            </w:pPr>
            <w:r>
              <w:rPr/>
              <w:t>    </w:t>
            </w:r>
          </w:p>
        </w:tc>
      </w:tr>
      <w:tr>
        <w:trPr/>
        <w:tc>
          <w:tcPr>
            <w:tcW w:w="8153"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5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8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1" w:type="dxa"/>
            <w:tcBorders/>
            <w:shd w:fill="auto" w:val="clear"/>
            <w:vAlign w:val="center"/>
          </w:tcPr>
          <w:p>
            <w:pPr>
              <w:pStyle w:val="TableContents"/>
              <w:spacing w:before="0" w:after="0"/>
              <w:ind w:left="0" w:right="0" w:hanging="0"/>
              <w:jc w:val="center"/>
              <w:rPr/>
            </w:pPr>
            <w:r>
              <w:rPr/>
              <w:t>​</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at January 1 (beginning of year)</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10,487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6,924</w:t>
            </w:r>
          </w:p>
        </w:tc>
        <w:tc>
          <w:tcPr>
            <w:tcW w:w="371" w:type="dxa"/>
            <w:tcBorders/>
            <w:shd w:fill="CCEEFF" w:val="clear"/>
            <w:vAlign w:val="center"/>
          </w:tcPr>
          <w:p>
            <w:pPr>
              <w:pStyle w:val="TableContents"/>
              <w:spacing w:before="0" w:after="0"/>
              <w:ind w:left="0" w:right="0" w:hanging="0"/>
              <w:rPr/>
            </w:pPr>
            <w:r>
              <w:rPr/>
              <w:t>​</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Warranties issued during the period</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2,629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2,140</w:t>
            </w:r>
          </w:p>
        </w:tc>
        <w:tc>
          <w:tcPr>
            <w:tcW w:w="371" w:type="dxa"/>
            <w:tcBorders/>
            <w:shd w:fill="auto" w:val="clear"/>
            <w:vAlign w:val="center"/>
          </w:tcPr>
          <w:p>
            <w:pPr>
              <w:pStyle w:val="TableContents"/>
              <w:spacing w:before="0" w:after="0"/>
              <w:ind w:left="0" w:right="0" w:hanging="0"/>
              <w:rPr/>
            </w:pPr>
            <w:r>
              <w:rPr/>
              <w:t>​</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Settlements made during the period</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(2,587)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jc w:val="right"/>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(1,430)</w:t>
            </w:r>
          </w:p>
        </w:tc>
        <w:tc>
          <w:tcPr>
            <w:tcW w:w="371" w:type="dxa"/>
            <w:tcBorders/>
            <w:shd w:fill="CCEEFF" w:val="clear"/>
            <w:vAlign w:val="center"/>
          </w:tcPr>
          <w:p>
            <w:pPr>
              <w:pStyle w:val="TableContents"/>
              <w:spacing w:before="0" w:after="0"/>
              <w:ind w:left="0" w:right="0" w:hanging="0"/>
              <w:rPr/>
            </w:pPr>
            <w:r>
              <w:rPr/>
              <w:t>​</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Changes in estimate of liability for pre-existing warranties during the period</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865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375</w:t>
            </w:r>
          </w:p>
        </w:tc>
        <w:tc>
          <w:tcPr>
            <w:tcW w:w="371" w:type="dxa"/>
            <w:tcBorders/>
            <w:shd w:fill="auto" w:val="clear"/>
            <w:vAlign w:val="center"/>
          </w:tcPr>
          <w:p>
            <w:pPr>
              <w:pStyle w:val="TableContents"/>
              <w:spacing w:before="0" w:after="0"/>
              <w:ind w:left="0" w:right="0" w:hanging="0"/>
              <w:rPr/>
            </w:pPr>
            <w:r>
              <w:rPr/>
              <w:t>​</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Balance at March 31 (end of period)</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11,394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8,009</w:t>
            </w:r>
          </w:p>
        </w:tc>
        <w:tc>
          <w:tcPr>
            <w:tcW w:w="371" w:type="dxa"/>
            <w:tcBorders/>
            <w:shd w:fill="CCEEFF" w:val="clear"/>
            <w:vAlign w:val="center"/>
          </w:tcPr>
          <w:p>
            <w:pPr>
              <w:pStyle w:val="TableContents"/>
              <w:spacing w:before="0" w:after="0"/>
              <w:ind w:left="0" w:right="0" w:hanging="0"/>
              <w:rPr/>
            </w:pPr>
            <w:r>
              <w:rPr/>
              <w:t>​</w:t>
            </w:r>
          </w:p>
        </w:tc>
      </w:tr>
      <w:tr>
        <w:trPr/>
        <w:tc>
          <w:tcPr>
            <w:tcW w:w="5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Amount classified as current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9,599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7,203</w:t>
            </w:r>
          </w:p>
        </w:tc>
        <w:tc>
          <w:tcPr>
            <w:tcW w:w="371" w:type="dxa"/>
            <w:tcBorders/>
            <w:shd w:fill="CCEEFF" w:val="clear"/>
            <w:vAlign w:val="center"/>
          </w:tcPr>
          <w:p>
            <w:pPr>
              <w:pStyle w:val="TableContents"/>
              <w:spacing w:before="0" w:after="0"/>
              <w:ind w:left="0" w:right="0" w:hanging="0"/>
              <w:rPr/>
            </w:pPr>
            <w:r>
              <w:rPr/>
              <w:t>​</w:t>
            </w:r>
          </w:p>
        </w:tc>
      </w:tr>
      <w:tr>
        <w:trPr/>
        <w:tc>
          <w:tcPr>
            <w:tcW w:w="54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Amount classified as long-term </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1,795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806</w:t>
            </w:r>
          </w:p>
        </w:tc>
        <w:tc>
          <w:tcPr>
            <w:tcW w:w="371" w:type="dxa"/>
            <w:tcBorders/>
            <w:shd w:fill="auto" w:val="clear"/>
            <w:vAlign w:val="center"/>
          </w:tcPr>
          <w:p>
            <w:pPr>
              <w:pStyle w:val="TableContents"/>
              <w:spacing w:before="0" w:after="0"/>
              <w:ind w:left="0" w:right="0" w:hanging="0"/>
              <w:rPr/>
            </w:pPr>
            <w:r>
              <w:rPr/>
              <w:t>​</w:t>
            </w:r>
          </w:p>
        </w:tc>
      </w:tr>
      <w:tr>
        <w:trPr/>
        <w:tc>
          <w:tcPr>
            <w:tcW w:w="54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warranty liability</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11,394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8,009</w:t>
            </w:r>
          </w:p>
        </w:tc>
        <w:tc>
          <w:tcPr>
            <w:tcW w:w="37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pBdr/>
        <w:spacing w:before="0" w:after="0"/>
        <w:ind w:left="0" w:right="0" w:hanging="720"/>
        <w:rPr/>
      </w:pPr>
      <w:r>
        <w:rPr/>
        <w:t>​</w:t>
      </w:r>
    </w:p>
    <w:p>
      <w:pPr>
        <w:pStyle w:val="TextBody"/>
        <w:pBdr/>
        <w:spacing w:before="0" w:after="0"/>
        <w:ind w:left="0" w:right="0" w:hanging="720"/>
        <w:rPr>
          <w:rFonts w:ascii="Times New Roman;Times;serif" w:hAnsi="Times New Roman;Times;serif"/>
          <w:b/>
          <w:sz w:val="20"/>
        </w:rPr>
      </w:pPr>
      <w:r>
        <w:rPr>
          <w:rFonts w:ascii="Times New Roman;Times;serif" w:hAnsi="Times New Roman;Times;serif"/>
          <w:b/>
          <w:sz w:val="20"/>
        </w:rPr>
        <w:t>Note 11.  Fair Value Measurements</w:t>
      </w:r>
    </w:p>
    <w:p>
      <w:pPr>
        <w:pStyle w:val="TextBody"/>
        <w:pBdr/>
        <w:spacing w:before="0" w:after="0"/>
        <w:ind w:left="0" w:right="0" w:hanging="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pStyle w:val="TextBody"/>
        <w:spacing w:before="0" w:after="0"/>
        <w:ind w:left="0" w:right="0" w:firstLine="540"/>
        <w:rPr/>
      </w:pPr>
      <w:r>
        <w:rPr/>
        <w:t>​</w:t>
      </w:r>
    </w:p>
    <w:p>
      <w:pPr>
        <w:pStyle w:val="TextBody"/>
        <w:pBdr/>
        <w:spacing w:before="0" w:after="0"/>
        <w:ind w:left="0" w:right="0" w:hanging="360"/>
        <w:rPr>
          <w:rFonts w:ascii="Times New Roman;Times;serif" w:hAnsi="Times New Roman;Times;serif"/>
          <w:b/>
          <w:sz w:val="20"/>
        </w:rPr>
      </w:pPr>
      <w:r>
        <w:rPr>
          <w:rFonts w:ascii="Times New Roman;Times;serif" w:hAnsi="Times New Roman;Times;serif"/>
          <w:b/>
          <w:sz w:val="20"/>
        </w:rPr>
        <w:t>(a)  Fair Value Hierarchy</w:t>
      </w:r>
    </w:p>
    <w:p>
      <w:pPr>
        <w:pStyle w:val="TextBody"/>
        <w:pBdr/>
        <w:spacing w:before="0" w:after="0"/>
        <w:ind w:left="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pStyle w:val="TextBody"/>
        <w:spacing w:before="0" w:after="0"/>
        <w:ind w:left="0" w:right="0" w:firstLine="54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Level 1 - applies to assets or liabilities for which there are quoted prices in active markets for identical assets or liabilities.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Level 2 -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Level 3 - applies to assets or liabilities for which there are unobservable inputs to the valuation methodology that are significant to the measurement of the fair value of the assets or liabilities.</w:t>
      </w:r>
    </w:p>
    <w:p>
      <w:pPr>
        <w:pStyle w:val="TextBody"/>
        <w:spacing w:before="0" w:after="0"/>
        <w:ind w:left="0" w:right="0" w:hanging="0"/>
        <w:jc w:val="center"/>
        <w:rPr/>
      </w:pPr>
      <w:r>
        <w:rPr/>
        <w:t>​</w:t>
      </w:r>
    </w:p>
    <w:p>
      <w:pPr>
        <w:pStyle w:val="TextBody"/>
        <w:pBdr/>
        <w:spacing w:before="0" w:after="0"/>
        <w:ind w:left="0" w:right="0" w:hanging="360"/>
        <w:rPr>
          <w:rFonts w:ascii="Times New Roman;Times;serif" w:hAnsi="Times New Roman;Times;serif"/>
          <w:b/>
          <w:sz w:val="20"/>
        </w:rPr>
      </w:pPr>
      <w:r>
        <w:rPr>
          <w:rFonts w:ascii="Times New Roman;Times;serif" w:hAnsi="Times New Roman;Times;serif"/>
          <w:b/>
          <w:sz w:val="20"/>
        </w:rPr>
        <w:t>(b)  Fair Value Measurements</w:t>
      </w:r>
    </w:p>
    <w:p>
      <w:pPr>
        <w:pStyle w:val="TextBody"/>
        <w:pBdr/>
        <w:spacing w:before="0" w:after="0"/>
        <w:ind w:left="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money market funds and short-term investments with initial maturities of three months or less are included in cash and cash equivalents in the consolidated balance sheets. Other investments that have a maturity of greater than three months but less than one year are included within short-term investments in the consolidated balance sheets. </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bookmarkStart w:id="837" w:name="Tc_U2GrbkHGd0SJ8V2EmvoZmA_9_11"/>
      <w:bookmarkStart w:id="838" w:name="Tc_0hzH2gRwikeREWM3wN3upQ_9_9"/>
      <w:bookmarkStart w:id="839" w:name="Tc_1yxTsRoeh0qkc6qcyzq6QA_9_8"/>
      <w:bookmarkStart w:id="840" w:name="Tc_vvdhIXZTp0ODsEV7ocsqTA_9_5"/>
      <w:bookmarkStart w:id="841" w:name="Tc_7duJFob64US6joJEpG8BTA_9_2"/>
      <w:bookmarkStart w:id="842" w:name="Tc_gqsohBTqjkaVYIDofeG7aw_9_0"/>
      <w:bookmarkStart w:id="843" w:name="Tc_Cq2viI540kiDnyb4-cJJWw_8_9"/>
      <w:bookmarkStart w:id="844" w:name="Tc_rik7DmJ4ikaDPlow1DiVPw_8_6"/>
      <w:bookmarkStart w:id="845" w:name="Tc_0Fgi4SXwXkOKdkHiijBrTA_8_0"/>
      <w:bookmarkStart w:id="846" w:name="Tc_0EN7KgySK0y_ccvX7e13KQ_7_11"/>
      <w:bookmarkStart w:id="847" w:name="Tc_dO-AsnEZ8kOOPwq5wy7WLw_7_9"/>
      <w:bookmarkStart w:id="848" w:name="Tc_SEESCYPvHkK6lTVBV2pfkA_7_8"/>
      <w:bookmarkStart w:id="849" w:name="Tc_vO7an2sZ_ESQtCE01Cfprg_7_5"/>
      <w:bookmarkStart w:id="850" w:name="Tc_Vtwrtp71HkKtAr4djS0yoA_7_2"/>
      <w:bookmarkStart w:id="851" w:name="Tc_a0tKleD3AEColfszTA1C5Q_7_0"/>
      <w:bookmarkStart w:id="852" w:name="Tc_rcDfWk-X3UmKlOhnwDKYcQ_6_0"/>
      <w:bookmarkStart w:id="853" w:name="Tc_TZBQVvCPFU6tmV5339O5AQ_5_0"/>
      <w:bookmarkStart w:id="854" w:name="Tc_lZRupb4ETECyOPD8SBqo8A_4_2"/>
      <w:bookmarkStart w:id="855" w:name="Tc_jPYjoJtjS0SeuMDMHxh4kQ_3_11"/>
      <w:bookmarkStart w:id="856" w:name="Tc__dqbXYHRO0q6soNRvuaOuw_3_8"/>
      <w:bookmarkStart w:id="857" w:name="Tc_krW8XszV7UWlnvwW8jQO-g_3_5"/>
      <w:bookmarkStart w:id="858" w:name="Tc_VgnoITZoeEaUPjLelvsiFw_3_2"/>
      <w:bookmarkStart w:id="859" w:name="Tc_m6BqmelRz0KMmXXUdMAW7Q_2_2"/>
      <w:bookmarkStart w:id="860" w:name="Tc_IctJzotAtkefPN4dXBjPAA_1_2"/>
      <w:bookmarkStart w:id="861" w:name="_08564c05_a993_43cf_b655_9a9c544a2e50"/>
      <w:bookmarkStart w:id="862" w:name="Tc_bW5BN5nC00CZV3FsbZVP9g_9_11"/>
      <w:bookmarkStart w:id="863" w:name="Tc_zs96W68W-0Ks0n4iIz1fgQ_9_9"/>
      <w:bookmarkStart w:id="864" w:name="Tc_vnrAfNpkxEW8sz93bzQRyA_9_8"/>
      <w:bookmarkStart w:id="865" w:name="Tc_vl3cUXxHPEOAvBiMYV8Mew_9_6"/>
      <w:bookmarkStart w:id="866" w:name="Tc_NVFVUVR2b0eS-mCzbZ1z9A_9_5"/>
      <w:bookmarkStart w:id="867" w:name="Tc_D1_7qS47s0OU3OzcuQybTA_9_2"/>
      <w:bookmarkStart w:id="868" w:name="Tc_p51TFXA2NUGkKoI6TUQAFA_9_0"/>
      <w:bookmarkStart w:id="869" w:name="Tc_h9VDQGYDvE6BHQWN-NoJAA_8_9"/>
      <w:bookmarkStart w:id="870" w:name="Tc_tjkS66A-DEK9PqyH5tFbSw_8_6"/>
      <w:bookmarkStart w:id="871" w:name="Tc_paUf7T57rE25zr3IfKLdLA_8_0"/>
      <w:bookmarkStart w:id="872" w:name="Tc_f-8Ax-9ZiU2JMxpIVF6QUw_7_11"/>
      <w:bookmarkStart w:id="873" w:name="Tc_JytE9pEWzkqCKZ2NPf8QJQ_7_9"/>
      <w:bookmarkStart w:id="874" w:name="Tc_Dchl_Ydx4Eekqx-xMTYqug_7_8"/>
      <w:bookmarkStart w:id="875" w:name="Tc_Fh2qJlSqvUKhogcCEkrZVA_7_6"/>
      <w:bookmarkStart w:id="876" w:name="Tc_fPDcbpiVfEicfKJZlyHwDw_7_5"/>
      <w:bookmarkStart w:id="877" w:name="Tc_lHO8_5f5ikq4oFUS94hLmA_7_2"/>
      <w:bookmarkStart w:id="878" w:name="Tc_MIb2cr3_5UaH3sCV8-oM0Q_7_0"/>
      <w:bookmarkStart w:id="879" w:name="Tc_jYbkCN98DkaoQYFDQ4mVKA_6_0"/>
      <w:bookmarkStart w:id="880" w:name="Tc_V_Ya7dgU4ES2ZC1jGoEKmg_5_0"/>
      <w:bookmarkStart w:id="881" w:name="Tc_uWfTrZKW5UivbpBrKX_VzQ_4_2"/>
      <w:bookmarkStart w:id="882" w:name="Tc_du3M49QSA0GNh_XyiUrSYA_3_11"/>
      <w:bookmarkStart w:id="883" w:name="Tc_ibrcGkHzhUSxqzB2wYw0lA_3_8"/>
      <w:bookmarkStart w:id="884" w:name="Tc_tvsxevR9kkOU6zisbiWNlA_3_5"/>
      <w:bookmarkStart w:id="885" w:name="Tc_u9GjkrobBUS4QkIQ35PHOQ_3_2"/>
      <w:bookmarkStart w:id="886" w:name="Tc_TgbQyddP3EKFMutItBnCOQ_2_2"/>
      <w:bookmarkStart w:id="887" w:name="Tc_dElh04i7hUidxZfnVxUpsw_1_2"/>
      <w:bookmarkStart w:id="888" w:name="_92d7069e_82f5_4ece_a00f_1e464312ddbf"/>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rPr>
          <w:rFonts w:ascii="Times New Roman;Times;serif" w:hAnsi="Times New Roman;Times;serif"/>
          <w:sz w:val="20"/>
        </w:rPr>
        <w:t>The following table sets forth our assets by level within the fair value hierarchy:</w:t>
      </w:r>
    </w:p>
    <w:p>
      <w:pPr>
        <w:pStyle w:val="TextBody"/>
        <w:spacing w:before="0" w:after="0"/>
        <w:ind w:left="0" w:right="0" w:firstLine="490"/>
        <w:rPr/>
      </w:pPr>
      <w:r>
        <w:rPr/>
        <w:t>​</w:t>
      </w:r>
    </w:p>
    <w:tbl>
      <w:tblPr>
        <w:tblW w:w="10205" w:type="dxa"/>
        <w:jc w:val="left"/>
        <w:tblInd w:w="0" w:type="dxa"/>
        <w:tblCellMar>
          <w:top w:w="0" w:type="dxa"/>
          <w:left w:w="0" w:type="dxa"/>
          <w:bottom w:w="0" w:type="dxa"/>
          <w:right w:w="0" w:type="dxa"/>
        </w:tblCellMar>
      </w:tblPr>
      <w:tblGrid>
        <w:gridCol w:w="5464"/>
        <w:gridCol w:w="326"/>
        <w:gridCol w:w="211"/>
        <w:gridCol w:w="781"/>
        <w:gridCol w:w="326"/>
        <w:gridCol w:w="239"/>
        <w:gridCol w:w="392"/>
        <w:gridCol w:w="326"/>
        <w:gridCol w:w="239"/>
        <w:gridCol w:w="392"/>
        <w:gridCol w:w="326"/>
        <w:gridCol w:w="211"/>
        <w:gridCol w:w="781"/>
        <w:gridCol w:w="191"/>
      </w:tblGrid>
      <w:tr>
        <w:trPr/>
        <w:tc>
          <w:tcPr>
            <w:tcW w:w="54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469640" cy="175260"/>
                      <wp:effectExtent l="0" t="0" r="0" b="0"/>
                      <wp:wrapNone/>
                      <wp:docPr id="182" name="Frame182"/>
                      <a:graphic xmlns:a="http://schemas.openxmlformats.org/drawingml/2006/main">
                        <a:graphicData uri="http://schemas.microsoft.com/office/word/2010/wordprocessingShape">
                          <wps:wsp>
                            <wps:cNvSpPr txBox="1"/>
                            <wps:spPr>
                              <a:xfrm>
                                <a:off x="0" y="0"/>
                                <a:ext cx="3469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95935" cy="175260"/>
                      <wp:effectExtent l="0" t="0" r="0" b="0"/>
                      <wp:wrapNone/>
                      <wp:docPr id="185" name="Frame18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51765" cy="175260"/>
                      <wp:effectExtent l="0" t="0" r="0" b="0"/>
                      <wp:wrapNone/>
                      <wp:docPr id="187" name="Frame187"/>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48920" cy="175260"/>
                      <wp:effectExtent l="0" t="0" r="0" b="0"/>
                      <wp:wrapNone/>
                      <wp:docPr id="188" name="Frame188"/>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51765" cy="175260"/>
                      <wp:effectExtent l="0" t="0" r="0" b="0"/>
                      <wp:wrapNone/>
                      <wp:docPr id="190" name="Frame190"/>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48920" cy="175260"/>
                      <wp:effectExtent l="0" t="0" r="0" b="0"/>
                      <wp:wrapNone/>
                      <wp:docPr id="191" name="Frame191"/>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95935" cy="175260"/>
                      <wp:effectExtent l="0" t="0" r="0" b="0"/>
                      <wp:wrapNone/>
                      <wp:docPr id="194" name="Frame19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21285" cy="175260"/>
                      <wp:effectExtent l="0" t="0" r="0" b="0"/>
                      <wp:wrapNone/>
                      <wp:docPr id="195" name="Frame195"/>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224"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191" w:type="dxa"/>
            <w:tcBorders/>
            <w:shd w:fill="auto" w:val="clear"/>
            <w:vAlign w:val="center"/>
          </w:tcPr>
          <w:p>
            <w:pPr>
              <w:pStyle w:val="TableContents"/>
              <w:spacing w:before="0" w:after="0"/>
              <w:ind w:left="0" w:right="0" w:hanging="0"/>
              <w:jc w:val="center"/>
              <w:rPr/>
            </w:pPr>
            <w:r>
              <w:rPr/>
              <w:t> </w:t>
            </w:r>
          </w:p>
        </w:tc>
      </w:tr>
      <w:tr>
        <w:trPr/>
        <w:tc>
          <w:tcPr>
            <w:tcW w:w="54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224"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c>
          <w:tcPr>
            <w:tcW w:w="191" w:type="dxa"/>
            <w:tcBorders/>
            <w:shd w:fill="auto" w:val="clear"/>
            <w:vAlign w:val="center"/>
          </w:tcPr>
          <w:p>
            <w:pPr>
              <w:pStyle w:val="TableContents"/>
              <w:spacing w:before="0" w:after="0"/>
              <w:ind w:left="0" w:right="0" w:hanging="0"/>
              <w:jc w:val="center"/>
              <w:rPr/>
            </w:pPr>
            <w:r>
              <w:rPr/>
              <w:t> </w:t>
            </w:r>
          </w:p>
        </w:tc>
      </w:tr>
      <w:tr>
        <w:trPr/>
        <w:tc>
          <w:tcPr>
            <w:tcW w:w="54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jc w:val="center"/>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jc w:val="center"/>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shd w:fill="auto" w:val="clear"/>
            <w:vAlign w:val="center"/>
          </w:tcPr>
          <w:p>
            <w:pPr>
              <w:pStyle w:val="TableContents"/>
              <w:spacing w:before="0" w:after="0"/>
              <w:ind w:left="0" w:right="0" w:hanging="0"/>
              <w:jc w:val="center"/>
              <w:rPr/>
            </w:pPr>
            <w:r>
              <w:rPr/>
              <w:t> </w:t>
            </w:r>
          </w:p>
        </w:tc>
      </w:tr>
      <w:tr>
        <w:trPr/>
        <w:tc>
          <w:tcPr>
            <w:tcW w:w="10205" w:type="dxa"/>
            <w:gridSpan w:val="14"/>
            <w:tcBorders/>
            <w:shd w:fill="auto" w:val="clear"/>
            <w:vAlign w:val="center"/>
          </w:tcPr>
          <w:p>
            <w:pPr>
              <w:pStyle w:val="TableContents"/>
              <w:spacing w:before="0" w:after="283"/>
              <w:ind w:left="0" w:right="0" w:hanging="0"/>
              <w:rPr>
                <w:sz w:val="4"/>
                <w:szCs w:val="4"/>
              </w:rPr>
            </w:pPr>
            <w:r>
              <w:rPr>
                <w:sz w:val="4"/>
                <w:szCs w:val="4"/>
              </w:rPr>
            </w:r>
          </w:p>
        </w:tc>
      </w:tr>
      <w:tr>
        <w:trPr/>
        <w:tc>
          <w:tcPr>
            <w:tcW w:w="546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224"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54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54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equivalents and other short-term 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54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equivalents (money market funds, U.S. Government Securities and Agency 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83,412</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83,412</w:t>
            </w:r>
          </w:p>
        </w:tc>
        <w:tc>
          <w:tcPr>
            <w:tcW w:w="191" w:type="dxa"/>
            <w:tcBorders/>
            <w:shd w:fill="CCEEFF" w:val="clear"/>
            <w:vAlign w:val="center"/>
          </w:tcPr>
          <w:p>
            <w:pPr>
              <w:pStyle w:val="TableContents"/>
              <w:spacing w:before="0" w:after="0"/>
              <w:ind w:left="0" w:right="0" w:hanging="0"/>
              <w:rPr/>
            </w:pPr>
            <w:r>
              <w:rPr/>
              <w:t>​</w:t>
            </w:r>
          </w:p>
        </w:tc>
      </w:tr>
      <w:tr>
        <w:trPr/>
        <w:tc>
          <w:tcPr>
            <w:tcW w:w="546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investments (U.S. Government Securities and Agency 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280,097</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280,097</w:t>
            </w:r>
          </w:p>
        </w:tc>
        <w:tc>
          <w:tcPr>
            <w:tcW w:w="191" w:type="dxa"/>
            <w:tcBorders/>
            <w:shd w:fill="auto" w:val="clear"/>
            <w:vAlign w:val="center"/>
          </w:tcPr>
          <w:p>
            <w:pPr>
              <w:pStyle w:val="TableContents"/>
              <w:spacing w:before="0" w:after="0"/>
              <w:ind w:left="0" w:right="0" w:hanging="0"/>
              <w:rPr/>
            </w:pPr>
            <w:r>
              <w:rPr/>
              <w:t>​</w:t>
            </w:r>
          </w:p>
        </w:tc>
      </w:tr>
      <w:tr>
        <w:trPr/>
        <w:tc>
          <w:tcPr>
            <w:tcW w:w="54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363,509</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363,509</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208"/>
        <w:gridCol w:w="326"/>
        <w:gridCol w:w="211"/>
        <w:gridCol w:w="781"/>
        <w:gridCol w:w="326"/>
        <w:gridCol w:w="211"/>
        <w:gridCol w:w="676"/>
        <w:gridCol w:w="326"/>
        <w:gridCol w:w="239"/>
        <w:gridCol w:w="392"/>
        <w:gridCol w:w="326"/>
        <w:gridCol w:w="211"/>
        <w:gridCol w:w="781"/>
        <w:gridCol w:w="191"/>
      </w:tblGrid>
      <w:tr>
        <w:trPr/>
        <w:tc>
          <w:tcPr>
            <w:tcW w:w="52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307080" cy="175260"/>
                      <wp:effectExtent l="0" t="0" r="0" b="0"/>
                      <wp:wrapNone/>
                      <wp:docPr id="196" name="Frame196"/>
                      <a:graphic xmlns:a="http://schemas.openxmlformats.org/drawingml/2006/main">
                        <a:graphicData uri="http://schemas.microsoft.com/office/word/2010/wordprocessingShape">
                          <wps:wsp>
                            <wps:cNvSpPr txBox="1"/>
                            <wps:spPr>
                              <a:xfrm>
                                <a:off x="0" y="0"/>
                                <a:ext cx="3307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95935" cy="175260"/>
                      <wp:effectExtent l="0" t="0" r="0" b="0"/>
                      <wp:wrapNone/>
                      <wp:docPr id="199" name="Frame19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29260" cy="175260"/>
                      <wp:effectExtent l="0" t="0" r="0" b="0"/>
                      <wp:wrapNone/>
                      <wp:docPr id="202" name="Frame20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51765" cy="175260"/>
                      <wp:effectExtent l="0" t="0" r="0" b="0"/>
                      <wp:wrapNone/>
                      <wp:docPr id="204" name="Frame204"/>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48920" cy="175260"/>
                      <wp:effectExtent l="0" t="0" r="0" b="0"/>
                      <wp:wrapNone/>
                      <wp:docPr id="205" name="Frame205"/>
                      <a:graphic xmlns:a="http://schemas.openxmlformats.org/drawingml/2006/main">
                        <a:graphicData uri="http://schemas.microsoft.com/office/word/2010/wordprocessingShape">
                          <wps:wsp>
                            <wps:cNvSpPr txBox="1"/>
                            <wps:spPr>
                              <a:xfrm>
                                <a:off x="0" y="0"/>
                                <a:ext cx="248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95935" cy="175260"/>
                      <wp:effectExtent l="0" t="0" r="0" b="0"/>
                      <wp:wrapNone/>
                      <wp:docPr id="208" name="Frame20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1285" cy="175260"/>
                      <wp:effectExtent l="0" t="0" r="0" b="0"/>
                      <wp:wrapNone/>
                      <wp:docPr id="209" name="Frame209"/>
                      <a:graphic xmlns:a="http://schemas.openxmlformats.org/drawingml/2006/main">
                        <a:graphicData uri="http://schemas.microsoft.com/office/word/2010/wordprocessingShape">
                          <wps:wsp>
                            <wps:cNvSpPr txBox="1"/>
                            <wps:spPr>
                              <a:xfrm>
                                <a:off x="0" y="0"/>
                                <a:ext cx="121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480"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91" w:type="dxa"/>
            <w:tcBorders/>
            <w:shd w:fill="auto" w:val="clear"/>
            <w:vAlign w:val="center"/>
          </w:tcPr>
          <w:p>
            <w:pPr>
              <w:pStyle w:val="TableContents"/>
              <w:spacing w:before="0" w:after="0"/>
              <w:ind w:left="0" w:right="0" w:hanging="0"/>
              <w:jc w:val="center"/>
              <w:rPr/>
            </w:pPr>
            <w:r>
              <w:rPr/>
              <w:t> </w:t>
            </w:r>
          </w:p>
        </w:tc>
      </w:tr>
      <w:tr>
        <w:trPr/>
        <w:tc>
          <w:tcPr>
            <w:tcW w:w="52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480"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c>
          <w:tcPr>
            <w:tcW w:w="191" w:type="dxa"/>
            <w:tcBorders/>
            <w:shd w:fill="auto" w:val="clear"/>
            <w:vAlign w:val="center"/>
          </w:tcPr>
          <w:p>
            <w:pPr>
              <w:pStyle w:val="TableContents"/>
              <w:spacing w:before="0" w:after="0"/>
              <w:ind w:left="0" w:right="0" w:hanging="0"/>
              <w:jc w:val="center"/>
              <w:rPr/>
            </w:pPr>
            <w:r>
              <w:rPr/>
              <w:t> </w:t>
            </w:r>
          </w:p>
        </w:tc>
      </w:tr>
      <w:tr>
        <w:trPr/>
        <w:tc>
          <w:tcPr>
            <w:tcW w:w="52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jc w:val="center"/>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shd w:fill="auto" w:val="clear"/>
            <w:vAlign w:val="center"/>
          </w:tcPr>
          <w:p>
            <w:pPr>
              <w:pStyle w:val="TableContents"/>
              <w:spacing w:before="0" w:after="0"/>
              <w:ind w:left="0" w:right="0" w:hanging="0"/>
              <w:jc w:val="center"/>
              <w:rPr/>
            </w:pPr>
            <w:r>
              <w:rPr/>
              <w:t> </w:t>
            </w:r>
          </w:p>
        </w:tc>
      </w:tr>
      <w:tr>
        <w:trPr/>
        <w:tc>
          <w:tcPr>
            <w:tcW w:w="10205" w:type="dxa"/>
            <w:gridSpan w:val="14"/>
            <w:tcBorders/>
            <w:shd w:fill="auto" w:val="clear"/>
            <w:vAlign w:val="center"/>
          </w:tcPr>
          <w:p>
            <w:pPr>
              <w:pStyle w:val="TableContents"/>
              <w:spacing w:before="0" w:after="283"/>
              <w:ind w:left="0" w:right="0" w:hanging="0"/>
              <w:rPr>
                <w:sz w:val="4"/>
                <w:szCs w:val="4"/>
              </w:rPr>
            </w:pPr>
            <w:r>
              <w:rPr>
                <w:sz w:val="4"/>
                <w:szCs w:val="4"/>
              </w:rPr>
            </w:r>
          </w:p>
        </w:tc>
      </w:tr>
      <w:tr>
        <w:trPr/>
        <w:tc>
          <w:tcPr>
            <w:tcW w:w="520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480"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52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39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191" w:type="dxa"/>
            <w:tcBorders/>
            <w:shd w:fill="CCEEFF" w:val="clear"/>
            <w:vAlign w:val="center"/>
          </w:tcPr>
          <w:p>
            <w:pPr>
              <w:pStyle w:val="TableContents"/>
              <w:spacing w:before="0" w:after="0"/>
              <w:ind w:left="0" w:right="0" w:hanging="0"/>
              <w:rPr/>
            </w:pPr>
            <w:r>
              <w:rPr/>
              <w:t>​</w:t>
            </w:r>
          </w:p>
        </w:tc>
      </w:tr>
      <w:tr>
        <w:trPr/>
        <w:tc>
          <w:tcPr>
            <w:tcW w:w="520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equivalents and other short-term 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pPr>
            <w:r>
              <w:rPr/>
              <w:t>​</w:t>
            </w:r>
          </w:p>
        </w:tc>
        <w:tc>
          <w:tcPr>
            <w:tcW w:w="3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191" w:type="dxa"/>
            <w:tcBorders/>
            <w:shd w:fill="auto" w:val="clear"/>
            <w:vAlign w:val="center"/>
          </w:tcPr>
          <w:p>
            <w:pPr>
              <w:pStyle w:val="TableContents"/>
              <w:spacing w:before="0" w:after="0"/>
              <w:ind w:left="0" w:right="0" w:hanging="0"/>
              <w:rPr/>
            </w:pPr>
            <w:r>
              <w:rPr/>
              <w:t>​</w:t>
            </w:r>
          </w:p>
        </w:tc>
      </w:tr>
      <w:tr>
        <w:trPr/>
        <w:tc>
          <w:tcPr>
            <w:tcW w:w="52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equivalents (money market funds, U.S. Government Securities and Agency 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111,771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136,771</w:t>
            </w:r>
          </w:p>
        </w:tc>
        <w:tc>
          <w:tcPr>
            <w:tcW w:w="191" w:type="dxa"/>
            <w:tcBorders/>
            <w:shd w:fill="CCEEFF" w:val="clear"/>
            <w:vAlign w:val="center"/>
          </w:tcPr>
          <w:p>
            <w:pPr>
              <w:pStyle w:val="TableContents"/>
              <w:spacing w:before="0" w:after="0"/>
              <w:ind w:left="0" w:right="0" w:hanging="0"/>
              <w:rPr/>
            </w:pPr>
            <w:r>
              <w:rPr/>
              <w:t>​</w:t>
            </w:r>
          </w:p>
        </w:tc>
      </w:tr>
      <w:tr>
        <w:trPr/>
        <w:tc>
          <w:tcPr>
            <w:tcW w:w="520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investments (U.S. Government Securities and Agency 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245,247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92"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245,247</w:t>
            </w:r>
          </w:p>
        </w:tc>
        <w:tc>
          <w:tcPr>
            <w:tcW w:w="191" w:type="dxa"/>
            <w:tcBorders/>
            <w:shd w:fill="auto" w:val="clear"/>
            <w:vAlign w:val="center"/>
          </w:tcPr>
          <w:p>
            <w:pPr>
              <w:pStyle w:val="TableContents"/>
              <w:spacing w:before="0" w:after="0"/>
              <w:ind w:left="0" w:right="0" w:hanging="0"/>
              <w:rPr/>
            </w:pPr>
            <w:r>
              <w:rPr/>
              <w:t>​</w:t>
            </w:r>
          </w:p>
        </w:tc>
      </w:tr>
      <w:tr>
        <w:trPr/>
        <w:tc>
          <w:tcPr>
            <w:tcW w:w="52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357,018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26" w:type="dxa"/>
            <w:tcBorders/>
            <w:shd w:fill="CCEEFF" w:val="clear"/>
            <w:vAlign w:val="center"/>
          </w:tcPr>
          <w:p>
            <w:pPr>
              <w:pStyle w:val="TableContents"/>
              <w:spacing w:before="0" w:after="0"/>
              <w:ind w:left="0" w:right="0" w:hanging="0"/>
              <w:rPr/>
            </w:pPr>
            <w:r>
              <w:rPr/>
              <w:t>​</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382,018</w:t>
            </w:r>
          </w:p>
        </w:tc>
        <w:tc>
          <w:tcPr>
            <w:tcW w:w="19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pBdr/>
        <w:spacing w:before="0" w:after="0"/>
        <w:ind w:left="0" w:right="0" w:hanging="360"/>
        <w:rPr>
          <w:rFonts w:ascii="Times New Roman;Times;serif" w:hAnsi="Times New Roman;Times;serif"/>
          <w:b/>
          <w:sz w:val="20"/>
        </w:rPr>
      </w:pPr>
      <w:r>
        <w:rPr>
          <w:rFonts w:ascii="Times New Roman;Times;serif" w:hAnsi="Times New Roman;Times;serif"/>
          <w:b/>
          <w:sz w:val="20"/>
        </w:rPr>
        <w:t>(c)  Other Financial Instruments</w:t>
      </w:r>
    </w:p>
    <w:p>
      <w:pPr>
        <w:pStyle w:val="TextBody"/>
        <w:pBdr/>
        <w:spacing w:before="0" w:after="0"/>
        <w:ind w:left="0" w:right="0" w:hanging="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carrying amounts reflected in the consolidated balance sheets for accounts receivable, prepaid expenses and other current assets and non-current assets, restricted cash, accounts payable and accrued expenses approximate fair value due to their short-term maturities.</w:t>
      </w:r>
    </w:p>
    <w:p>
      <w:pPr>
        <w:pStyle w:val="TextBody"/>
        <w:spacing w:before="0" w:after="0"/>
        <w:ind w:left="0" w:right="0" w:firstLine="720"/>
        <w:rPr/>
      </w:pPr>
      <w:r>
        <w:rPr/>
        <w:t>​</w:t>
      </w:r>
    </w:p>
    <w:p>
      <w:pPr>
        <w:pStyle w:val="TextBody"/>
        <w:pBdr/>
        <w:spacing w:before="0" w:after="0"/>
        <w:ind w:left="0" w:right="0" w:hanging="720"/>
        <w:rPr>
          <w:rFonts w:ascii="Times New Roman;Times;serif" w:hAnsi="Times New Roman;Times;serif"/>
          <w:b/>
          <w:sz w:val="20"/>
        </w:rPr>
      </w:pPr>
      <w:r>
        <w:rPr>
          <w:rFonts w:ascii="Times New Roman;Times;serif" w:hAnsi="Times New Roman;Times;serif"/>
          <w:b/>
          <w:sz w:val="20"/>
        </w:rPr>
        <w:t>Note 12.  Financing Arrangements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$46.1 million as of March 31, 2023. The associated lease payments include both an interest component and payment of principal, with the remaining liability being extinguished at the end of the original lease term. As of March 31, 2023, we have a security deposit of $5.9 million related to this lease.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On April 5, 2023 we terminated the Senior Secured Credit Facilities Credit Agreement, as amended (the “Credit Agreement”), with Silicon Valley Bank that we entered into on July 31, 2020. The Credit Agreement provided for a revolving credit facility covering borrowings and letters of credit in an aggregate principal amount not to exceed $40.0 million. Our obligations under the Credit Agreement were secured by a security interest, senior to any current and future debts and to any security interest, in all of our rights, title, and interest in, to and under substantially all of our assets, subject to limited exceptions, including permitted liens. Upon termination, these liens and all other obligations under the credit agreement, were released. A letter of credit remained at Silicon Valley Bank, a division of First-Citizens Bank &amp; Trust Company (successor by purchase to the Federal Deposit Insurance Corporation as Receiver for Silicon Valley Bridge Bank, N.A.) as successor to Silicon Valley Bank, in the amount of $5.9 million, securing our lease on our corporate headquarters. This letter of credit was transitioned to a cash collateral arrangment on March 30, 2023, and is classified as long-term restricted cash on our balance sheet at March 31, 2023.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0" w:right="0" w:hanging="720"/>
        <w:rPr/>
      </w:pPr>
      <w:bookmarkStart w:id="889" w:name="_Hlk101530675"/>
      <w:bookmarkEnd w:id="889"/>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13.  Income Taxes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Income tax expense was $5.2 million for the three months ended March 31, 2023, compared to $4.3 million for the three months ended March 31, 2022. The $0.9 million increase was primarily due to an increase in taxable income.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effective tax rate for the three months ended March 31, 2023 was less than the U.S. statutory rate of 21% due to a forecasted Foreign Derived Intangible Income deduction, Federal research and development tax credits and a favorable discrete item related to equity compensation that reduces the annual tax rate.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deferred income taxes of $35.4 million and $31.7 million as of March 31, 2023 and December 31, 2022, respectively, reflect the net tax effect of temporary differences between the carrying amount of assets and liabilities for financial reporting purposes and the amounts used for income tax purposes, as well as the tax effect of carryforwards. As of March 31, 2023, we have recorded a $10.9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 </w:t>
      </w:r>
    </w:p>
    <w:p>
      <w:pPr>
        <w:pStyle w:val="TextBody"/>
        <w:spacing w:before="0" w:after="0"/>
        <w:ind w:left="0" w:right="0" w:firstLine="720"/>
        <w:rPr/>
      </w:pPr>
      <w:r>
        <w:rPr/>
        <w:t>​</w:t>
      </w:r>
    </w:p>
    <w:p>
      <w:pPr>
        <w:pStyle w:val="TextBody"/>
        <w:pBdr/>
        <w:spacing w:before="0" w:after="0"/>
        <w:ind w:left="0" w:right="0" w:hanging="806"/>
        <w:rPr>
          <w:rFonts w:ascii="Times New Roman;Times;serif" w:hAnsi="Times New Roman;Times;serif"/>
          <w:b/>
          <w:sz w:val="20"/>
        </w:rPr>
      </w:pPr>
      <w:r>
        <w:rPr>
          <w:rFonts w:ascii="Times New Roman;Times;serif" w:hAnsi="Times New Roman;Times;serif"/>
          <w:b/>
          <w:sz w:val="20"/>
        </w:rPr>
        <w:t>Note 14.  Concentration of Risk</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the three months ended March 31, 2023, two customers accounted for 15.2% and 12.9% of total revenue, respectively. For the three months ended March 31, 2022, two customers accounted for 15.0% and 11.1% of total revenue, respectively.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March 31, 2023, two customers accounted for 14.0% and 13.4% of accounts receivable, respectively. At December 31, 2022, two customers accounted for 19.4% and 11.5% of accounts receivable, respectively.</w:t>
      </w:r>
    </w:p>
    <w:p>
      <w:pPr>
        <w:pStyle w:val="TextBody"/>
        <w:spacing w:before="0" w:after="0"/>
        <w:ind w:left="0" w:right="0" w:firstLine="54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15. Share Repurchase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February 2022, our Board of Directors approved stock repurchases of up to $100 million of our common stock. During the three months ended March 31, 2023, we purchased 0.1 million shares at an average cost of $117.23 per share. The timing and actual number of any additional shares to be repurchased under this program will depend on various factors including price, corporate and regulatory requirements, alternative investment opportunities and other market conditions. </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Repurchased shares are accounted for when the transaction is settled and returned to the status of authorized but unissued shares. Accordingly, the repurchases are deducted from common stock for par value and from additional paid-in capital for the excess over par value. If additional paid-in capital has been exhausted, the excess over par value is deducted from retained earnings. Direct costs incurred to acquire the shares are included in the total cost of the shares.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16.  Contingencies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(a)  Litigation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from time to time a party to litigation that arises in the normal course of our business operations. We are not presently a party to any litigation that we believe might have a material adverse effect on our business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(b)  Indemnifications</w:t>
      </w:r>
    </w:p>
    <w:p>
      <w:pPr>
        <w:pStyle w:val="TextBody"/>
        <w:spacing w:lineRule="atLeast" w:line="210"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890" w:name="Item2ManagementsDiscussionandAnalysisofF"/>
      <w:bookmarkStart w:id="891" w:name="_contentSection_6c6e17d5_8958_404b_8f79_"/>
      <w:bookmarkStart w:id="892" w:name="_aae9a80e_a30d_4d79_aaf5_41b24cea6d26"/>
      <w:bookmarkEnd w:id="890"/>
      <w:bookmarkEnd w:id="891"/>
      <w:bookmarkEnd w:id="892"/>
      <w:r>
        <w:rPr>
          <w:rFonts w:ascii="Times New Roman;Times;serif" w:hAnsi="Times New Roman;Times;serif"/>
          <w:b/>
          <w:sz w:val="20"/>
        </w:rPr>
        <w:t>Item 2.  Management’s Discussion and Analysis of Financial Condition and Results of Operations.</w:t>
      </w:r>
    </w:p>
    <w:p>
      <w:pPr>
        <w:pStyle w:val="TextBody"/>
        <w:spacing w:before="0" w:after="0"/>
        <w:ind w:left="0" w:right="0" w:hanging="0"/>
        <w:rPr/>
      </w:pPr>
      <w:r>
        <w:rPr/>
        <w:t>​</w:t>
      </w:r>
    </w:p>
    <w:p>
      <w:pPr>
        <w:pStyle w:val="TextBody"/>
        <w:spacing w:before="0" w:after="0"/>
        <w:ind w:left="0" w:right="0" w:firstLine="720"/>
        <w:rPr/>
      </w:pPr>
      <w:r>
        <w:rPr>
          <w:rFonts w:ascii="Times New Roman;Times;serif" w:hAnsi="Times New Roman;Times;serif"/>
          <w:i/>
          <w:sz w:val="20"/>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below and under “Risk Factors” in Part I, Item 1A to our </w:t>
      </w:r>
      <w:hyperlink r:id="rId2">
        <w:r>
          <w:rPr>
            <w:rStyle w:val="InternetLink"/>
            <w:rFonts w:ascii="Times New Roman;Times;serif" w:hAnsi="Times New Roman;Times;serif"/>
            <w:b w:val="false"/>
            <w:i/>
            <w:sz w:val="20"/>
          </w:rPr>
          <w:t>Annual Report on Form 10-K for the year ended December 31, 2022</w:t>
        </w:r>
      </w:hyperlink>
      <w:r>
        <w:rPr>
          <w:rFonts w:ascii="Times New Roman;Times;serif" w:hAnsi="Times New Roman;Times;serif"/>
          <w:i/>
          <w:sz w:val="20"/>
        </w:rPr>
        <w:t>, which discussion is incorporated herein by reference.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893" w:name="Overview_288809"/>
      <w:bookmarkEnd w:id="893"/>
      <w:r>
        <w:rPr>
          <w:rFonts w:ascii="Times New Roman;Times;serif" w:hAnsi="Times New Roman;Times;serif"/>
          <w:b/>
          <w:sz w:val="20"/>
        </w:rPr>
        <w:t>Overview</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64.7% of total revenue for the three months ended March 31, 2023.</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first three months of 2023 exhibited continued strong demand for our capital equipment, despite a downturn in the memory segment of our industry that is causing other semiconductor equipment makers to experience lower revenues than the same period in the prior year. Supply chain performance improved, but has not completely recovered from the challenges seen in prior periods. Axcelis’ strong results in the first three months of 2023 demonstrate our ability to meet demand and manage supply chain difficulties. Our performance is closely related to the growing mature process technology market, with 89% of shipments during the first three months of 2023 going to mature foundry/logic customers.</w:t>
      </w:r>
    </w:p>
    <w:p>
      <w:pPr>
        <w:pStyle w:val="TextBody"/>
        <w:spacing w:before="0" w:after="0"/>
        <w:ind w:left="0" w:right="0" w:firstLine="720"/>
        <w:rPr/>
      </w:pPr>
      <w:r>
        <w:rPr/>
        <w:t xml:space="preserve">  </w:t>
      </w:r>
    </w:p>
    <w:p>
      <w:pPr>
        <w:pStyle w:val="TextBody"/>
        <w:spacing w:before="0" w:after="0"/>
        <w:ind w:left="0" w:right="0" w:hanging="0"/>
        <w:rPr>
          <w:rFonts w:ascii="Times New Roman;Times;serif" w:hAnsi="Times New Roman;Times;serif"/>
          <w:b/>
          <w:sz w:val="20"/>
        </w:rPr>
      </w:pPr>
      <w:bookmarkStart w:id="894" w:name="CriticalAccountingEstimates_482826"/>
      <w:bookmarkEnd w:id="894"/>
      <w:r>
        <w:rPr>
          <w:rFonts w:ascii="Times New Roman;Times;serif" w:hAnsi="Times New Roman;Times;serif"/>
          <w:b/>
          <w:sz w:val="20"/>
        </w:rPr>
        <w:t>Critical Accounting Estimates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Management’s discussion and analysis of our financial condition and results of operations included herein and in our Annual Report on Form 10-K for the year ended December 31, 2022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Management has not identified any need to make any material change in, and has not changed, any of our critical accounting estimates and judgments as described in “Management’s Discussion and Analysis of Financial Condition and Results of Operations” included in our Annual Report on Form 10-K for the year ended December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895" w:name="ResultsofOperations_659595"/>
      <w:bookmarkEnd w:id="895"/>
      <w:r>
        <w:rPr>
          <w:rFonts w:ascii="Times New Roman;Times;serif" w:hAnsi="Times New Roman;Times;serif"/>
          <w:b/>
          <w:sz w:val="20"/>
        </w:rPr>
        <w:t>Results of Operations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our results of operations as a percentage of total revenue:</w:t>
      </w:r>
    </w:p>
    <w:p>
      <w:pPr>
        <w:pStyle w:val="TextBody"/>
        <w:spacing w:before="0" w:after="0"/>
        <w:ind w:left="0" w:right="0" w:firstLine="720"/>
        <w:rPr/>
      </w:pPr>
      <w:r>
        <w:rPr/>
        <w:t>​</w:t>
      </w:r>
    </w:p>
    <w:tbl>
      <w:tblPr>
        <w:tblW w:w="4803" w:type="dxa"/>
        <w:jc w:val="left"/>
        <w:tblInd w:w="0" w:type="dxa"/>
        <w:tblCellMar>
          <w:top w:w="0" w:type="dxa"/>
          <w:left w:w="0" w:type="dxa"/>
          <w:bottom w:w="0" w:type="dxa"/>
          <w:right w:w="0" w:type="dxa"/>
        </w:tblCellMar>
      </w:tblPr>
      <w:tblGrid>
        <w:gridCol w:w="2176"/>
        <w:gridCol w:w="326"/>
        <w:gridCol w:w="608"/>
        <w:gridCol w:w="388"/>
        <w:gridCol w:w="608"/>
        <w:gridCol w:w="326"/>
        <w:gridCol w:w="371"/>
      </w:tblGrid>
      <w:tr>
        <w:trPr/>
        <w:tc>
          <w:tcPr>
            <w:tcW w:w="21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81760" cy="175260"/>
                      <wp:effectExtent l="0" t="0" r="0" b="0"/>
                      <wp:wrapNone/>
                      <wp:docPr id="210" name="Frame210"/>
                      <a:graphic xmlns:a="http://schemas.openxmlformats.org/drawingml/2006/main">
                        <a:graphicData uri="http://schemas.microsoft.com/office/word/2010/wordprocessingShape">
                          <wps:wsp>
                            <wps:cNvSpPr txBox="1"/>
                            <wps:spPr>
                              <a:xfrm>
                                <a:off x="0" y="0"/>
                                <a:ext cx="1381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86080" cy="175260"/>
                      <wp:effectExtent l="0" t="0" r="0" b="0"/>
                      <wp:wrapNone/>
                      <wp:docPr id="212" name="Frame212"/>
                      <a:graphic xmlns:a="http://schemas.openxmlformats.org/drawingml/2006/main">
                        <a:graphicData uri="http://schemas.microsoft.com/office/word/2010/wordprocessingShape">
                          <wps:wsp>
                            <wps:cNvSpPr txBox="1"/>
                            <wps:spPr>
                              <a:xfrm>
                                <a:off x="0" y="0"/>
                                <a:ext cx="386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46380" cy="175260"/>
                      <wp:effectExtent l="0" t="0" r="0" b="0"/>
                      <wp:wrapNone/>
                      <wp:docPr id="213" name="Frame213"/>
                      <a:graphic xmlns:a="http://schemas.openxmlformats.org/drawingml/2006/main">
                        <a:graphicData uri="http://schemas.microsoft.com/office/word/2010/wordprocessingShape">
                          <wps:wsp>
                            <wps:cNvSpPr txBox="1"/>
                            <wps:spPr>
                              <a:xfrm>
                                <a:off x="0" y="0"/>
                                <a:ext cx="246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86080" cy="175260"/>
                      <wp:effectExtent l="0" t="0" r="0" b="0"/>
                      <wp:wrapNone/>
                      <wp:docPr id="214" name="Frame214"/>
                      <a:graphic xmlns:a="http://schemas.openxmlformats.org/drawingml/2006/main">
                        <a:graphicData uri="http://schemas.microsoft.com/office/word/2010/wordprocessingShape">
                          <wps:wsp>
                            <wps:cNvSpPr txBox="1"/>
                            <wps:spPr>
                              <a:xfrm>
                                <a:off x="0" y="0"/>
                                <a:ext cx="386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35585" cy="175260"/>
                      <wp:effectExtent l="0" t="0" r="0" b="0"/>
                      <wp:wrapNone/>
                      <wp:docPr id="216" name="Frame216"/>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04"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21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04"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21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0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8" w:type="dxa"/>
            <w:tcBorders/>
            <w:shd w:fill="auto" w:val="clear"/>
            <w:vAlign w:val="center"/>
          </w:tcPr>
          <w:p>
            <w:pPr>
              <w:pStyle w:val="TableContents"/>
              <w:spacing w:before="0" w:after="0"/>
              <w:ind w:left="0" w:right="0" w:hanging="0"/>
              <w:rPr/>
            </w:pPr>
            <w:r>
              <w:rPr/>
              <w:t>    </w:t>
            </w:r>
          </w:p>
        </w:tc>
        <w:tc>
          <w:tcPr>
            <w:tcW w:w="60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2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Revenue:</w:t>
            </w:r>
          </w:p>
        </w:tc>
        <w:tc>
          <w:tcPr>
            <w:tcW w:w="326" w:type="dxa"/>
            <w:tcBorders/>
            <w:shd w:fill="CCEEFF" w:val="clear"/>
            <w:vAlign w:val="center"/>
          </w:tcPr>
          <w:p>
            <w:pPr>
              <w:pStyle w:val="TableContents"/>
              <w:spacing w:before="0" w:after="0"/>
              <w:ind w:left="0" w:right="0" w:hanging="0"/>
              <w:rPr/>
            </w:pPr>
            <w:r>
              <w:rPr/>
              <w:t>​</w:t>
            </w:r>
          </w:p>
        </w:tc>
        <w:tc>
          <w:tcPr>
            <w:tcW w:w="608" w:type="dxa"/>
            <w:tcBorders/>
            <w:shd w:fill="CCEEFF" w:val="clear"/>
            <w:vAlign w:val="center"/>
          </w:tcPr>
          <w:p>
            <w:pPr>
              <w:pStyle w:val="TableContents"/>
              <w:spacing w:before="0" w:after="0"/>
              <w:ind w:left="0" w:right="0" w:hanging="0"/>
              <w:jc w:val="right"/>
              <w:rPr/>
            </w:pPr>
            <w:r>
              <w:rPr/>
              <w:t>​</w:t>
            </w:r>
          </w:p>
        </w:tc>
        <w:tc>
          <w:tcPr>
            <w:tcW w:w="388" w:type="dxa"/>
            <w:tcBorders/>
            <w:shd w:fill="CCEEFF" w:val="clear"/>
            <w:vAlign w:val="center"/>
          </w:tcPr>
          <w:p>
            <w:pPr>
              <w:pStyle w:val="TableContents"/>
              <w:spacing w:before="0" w:after="0"/>
              <w:ind w:left="0" w:right="0" w:hanging="0"/>
              <w:rPr/>
            </w:pPr>
            <w:r>
              <w:rPr/>
              <w:t>​</w:t>
            </w:r>
          </w:p>
        </w:tc>
        <w:tc>
          <w:tcPr>
            <w:tcW w:w="60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2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Product</w:t>
            </w:r>
          </w:p>
        </w:tc>
        <w:tc>
          <w:tcPr>
            <w:tcW w:w="326" w:type="dxa"/>
            <w:tcBorders/>
            <w:shd w:fill="auto" w:val="clear"/>
            <w:vAlign w:val="center"/>
          </w:tcPr>
          <w:p>
            <w:pPr>
              <w:pStyle w:val="TableContents"/>
              <w:spacing w:before="0" w:after="0"/>
              <w:ind w:left="0" w:right="0" w:hanging="0"/>
              <w:rPr/>
            </w:pPr>
            <w:r>
              <w:rPr/>
              <w:t>​</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96.8</w:t>
            </w:r>
          </w:p>
        </w:tc>
        <w:tc>
          <w:tcPr>
            <w:tcW w:w="388"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96.5</w:t>
            </w:r>
          </w:p>
        </w:tc>
        <w:tc>
          <w:tcPr>
            <w:tcW w:w="3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71" w:type="dxa"/>
            <w:tcBorders/>
            <w:shd w:fill="auto" w:val="clear"/>
            <w:vAlign w:val="center"/>
          </w:tcPr>
          <w:p>
            <w:pPr>
              <w:pStyle w:val="TableContents"/>
              <w:spacing w:before="0" w:after="0"/>
              <w:ind w:left="0" w:right="0" w:hanging="0"/>
              <w:rPr/>
            </w:pPr>
            <w:r>
              <w:rPr/>
              <w:t>​</w:t>
            </w:r>
          </w:p>
        </w:tc>
      </w:tr>
      <w:tr>
        <w:trPr/>
        <w:tc>
          <w:tcPr>
            <w:tcW w:w="2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spacing w:before="0" w:after="0"/>
              <w:ind w:left="0" w:right="0" w:hanging="0"/>
              <w:rPr/>
            </w:pPr>
            <w:r>
              <w:rPr/>
              <w:t> </w:t>
            </w:r>
          </w:p>
        </w:tc>
        <w:tc>
          <w:tcPr>
            <w:tcW w:w="6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88" w:type="dxa"/>
            <w:tcBorders/>
            <w:shd w:fill="CCEEFF" w:val="clear"/>
            <w:vAlign w:val="center"/>
          </w:tcPr>
          <w:p>
            <w:pPr>
              <w:pStyle w:val="TableContents"/>
              <w:spacing w:before="0" w:after="0"/>
              <w:ind w:left="0" w:right="0" w:hanging="0"/>
              <w:rPr/>
            </w:pPr>
            <w:r>
              <w:rPr/>
              <w:t> </w:t>
            </w:r>
          </w:p>
        </w:tc>
        <w:tc>
          <w:tcPr>
            <w:tcW w:w="6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26" w:type="dxa"/>
            <w:tcBorders/>
            <w:shd w:fill="CCEEFF" w:val="clear"/>
            <w:vAlign w:val="center"/>
          </w:tcPr>
          <w:p>
            <w:pPr>
              <w:pStyle w:val="TableContents"/>
              <w:spacing w:before="0" w:after="0"/>
              <w:ind w:left="0" w:right="0" w:hanging="0"/>
              <w:rPr/>
            </w:pPr>
            <w:r>
              <w:rPr/>
              <w:t> </w:t>
            </w:r>
          </w:p>
        </w:tc>
        <w:tc>
          <w:tcPr>
            <w:tcW w:w="371" w:type="dxa"/>
            <w:tcBorders/>
            <w:shd w:fill="CCEEFF" w:val="clear"/>
            <w:vAlign w:val="center"/>
          </w:tcPr>
          <w:p>
            <w:pPr>
              <w:pStyle w:val="TableContents"/>
              <w:spacing w:before="0" w:after="0"/>
              <w:ind w:left="0" w:right="0" w:hanging="0"/>
              <w:rPr/>
            </w:pPr>
            <w:r>
              <w:rPr/>
              <w:t> </w:t>
            </w:r>
          </w:p>
        </w:tc>
      </w:tr>
      <w:tr>
        <w:trPr/>
        <w:tc>
          <w:tcPr>
            <w:tcW w:w="2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revenue</w:t>
            </w:r>
          </w:p>
        </w:tc>
        <w:tc>
          <w:tcPr>
            <w:tcW w:w="326" w:type="dxa"/>
            <w:tcBorders/>
            <w:shd w:fill="auto" w:val="clear"/>
            <w:vAlign w:val="center"/>
          </w:tcPr>
          <w:p>
            <w:pPr>
              <w:pStyle w:val="TableContents"/>
              <w:spacing w:before="0" w:after="0"/>
              <w:ind w:left="0" w:right="0" w:hanging="0"/>
              <w:rPr/>
            </w:pPr>
            <w:r>
              <w:rPr/>
              <w:t> </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88" w:type="dxa"/>
            <w:tcBorders/>
            <w:shd w:fill="auto" w:val="clear"/>
            <w:vAlign w:val="center"/>
          </w:tcPr>
          <w:p>
            <w:pPr>
              <w:pStyle w:val="TableContents"/>
              <w:spacing w:before="0" w:after="0"/>
              <w:ind w:left="0" w:right="0" w:hanging="0"/>
              <w:rPr/>
            </w:pPr>
            <w:r>
              <w:rPr/>
              <w:t> </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2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Cost of revenue:</w:t>
            </w:r>
          </w:p>
        </w:tc>
        <w:tc>
          <w:tcPr>
            <w:tcW w:w="326" w:type="dxa"/>
            <w:tcBorders/>
            <w:shd w:fill="CCEEFF" w:val="clear"/>
            <w:vAlign w:val="center"/>
          </w:tcPr>
          <w:p>
            <w:pPr>
              <w:pStyle w:val="TableContents"/>
              <w:spacing w:before="0" w:after="0"/>
              <w:ind w:left="0" w:right="0" w:hanging="0"/>
              <w:rPr/>
            </w:pPr>
            <w:r>
              <w:rPr/>
              <w:t>​</w:t>
            </w:r>
          </w:p>
        </w:tc>
        <w:tc>
          <w:tcPr>
            <w:tcW w:w="608" w:type="dxa"/>
            <w:tcBorders/>
            <w:shd w:fill="CCEEFF" w:val="clear"/>
            <w:vAlign w:val="center"/>
          </w:tcPr>
          <w:p>
            <w:pPr>
              <w:pStyle w:val="TableContents"/>
              <w:spacing w:before="0" w:after="0"/>
              <w:ind w:left="0" w:right="0" w:hanging="0"/>
              <w:jc w:val="right"/>
              <w:rPr/>
            </w:pPr>
            <w:r>
              <w:rPr/>
              <w:t>​</w:t>
            </w:r>
          </w:p>
        </w:tc>
        <w:tc>
          <w:tcPr>
            <w:tcW w:w="388" w:type="dxa"/>
            <w:tcBorders/>
            <w:shd w:fill="CCEEFF" w:val="clear"/>
            <w:vAlign w:val="center"/>
          </w:tcPr>
          <w:p>
            <w:pPr>
              <w:pStyle w:val="TableContents"/>
              <w:spacing w:before="0" w:after="0"/>
              <w:ind w:left="0" w:right="0" w:hanging="0"/>
              <w:rPr/>
            </w:pPr>
            <w:r>
              <w:rPr/>
              <w:t>​</w:t>
            </w:r>
          </w:p>
        </w:tc>
        <w:tc>
          <w:tcPr>
            <w:tcW w:w="60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2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Product</w:t>
            </w:r>
          </w:p>
        </w:tc>
        <w:tc>
          <w:tcPr>
            <w:tcW w:w="326" w:type="dxa"/>
            <w:tcBorders/>
            <w:shd w:fill="auto" w:val="clear"/>
            <w:vAlign w:val="center"/>
          </w:tcPr>
          <w:p>
            <w:pPr>
              <w:pStyle w:val="TableContents"/>
              <w:spacing w:before="0" w:after="0"/>
              <w:ind w:left="0" w:right="0" w:hanging="0"/>
              <w:rPr/>
            </w:pPr>
            <w:r>
              <w:rPr/>
              <w:t> </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56.2</w:t>
            </w:r>
          </w:p>
        </w:tc>
        <w:tc>
          <w:tcPr>
            <w:tcW w:w="388" w:type="dxa"/>
            <w:tcBorders/>
            <w:shd w:fill="auto" w:val="clear"/>
            <w:vAlign w:val="center"/>
          </w:tcPr>
          <w:p>
            <w:pPr>
              <w:pStyle w:val="TableContents"/>
              <w:spacing w:before="0" w:after="0"/>
              <w:ind w:left="0" w:right="0" w:hanging="0"/>
              <w:rPr/>
            </w:pPr>
            <w:r>
              <w:rPr/>
              <w:t> </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52.9</w:t>
            </w:r>
          </w:p>
        </w:tc>
        <w:tc>
          <w:tcPr>
            <w:tcW w:w="32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2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spacing w:before="0" w:after="0"/>
              <w:ind w:left="0" w:right="0" w:hanging="0"/>
              <w:rPr/>
            </w:pPr>
            <w:r>
              <w:rPr/>
              <w:t> </w:t>
            </w:r>
          </w:p>
        </w:tc>
        <w:tc>
          <w:tcPr>
            <w:tcW w:w="6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88" w:type="dxa"/>
            <w:tcBorders/>
            <w:shd w:fill="CCEEFF" w:val="clear"/>
            <w:vAlign w:val="center"/>
          </w:tcPr>
          <w:p>
            <w:pPr>
              <w:pStyle w:val="TableContents"/>
              <w:spacing w:before="0" w:after="0"/>
              <w:ind w:left="0" w:right="0" w:hanging="0"/>
              <w:rPr/>
            </w:pPr>
            <w:r>
              <w:rPr/>
              <w:t> </w:t>
            </w:r>
          </w:p>
        </w:tc>
        <w:tc>
          <w:tcPr>
            <w:tcW w:w="6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26" w:type="dxa"/>
            <w:tcBorders/>
            <w:shd w:fill="CCEEFF" w:val="clear"/>
            <w:vAlign w:val="center"/>
          </w:tcPr>
          <w:p>
            <w:pPr>
              <w:pStyle w:val="TableContents"/>
              <w:spacing w:before="0" w:after="0"/>
              <w:ind w:left="0" w:right="0" w:hanging="0"/>
              <w:rPr/>
            </w:pPr>
            <w:r>
              <w:rPr/>
              <w:t> </w:t>
            </w:r>
          </w:p>
        </w:tc>
        <w:tc>
          <w:tcPr>
            <w:tcW w:w="371" w:type="dxa"/>
            <w:tcBorders/>
            <w:shd w:fill="CCEEFF" w:val="clear"/>
            <w:vAlign w:val="center"/>
          </w:tcPr>
          <w:p>
            <w:pPr>
              <w:pStyle w:val="TableContents"/>
              <w:spacing w:before="0" w:after="0"/>
              <w:ind w:left="0" w:right="0" w:hanging="0"/>
              <w:rPr/>
            </w:pPr>
            <w:r>
              <w:rPr/>
              <w:t> </w:t>
            </w:r>
          </w:p>
        </w:tc>
      </w:tr>
      <w:tr>
        <w:trPr/>
        <w:tc>
          <w:tcPr>
            <w:tcW w:w="2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cost of revenue</w:t>
            </w:r>
          </w:p>
        </w:tc>
        <w:tc>
          <w:tcPr>
            <w:tcW w:w="326" w:type="dxa"/>
            <w:tcBorders/>
            <w:shd w:fill="auto" w:val="clear"/>
            <w:vAlign w:val="center"/>
          </w:tcPr>
          <w:p>
            <w:pPr>
              <w:pStyle w:val="TableContents"/>
              <w:spacing w:before="0" w:after="0"/>
              <w:ind w:left="0" w:right="0" w:hanging="0"/>
              <w:rPr/>
            </w:pPr>
            <w:r>
              <w:rPr/>
              <w:t> </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59.0</w:t>
            </w:r>
          </w:p>
        </w:tc>
        <w:tc>
          <w:tcPr>
            <w:tcW w:w="388" w:type="dxa"/>
            <w:tcBorders/>
            <w:shd w:fill="auto" w:val="clear"/>
            <w:vAlign w:val="center"/>
          </w:tcPr>
          <w:p>
            <w:pPr>
              <w:pStyle w:val="TableContents"/>
              <w:spacing w:before="0" w:after="0"/>
              <w:ind w:left="0" w:right="0" w:hanging="0"/>
              <w:rPr/>
            </w:pPr>
            <w:r>
              <w:rPr/>
              <w:t> </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55.9</w:t>
            </w:r>
          </w:p>
        </w:tc>
        <w:tc>
          <w:tcPr>
            <w:tcW w:w="32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2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spacing w:before="0" w:after="0"/>
              <w:ind w:left="0" w:right="0" w:hanging="0"/>
              <w:rPr/>
            </w:pPr>
            <w:r>
              <w:rPr/>
              <w:t> </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41.0</w:t>
            </w:r>
          </w:p>
        </w:tc>
        <w:tc>
          <w:tcPr>
            <w:tcW w:w="388" w:type="dxa"/>
            <w:tcBorders/>
            <w:shd w:fill="CCEEFF" w:val="clear"/>
            <w:vAlign w:val="center"/>
          </w:tcPr>
          <w:p>
            <w:pPr>
              <w:pStyle w:val="TableContents"/>
              <w:spacing w:before="0" w:after="0"/>
              <w:ind w:left="0" w:right="0" w:hanging="0"/>
              <w:rPr/>
            </w:pPr>
            <w:r>
              <w:rPr/>
              <w:t> </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44.1</w:t>
            </w:r>
          </w:p>
        </w:tc>
        <w:tc>
          <w:tcPr>
            <w:tcW w:w="326" w:type="dxa"/>
            <w:tcBorders/>
            <w:shd w:fill="CCEEFF" w:val="clear"/>
            <w:vAlign w:val="center"/>
          </w:tcPr>
          <w:p>
            <w:pPr>
              <w:pStyle w:val="TableContents"/>
              <w:spacing w:before="0" w:after="0"/>
              <w:ind w:left="0" w:right="0" w:hanging="0"/>
              <w:rPr/>
            </w:pPr>
            <w:r>
              <w:rPr/>
              <w:t> </w:t>
            </w:r>
          </w:p>
        </w:tc>
        <w:tc>
          <w:tcPr>
            <w:tcW w:w="371" w:type="dxa"/>
            <w:tcBorders/>
            <w:shd w:fill="CCEEFF" w:val="clear"/>
            <w:vAlign w:val="center"/>
          </w:tcPr>
          <w:p>
            <w:pPr>
              <w:pStyle w:val="TableContents"/>
              <w:spacing w:before="0" w:after="0"/>
              <w:ind w:left="0" w:right="0" w:hanging="0"/>
              <w:rPr/>
            </w:pPr>
            <w:r>
              <w:rPr/>
              <w:t> </w:t>
            </w:r>
          </w:p>
        </w:tc>
      </w:tr>
      <w:tr>
        <w:trPr/>
        <w:tc>
          <w:tcPr>
            <w:tcW w:w="2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Operating expenses:</w:t>
            </w:r>
          </w:p>
        </w:tc>
        <w:tc>
          <w:tcPr>
            <w:tcW w:w="326" w:type="dxa"/>
            <w:tcBorders/>
            <w:shd w:fill="auto" w:val="clear"/>
            <w:vAlign w:val="center"/>
          </w:tcPr>
          <w:p>
            <w:pPr>
              <w:pStyle w:val="TableContents"/>
              <w:spacing w:before="0" w:after="0"/>
              <w:ind w:left="0" w:right="0" w:hanging="0"/>
              <w:rPr/>
            </w:pPr>
            <w:r>
              <w:rPr/>
              <w:t>​</w:t>
            </w:r>
          </w:p>
        </w:tc>
        <w:tc>
          <w:tcPr>
            <w:tcW w:w="608" w:type="dxa"/>
            <w:tcBorders/>
            <w:shd w:fill="auto" w:val="clear"/>
            <w:vAlign w:val="center"/>
          </w:tcPr>
          <w:p>
            <w:pPr>
              <w:pStyle w:val="TableContents"/>
              <w:spacing w:before="0" w:after="0"/>
              <w:ind w:left="0" w:right="0" w:hanging="0"/>
              <w:jc w:val="right"/>
              <w:rPr/>
            </w:pPr>
            <w:r>
              <w:rPr/>
              <w:t>​</w:t>
            </w:r>
          </w:p>
        </w:tc>
        <w:tc>
          <w:tcPr>
            <w:tcW w:w="388" w:type="dxa"/>
            <w:tcBorders/>
            <w:shd w:fill="auto" w:val="clear"/>
            <w:vAlign w:val="center"/>
          </w:tcPr>
          <w:p>
            <w:pPr>
              <w:pStyle w:val="TableContents"/>
              <w:spacing w:before="0" w:after="0"/>
              <w:ind w:left="0" w:right="0" w:hanging="0"/>
              <w:rPr/>
            </w:pPr>
            <w:r>
              <w:rPr/>
              <w:t>​</w:t>
            </w:r>
          </w:p>
        </w:tc>
        <w:tc>
          <w:tcPr>
            <w:tcW w:w="60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2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Research and development</w:t>
            </w:r>
          </w:p>
        </w:tc>
        <w:tc>
          <w:tcPr>
            <w:tcW w:w="326" w:type="dxa"/>
            <w:tcBorders/>
            <w:shd w:fill="CCEEFF" w:val="clear"/>
            <w:vAlign w:val="center"/>
          </w:tcPr>
          <w:p>
            <w:pPr>
              <w:pStyle w:val="TableContents"/>
              <w:spacing w:before="0" w:after="0"/>
              <w:ind w:left="0" w:right="0" w:hanging="0"/>
              <w:rPr/>
            </w:pPr>
            <w:r>
              <w:rPr/>
              <w:t> </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88" w:type="dxa"/>
            <w:tcBorders/>
            <w:shd w:fill="CCEEFF" w:val="clear"/>
            <w:vAlign w:val="center"/>
          </w:tcPr>
          <w:p>
            <w:pPr>
              <w:pStyle w:val="TableContents"/>
              <w:spacing w:before="0" w:after="0"/>
              <w:ind w:left="0" w:right="0" w:hanging="0"/>
              <w:rPr/>
            </w:pPr>
            <w:r>
              <w:rPr/>
              <w:t> </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326" w:type="dxa"/>
            <w:tcBorders/>
            <w:shd w:fill="CCEEFF" w:val="clear"/>
            <w:vAlign w:val="center"/>
          </w:tcPr>
          <w:p>
            <w:pPr>
              <w:pStyle w:val="TableContents"/>
              <w:spacing w:before="0" w:after="0"/>
              <w:ind w:left="0" w:right="0" w:hanging="0"/>
              <w:rPr/>
            </w:pPr>
            <w:r>
              <w:rPr/>
              <w:t> </w:t>
            </w:r>
          </w:p>
        </w:tc>
        <w:tc>
          <w:tcPr>
            <w:tcW w:w="371" w:type="dxa"/>
            <w:tcBorders/>
            <w:shd w:fill="CCEEFF" w:val="clear"/>
            <w:vAlign w:val="center"/>
          </w:tcPr>
          <w:p>
            <w:pPr>
              <w:pStyle w:val="TableContents"/>
              <w:spacing w:before="0" w:after="0"/>
              <w:ind w:left="0" w:right="0" w:hanging="0"/>
              <w:rPr/>
            </w:pPr>
            <w:r>
              <w:rPr/>
              <w:t> </w:t>
            </w:r>
          </w:p>
        </w:tc>
      </w:tr>
      <w:tr>
        <w:trPr/>
        <w:tc>
          <w:tcPr>
            <w:tcW w:w="2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Sales and marketing</w:t>
            </w:r>
          </w:p>
        </w:tc>
        <w:tc>
          <w:tcPr>
            <w:tcW w:w="326" w:type="dxa"/>
            <w:tcBorders/>
            <w:shd w:fill="auto" w:val="clear"/>
            <w:vAlign w:val="center"/>
          </w:tcPr>
          <w:p>
            <w:pPr>
              <w:pStyle w:val="TableContents"/>
              <w:spacing w:before="0" w:after="0"/>
              <w:ind w:left="0" w:right="0" w:hanging="0"/>
              <w:rPr/>
            </w:pPr>
            <w:r>
              <w:rPr/>
              <w:t> </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88" w:type="dxa"/>
            <w:tcBorders/>
            <w:shd w:fill="auto" w:val="clear"/>
            <w:vAlign w:val="center"/>
          </w:tcPr>
          <w:p>
            <w:pPr>
              <w:pStyle w:val="TableContents"/>
              <w:spacing w:before="0" w:after="0"/>
              <w:ind w:left="0" w:right="0" w:hanging="0"/>
              <w:rPr/>
            </w:pPr>
            <w:r>
              <w:rPr/>
              <w:t> </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32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2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General and administrative</w:t>
            </w:r>
          </w:p>
        </w:tc>
        <w:tc>
          <w:tcPr>
            <w:tcW w:w="326" w:type="dxa"/>
            <w:tcBorders/>
            <w:shd w:fill="CCEEFF" w:val="clear"/>
            <w:vAlign w:val="center"/>
          </w:tcPr>
          <w:p>
            <w:pPr>
              <w:pStyle w:val="TableContents"/>
              <w:spacing w:before="0" w:after="0"/>
              <w:ind w:left="0" w:right="0" w:hanging="0"/>
              <w:rPr/>
            </w:pPr>
            <w:r>
              <w:rPr/>
              <w:t> </w:t>
            </w:r>
          </w:p>
        </w:tc>
        <w:tc>
          <w:tcPr>
            <w:tcW w:w="6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88" w:type="dxa"/>
            <w:tcBorders/>
            <w:shd w:fill="CCEEFF" w:val="clear"/>
            <w:vAlign w:val="center"/>
          </w:tcPr>
          <w:p>
            <w:pPr>
              <w:pStyle w:val="TableContents"/>
              <w:spacing w:before="0" w:after="0"/>
              <w:ind w:left="0" w:right="0" w:hanging="0"/>
              <w:rPr/>
            </w:pPr>
            <w:r>
              <w:rPr/>
              <w:t> </w:t>
            </w:r>
          </w:p>
        </w:tc>
        <w:tc>
          <w:tcPr>
            <w:tcW w:w="6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c>
          <w:tcPr>
            <w:tcW w:w="326" w:type="dxa"/>
            <w:tcBorders/>
            <w:shd w:fill="CCEEFF" w:val="clear"/>
            <w:vAlign w:val="center"/>
          </w:tcPr>
          <w:p>
            <w:pPr>
              <w:pStyle w:val="TableContents"/>
              <w:spacing w:before="0" w:after="0"/>
              <w:ind w:left="0" w:right="0" w:hanging="0"/>
              <w:rPr/>
            </w:pPr>
            <w:r>
              <w:rPr/>
              <w:t> </w:t>
            </w:r>
          </w:p>
        </w:tc>
        <w:tc>
          <w:tcPr>
            <w:tcW w:w="371" w:type="dxa"/>
            <w:tcBorders/>
            <w:shd w:fill="CCEEFF" w:val="clear"/>
            <w:vAlign w:val="center"/>
          </w:tcPr>
          <w:p>
            <w:pPr>
              <w:pStyle w:val="TableContents"/>
              <w:spacing w:before="0" w:after="0"/>
              <w:ind w:left="0" w:right="0" w:hanging="0"/>
              <w:rPr/>
            </w:pPr>
            <w:r>
              <w:rPr/>
              <w:t> </w:t>
            </w:r>
          </w:p>
        </w:tc>
      </w:tr>
      <w:tr>
        <w:trPr/>
        <w:tc>
          <w:tcPr>
            <w:tcW w:w="2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operating expenses</w:t>
            </w:r>
          </w:p>
        </w:tc>
        <w:tc>
          <w:tcPr>
            <w:tcW w:w="326" w:type="dxa"/>
            <w:tcBorders/>
            <w:shd w:fill="auto" w:val="clear"/>
            <w:vAlign w:val="center"/>
          </w:tcPr>
          <w:p>
            <w:pPr>
              <w:pStyle w:val="TableContents"/>
              <w:spacing w:before="0" w:after="0"/>
              <w:ind w:left="0" w:right="0" w:hanging="0"/>
              <w:rPr/>
            </w:pPr>
            <w:r>
              <w:rPr/>
              <w:t> </w:t>
            </w:r>
          </w:p>
        </w:tc>
        <w:tc>
          <w:tcPr>
            <w:tcW w:w="60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20.8</w:t>
            </w:r>
          </w:p>
        </w:tc>
        <w:tc>
          <w:tcPr>
            <w:tcW w:w="388" w:type="dxa"/>
            <w:tcBorders/>
            <w:shd w:fill="auto" w:val="clear"/>
            <w:vAlign w:val="center"/>
          </w:tcPr>
          <w:p>
            <w:pPr>
              <w:pStyle w:val="TableContents"/>
              <w:spacing w:before="0" w:after="0"/>
              <w:ind w:left="0" w:right="0" w:hanging="0"/>
              <w:rPr/>
            </w:pPr>
            <w:r>
              <w:rPr/>
              <w:t> </w:t>
            </w:r>
          </w:p>
        </w:tc>
        <w:tc>
          <w:tcPr>
            <w:tcW w:w="60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32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2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from operations</w:t>
            </w:r>
          </w:p>
        </w:tc>
        <w:tc>
          <w:tcPr>
            <w:tcW w:w="326" w:type="dxa"/>
            <w:tcBorders/>
            <w:shd w:fill="CCEEFF" w:val="clear"/>
            <w:vAlign w:val="center"/>
          </w:tcPr>
          <w:p>
            <w:pPr>
              <w:pStyle w:val="TableContents"/>
              <w:spacing w:before="0" w:after="0"/>
              <w:ind w:left="0" w:right="0" w:hanging="0"/>
              <w:rPr/>
            </w:pPr>
            <w:r>
              <w:rPr/>
              <w:t> </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20.2</w:t>
            </w:r>
          </w:p>
        </w:tc>
        <w:tc>
          <w:tcPr>
            <w:tcW w:w="388" w:type="dxa"/>
            <w:tcBorders/>
            <w:shd w:fill="CCEEFF" w:val="clear"/>
            <w:vAlign w:val="center"/>
          </w:tcPr>
          <w:p>
            <w:pPr>
              <w:pStyle w:val="TableContents"/>
              <w:spacing w:before="0" w:after="0"/>
              <w:ind w:left="0" w:right="0" w:hanging="0"/>
              <w:rPr/>
            </w:pPr>
            <w:r>
              <w:rPr/>
              <w:t> </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326" w:type="dxa"/>
            <w:tcBorders/>
            <w:shd w:fill="CCEEFF" w:val="clear"/>
            <w:vAlign w:val="center"/>
          </w:tcPr>
          <w:p>
            <w:pPr>
              <w:pStyle w:val="TableContents"/>
              <w:spacing w:before="0" w:after="0"/>
              <w:ind w:left="0" w:right="0" w:hanging="0"/>
              <w:rPr/>
            </w:pPr>
            <w:r>
              <w:rPr/>
              <w:t> </w:t>
            </w:r>
          </w:p>
        </w:tc>
        <w:tc>
          <w:tcPr>
            <w:tcW w:w="371" w:type="dxa"/>
            <w:tcBorders/>
            <w:shd w:fill="CCEEFF" w:val="clear"/>
            <w:vAlign w:val="center"/>
          </w:tcPr>
          <w:p>
            <w:pPr>
              <w:pStyle w:val="TableContents"/>
              <w:spacing w:before="0" w:after="0"/>
              <w:ind w:left="0" w:right="0" w:hanging="0"/>
              <w:rPr/>
            </w:pPr>
            <w:r>
              <w:rPr/>
              <w:t> </w:t>
            </w:r>
          </w:p>
        </w:tc>
      </w:tr>
      <w:tr>
        <w:trPr/>
        <w:tc>
          <w:tcPr>
            <w:tcW w:w="2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income (expense):</w:t>
            </w:r>
          </w:p>
        </w:tc>
        <w:tc>
          <w:tcPr>
            <w:tcW w:w="326" w:type="dxa"/>
            <w:tcBorders/>
            <w:shd w:fill="auto" w:val="clear"/>
            <w:vAlign w:val="center"/>
          </w:tcPr>
          <w:p>
            <w:pPr>
              <w:pStyle w:val="TableContents"/>
              <w:spacing w:before="0" w:after="0"/>
              <w:ind w:left="0" w:right="0" w:hanging="0"/>
              <w:rPr/>
            </w:pPr>
            <w:r>
              <w:rPr/>
              <w:t>​</w:t>
            </w:r>
          </w:p>
        </w:tc>
        <w:tc>
          <w:tcPr>
            <w:tcW w:w="608" w:type="dxa"/>
            <w:tcBorders/>
            <w:shd w:fill="auto" w:val="clear"/>
            <w:vAlign w:val="center"/>
          </w:tcPr>
          <w:p>
            <w:pPr>
              <w:pStyle w:val="TableContents"/>
              <w:spacing w:before="0" w:after="0"/>
              <w:ind w:left="0" w:right="0" w:hanging="0"/>
              <w:jc w:val="right"/>
              <w:rPr/>
            </w:pPr>
            <w:r>
              <w:rPr/>
              <w:t>​</w:t>
            </w:r>
          </w:p>
        </w:tc>
        <w:tc>
          <w:tcPr>
            <w:tcW w:w="388" w:type="dxa"/>
            <w:tcBorders/>
            <w:shd w:fill="auto" w:val="clear"/>
            <w:vAlign w:val="center"/>
          </w:tcPr>
          <w:p>
            <w:pPr>
              <w:pStyle w:val="TableContents"/>
              <w:spacing w:before="0" w:after="0"/>
              <w:ind w:left="0" w:right="0" w:hanging="0"/>
              <w:rPr/>
            </w:pPr>
            <w:r>
              <w:rPr/>
              <w:t>​</w:t>
            </w:r>
          </w:p>
        </w:tc>
        <w:tc>
          <w:tcPr>
            <w:tcW w:w="60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2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Interest income</w:t>
            </w:r>
          </w:p>
        </w:tc>
        <w:tc>
          <w:tcPr>
            <w:tcW w:w="326" w:type="dxa"/>
            <w:tcBorders/>
            <w:shd w:fill="CCEEFF" w:val="clear"/>
            <w:vAlign w:val="center"/>
          </w:tcPr>
          <w:p>
            <w:pPr>
              <w:pStyle w:val="TableContents"/>
              <w:spacing w:before="0" w:after="0"/>
              <w:ind w:left="0" w:right="0" w:hanging="0"/>
              <w:rPr/>
            </w:pPr>
            <w:r>
              <w:rPr/>
              <w:t> </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88" w:type="dxa"/>
            <w:tcBorders/>
            <w:shd w:fill="CCEEFF" w:val="clear"/>
            <w:vAlign w:val="center"/>
          </w:tcPr>
          <w:p>
            <w:pPr>
              <w:pStyle w:val="TableContents"/>
              <w:spacing w:before="0" w:after="0"/>
              <w:ind w:left="0" w:right="0" w:hanging="0"/>
              <w:rPr/>
            </w:pPr>
            <w:r>
              <w:rPr/>
              <w:t> </w:t>
            </w:r>
          </w:p>
        </w:tc>
        <w:tc>
          <w:tcPr>
            <w:tcW w:w="60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71" w:type="dxa"/>
            <w:tcBorders/>
            <w:shd w:fill="CCEEFF" w:val="clear"/>
            <w:vAlign w:val="center"/>
          </w:tcPr>
          <w:p>
            <w:pPr>
              <w:pStyle w:val="TableContents"/>
              <w:spacing w:before="0" w:after="0"/>
              <w:ind w:left="0" w:right="0" w:hanging="0"/>
              <w:rPr/>
            </w:pPr>
            <w:r>
              <w:rPr/>
              <w:t> </w:t>
            </w:r>
          </w:p>
        </w:tc>
      </w:tr>
      <w:tr>
        <w:trPr/>
        <w:tc>
          <w:tcPr>
            <w:tcW w:w="2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Interest expense</w:t>
            </w:r>
          </w:p>
        </w:tc>
        <w:tc>
          <w:tcPr>
            <w:tcW w:w="326" w:type="dxa"/>
            <w:tcBorders/>
            <w:shd w:fill="auto" w:val="clear"/>
            <w:vAlign w:val="center"/>
          </w:tcPr>
          <w:p>
            <w:pPr>
              <w:pStyle w:val="TableContents"/>
              <w:spacing w:before="0" w:after="0"/>
              <w:ind w:left="0" w:right="0" w:hanging="0"/>
              <w:rPr/>
            </w:pPr>
            <w:r>
              <w:rPr/>
              <w:t> </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88" w:type="dxa"/>
            <w:tcBorders/>
            <w:shd w:fill="auto" w:val="clear"/>
            <w:vAlign w:val="center"/>
          </w:tcPr>
          <w:p>
            <w:pPr>
              <w:pStyle w:val="TableContents"/>
              <w:spacing w:before="0" w:after="0"/>
              <w:ind w:left="0" w:right="0" w:hanging="0"/>
              <w:rPr/>
            </w:pPr>
            <w:r>
              <w:rPr/>
              <w:t> </w:t>
            </w:r>
          </w:p>
        </w:tc>
        <w:tc>
          <w:tcPr>
            <w:tcW w:w="60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2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2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net</w:t>
            </w:r>
          </w:p>
        </w:tc>
        <w:tc>
          <w:tcPr>
            <w:tcW w:w="326" w:type="dxa"/>
            <w:tcBorders/>
            <w:shd w:fill="CCEEFF" w:val="clear"/>
            <w:vAlign w:val="center"/>
          </w:tcPr>
          <w:p>
            <w:pPr>
              <w:pStyle w:val="TableContents"/>
              <w:spacing w:before="0" w:after="0"/>
              <w:ind w:left="0" w:right="0" w:hanging="0"/>
              <w:rPr/>
            </w:pPr>
            <w:r>
              <w:rPr/>
              <w:t> </w:t>
            </w:r>
          </w:p>
        </w:tc>
        <w:tc>
          <w:tcPr>
            <w:tcW w:w="6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88" w:type="dxa"/>
            <w:tcBorders/>
            <w:shd w:fill="CCEEFF" w:val="clear"/>
            <w:vAlign w:val="center"/>
          </w:tcPr>
          <w:p>
            <w:pPr>
              <w:pStyle w:val="TableContents"/>
              <w:spacing w:before="0" w:after="0"/>
              <w:ind w:left="0" w:right="0" w:hanging="0"/>
              <w:rPr/>
            </w:pPr>
            <w:r>
              <w:rPr/>
              <w:t> </w:t>
            </w:r>
          </w:p>
        </w:tc>
        <w:tc>
          <w:tcPr>
            <w:tcW w:w="60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(0.8)</w:t>
            </w:r>
          </w:p>
        </w:tc>
        <w:tc>
          <w:tcPr>
            <w:tcW w:w="326" w:type="dxa"/>
            <w:tcBorders/>
            <w:shd w:fill="CCEEFF" w:val="clear"/>
            <w:vAlign w:val="center"/>
          </w:tcPr>
          <w:p>
            <w:pPr>
              <w:pStyle w:val="TableContents"/>
              <w:spacing w:before="0" w:after="0"/>
              <w:ind w:left="0" w:right="0" w:hanging="0"/>
              <w:rPr/>
            </w:pPr>
            <w:r>
              <w:rPr/>
              <w:t> </w:t>
            </w:r>
          </w:p>
        </w:tc>
        <w:tc>
          <w:tcPr>
            <w:tcW w:w="371" w:type="dxa"/>
            <w:tcBorders/>
            <w:shd w:fill="CCEEFF" w:val="clear"/>
            <w:vAlign w:val="center"/>
          </w:tcPr>
          <w:p>
            <w:pPr>
              <w:pStyle w:val="TableContents"/>
              <w:spacing w:before="0" w:after="0"/>
              <w:ind w:left="0" w:right="0" w:hanging="0"/>
              <w:rPr/>
            </w:pPr>
            <w:r>
              <w:rPr/>
              <w:t> </w:t>
            </w:r>
          </w:p>
        </w:tc>
      </w:tr>
      <w:tr>
        <w:trPr/>
        <w:tc>
          <w:tcPr>
            <w:tcW w:w="2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other income (expense)</w:t>
            </w:r>
          </w:p>
        </w:tc>
        <w:tc>
          <w:tcPr>
            <w:tcW w:w="326" w:type="dxa"/>
            <w:tcBorders/>
            <w:shd w:fill="auto" w:val="clear"/>
            <w:vAlign w:val="center"/>
          </w:tcPr>
          <w:p>
            <w:pPr>
              <w:pStyle w:val="TableContents"/>
              <w:spacing w:before="0" w:after="0"/>
              <w:ind w:left="0" w:right="0" w:hanging="0"/>
              <w:rPr/>
            </w:pPr>
            <w:r>
              <w:rPr/>
              <w:t> </w:t>
            </w:r>
          </w:p>
        </w:tc>
        <w:tc>
          <w:tcPr>
            <w:tcW w:w="60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0.6</w:t>
            </w:r>
          </w:p>
        </w:tc>
        <w:tc>
          <w:tcPr>
            <w:tcW w:w="388" w:type="dxa"/>
            <w:tcBorders/>
            <w:shd w:fill="auto" w:val="clear"/>
            <w:vAlign w:val="center"/>
          </w:tcPr>
          <w:p>
            <w:pPr>
              <w:pStyle w:val="TableContents"/>
              <w:spacing w:before="0" w:after="0"/>
              <w:ind w:left="0" w:right="0" w:hanging="0"/>
              <w:rPr/>
            </w:pPr>
            <w:r>
              <w:rPr/>
              <w:t> </w:t>
            </w:r>
          </w:p>
        </w:tc>
        <w:tc>
          <w:tcPr>
            <w:tcW w:w="60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2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2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before income taxes</w:t>
            </w:r>
          </w:p>
        </w:tc>
        <w:tc>
          <w:tcPr>
            <w:tcW w:w="326" w:type="dxa"/>
            <w:tcBorders/>
            <w:shd w:fill="CCEEFF" w:val="clear"/>
            <w:vAlign w:val="center"/>
          </w:tcPr>
          <w:p>
            <w:pPr>
              <w:pStyle w:val="TableContents"/>
              <w:spacing w:before="0" w:after="0"/>
              <w:ind w:left="0" w:right="0" w:hanging="0"/>
              <w:rPr/>
            </w:pPr>
            <w:r>
              <w:rPr/>
              <w:t> </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20.8</w:t>
            </w:r>
          </w:p>
        </w:tc>
        <w:tc>
          <w:tcPr>
            <w:tcW w:w="388" w:type="dxa"/>
            <w:tcBorders/>
            <w:shd w:fill="CCEEFF" w:val="clear"/>
            <w:vAlign w:val="center"/>
          </w:tcPr>
          <w:p>
            <w:pPr>
              <w:pStyle w:val="TableContents"/>
              <w:spacing w:before="0" w:after="0"/>
              <w:ind w:left="0" w:right="0" w:hanging="0"/>
              <w:rPr/>
            </w:pPr>
            <w:r>
              <w:rPr/>
              <w:t> </w:t>
            </w:r>
          </w:p>
        </w:tc>
        <w:tc>
          <w:tcPr>
            <w:tcW w:w="60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c>
          <w:tcPr>
            <w:tcW w:w="326" w:type="dxa"/>
            <w:tcBorders/>
            <w:shd w:fill="CCEEFF" w:val="clear"/>
            <w:vAlign w:val="center"/>
          </w:tcPr>
          <w:p>
            <w:pPr>
              <w:pStyle w:val="TableContents"/>
              <w:spacing w:before="0" w:after="0"/>
              <w:ind w:left="0" w:right="0" w:hanging="0"/>
              <w:rPr/>
            </w:pPr>
            <w:r>
              <w:rPr/>
              <w:t> </w:t>
            </w:r>
          </w:p>
        </w:tc>
        <w:tc>
          <w:tcPr>
            <w:tcW w:w="371" w:type="dxa"/>
            <w:tcBorders/>
            <w:shd w:fill="CCEEFF" w:val="clear"/>
            <w:vAlign w:val="center"/>
          </w:tcPr>
          <w:p>
            <w:pPr>
              <w:pStyle w:val="TableContents"/>
              <w:spacing w:before="0" w:after="0"/>
              <w:ind w:left="0" w:right="0" w:hanging="0"/>
              <w:rPr/>
            </w:pPr>
            <w:r>
              <w:rPr/>
              <w:t> </w:t>
            </w:r>
          </w:p>
        </w:tc>
      </w:tr>
      <w:tr>
        <w:trPr/>
        <w:tc>
          <w:tcPr>
            <w:tcW w:w="2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tax provision</w:t>
            </w:r>
          </w:p>
        </w:tc>
        <w:tc>
          <w:tcPr>
            <w:tcW w:w="326" w:type="dxa"/>
            <w:tcBorders/>
            <w:shd w:fill="auto" w:val="clear"/>
            <w:vAlign w:val="center"/>
          </w:tcPr>
          <w:p>
            <w:pPr>
              <w:pStyle w:val="TableContents"/>
              <w:spacing w:before="0" w:after="0"/>
              <w:ind w:left="0" w:right="0" w:hanging="0"/>
              <w:rPr/>
            </w:pPr>
            <w:r>
              <w:rPr/>
              <w:t> </w:t>
            </w:r>
          </w:p>
        </w:tc>
        <w:tc>
          <w:tcPr>
            <w:tcW w:w="60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88" w:type="dxa"/>
            <w:tcBorders/>
            <w:shd w:fill="auto" w:val="clear"/>
            <w:vAlign w:val="center"/>
          </w:tcPr>
          <w:p>
            <w:pPr>
              <w:pStyle w:val="TableContents"/>
              <w:spacing w:before="0" w:after="0"/>
              <w:ind w:left="0" w:right="0" w:hanging="0"/>
              <w:rPr/>
            </w:pPr>
            <w:r>
              <w:rPr/>
              <w:t> </w:t>
            </w:r>
          </w:p>
        </w:tc>
        <w:tc>
          <w:tcPr>
            <w:tcW w:w="60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2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217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spacing w:before="0" w:after="0"/>
              <w:ind w:left="0" w:right="0" w:hanging="0"/>
              <w:rPr/>
            </w:pPr>
            <w:r>
              <w:rPr/>
              <w:t>​</w:t>
            </w:r>
          </w:p>
        </w:tc>
        <w:tc>
          <w:tcPr>
            <w:tcW w:w="60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18.8</w:t>
            </w:r>
          </w:p>
        </w:tc>
        <w:tc>
          <w:tcPr>
            <w:tcW w:w="388"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7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Revenue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our product and services revenue:</w:t>
      </w:r>
    </w:p>
    <w:p>
      <w:pPr>
        <w:pStyle w:val="TextBody"/>
        <w:spacing w:before="0" w:after="0"/>
        <w:ind w:left="0" w:right="0" w:hanging="0"/>
        <w:rPr/>
      </w:pPr>
      <w:r>
        <w:rPr/>
        <w:t>​</w:t>
      </w:r>
    </w:p>
    <w:tbl>
      <w:tblPr>
        <w:tblW w:w="6451" w:type="dxa"/>
        <w:jc w:val="left"/>
        <w:tblInd w:w="0" w:type="dxa"/>
        <w:tblCellMar>
          <w:top w:w="0" w:type="dxa"/>
          <w:left w:w="0" w:type="dxa"/>
          <w:bottom w:w="0" w:type="dxa"/>
          <w:right w:w="0" w:type="dxa"/>
        </w:tblCellMar>
      </w:tblPr>
      <w:tblGrid>
        <w:gridCol w:w="1696"/>
        <w:gridCol w:w="326"/>
        <w:gridCol w:w="196"/>
        <w:gridCol w:w="691"/>
        <w:gridCol w:w="346"/>
        <w:gridCol w:w="196"/>
        <w:gridCol w:w="691"/>
        <w:gridCol w:w="346"/>
        <w:gridCol w:w="197"/>
        <w:gridCol w:w="605"/>
        <w:gridCol w:w="109"/>
        <w:gridCol w:w="425"/>
        <w:gridCol w:w="256"/>
        <w:gridCol w:w="371"/>
      </w:tblGrid>
      <w:tr>
        <w:trPr/>
        <w:tc>
          <w:tcPr>
            <w:tcW w:w="1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076960" cy="175260"/>
                      <wp:effectExtent l="0" t="0" r="0" b="0"/>
                      <wp:wrapNone/>
                      <wp:docPr id="217" name="Frame217"/>
                      <a:graphic xmlns:a="http://schemas.openxmlformats.org/drawingml/2006/main">
                        <a:graphicData uri="http://schemas.microsoft.com/office/word/2010/wordprocessingShape">
                          <wps:wsp>
                            <wps:cNvSpPr txBox="1"/>
                            <wps:spPr>
                              <a:xfrm>
                                <a:off x="0" y="0"/>
                                <a:ext cx="1076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24460" cy="175260"/>
                      <wp:effectExtent l="0" t="0" r="0" b="0"/>
                      <wp:wrapNone/>
                      <wp:docPr id="219" name="Frame21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38785" cy="175260"/>
                      <wp:effectExtent l="0" t="0" r="0" b="0"/>
                      <wp:wrapNone/>
                      <wp:docPr id="220" name="Frame22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4460" cy="175260"/>
                      <wp:effectExtent l="0" t="0" r="0" b="0"/>
                      <wp:wrapNone/>
                      <wp:docPr id="222" name="Frame22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38785" cy="175260"/>
                      <wp:effectExtent l="0" t="0" r="0" b="0"/>
                      <wp:wrapNone/>
                      <wp:docPr id="223" name="Frame22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5095" cy="175260"/>
                      <wp:effectExtent l="0" t="0" r="0" b="0"/>
                      <wp:wrapNone/>
                      <wp:docPr id="225" name="Frame225"/>
                      <a:graphic xmlns:a="http://schemas.openxmlformats.org/drawingml/2006/main">
                        <a:graphicData uri="http://schemas.microsoft.com/office/word/2010/wordprocessingShape">
                          <wps:wsp>
                            <wps:cNvSpPr txBox="1"/>
                            <wps:spPr>
                              <a:xfrm>
                                <a:off x="0" y="0"/>
                                <a:ext cx="125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84175" cy="175260"/>
                      <wp:effectExtent l="0" t="0" r="0" b="0"/>
                      <wp:wrapNone/>
                      <wp:docPr id="226" name="Frame226"/>
                      <a:graphic xmlns:a="http://schemas.openxmlformats.org/drawingml/2006/main">
                        <a:graphicData uri="http://schemas.microsoft.com/office/word/2010/wordprocessingShape">
                          <wps:wsp>
                            <wps:cNvSpPr txBox="1"/>
                            <wps:spPr>
                              <a:xfrm>
                                <a:off x="0" y="0"/>
                                <a:ext cx="3841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69875" cy="175260"/>
                      <wp:effectExtent l="0" t="0" r="0" b="0"/>
                      <wp:wrapNone/>
                      <wp:docPr id="228" name="Frame228"/>
                      <a:graphic xmlns:a="http://schemas.openxmlformats.org/drawingml/2006/main">
                        <a:graphicData uri="http://schemas.microsoft.com/office/word/2010/wordprocessingShape">
                          <wps:wsp>
                            <wps:cNvSpPr txBox="1"/>
                            <wps:spPr>
                              <a:xfrm>
                                <a:off x="0" y="0"/>
                                <a:ext cx="269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62560" cy="175260"/>
                      <wp:effectExtent l="0" t="0" r="0" b="0"/>
                      <wp:wrapNone/>
                      <wp:docPr id="229" name="Frame229"/>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35585" cy="175260"/>
                      <wp:effectExtent l="0" t="0" r="0" b="0"/>
                      <wp:wrapNone/>
                      <wp:docPr id="230" name="Frame230"/>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2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shd w:fill="auto" w:val="clear"/>
            <w:vAlign w:val="center"/>
          </w:tcPr>
          <w:p>
            <w:pPr>
              <w:pStyle w:val="TableContents"/>
              <w:spacing w:before="0" w:after="0"/>
              <w:ind w:left="0" w:right="0" w:hanging="0"/>
              <w:rPr/>
            </w:pPr>
            <w:r>
              <w:rPr/>
              <w:t>​</w:t>
            </w:r>
          </w:p>
        </w:tc>
        <w:tc>
          <w:tcPr>
            <w:tcW w:w="1336"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2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46" w:type="dxa"/>
            <w:tcBorders/>
            <w:shd w:fill="auto" w:val="clear"/>
            <w:vAlign w:val="center"/>
          </w:tcPr>
          <w:p>
            <w:pPr>
              <w:pStyle w:val="TableContents"/>
              <w:spacing w:before="0" w:after="0"/>
              <w:ind w:left="0" w:right="0" w:hanging="0"/>
              <w:rPr/>
            </w:pPr>
            <w:r>
              <w:rPr/>
              <w:t>​</w:t>
            </w:r>
          </w:p>
        </w:tc>
        <w:tc>
          <w:tcPr>
            <w:tcW w:w="1336"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shd w:fill="auto" w:val="clear"/>
            <w:vAlign w:val="center"/>
          </w:tcPr>
          <w:p>
            <w:pPr>
              <w:pStyle w:val="TableContents"/>
              <w:spacing w:before="0" w:after="0"/>
              <w:ind w:left="0" w:right="0" w:hanging="0"/>
              <w:rPr/>
            </w:pPr>
            <w:r>
              <w:rPr/>
              <w:t>​</w:t>
            </w:r>
          </w:p>
        </w:tc>
        <w:tc>
          <w:tcPr>
            <w:tcW w:w="8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shd w:fill="auto" w:val="clear"/>
            <w:vAlign w:val="center"/>
          </w:tcPr>
          <w:p>
            <w:pPr>
              <w:pStyle w:val="TableContents"/>
              <w:spacing w:before="0" w:after="0"/>
              <w:ind w:left="0" w:right="0" w:hanging="0"/>
              <w:rPr/>
            </w:pPr>
            <w:r>
              <w:rPr/>
              <w:t>​</w:t>
            </w:r>
          </w:p>
        </w:tc>
        <w:tc>
          <w:tcPr>
            <w:tcW w:w="42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jc w:val="center"/>
              <w:rPr/>
            </w:pPr>
            <w:r>
              <w:rPr/>
              <w:t>​</w:t>
            </w:r>
          </w:p>
        </w:tc>
        <w:tc>
          <w:tcPr>
            <w:tcW w:w="197" w:type="dxa"/>
            <w:tcBorders/>
            <w:shd w:fill="auto" w:val="clear"/>
            <w:vAlign w:val="center"/>
          </w:tcPr>
          <w:p>
            <w:pPr>
              <w:pStyle w:val="TableContents"/>
              <w:spacing w:before="0" w:after="0"/>
              <w:ind w:left="0" w:right="0" w:hanging="0"/>
              <w:jc w:val="center"/>
              <w:rPr/>
            </w:pPr>
            <w:r>
              <w:rPr/>
              <w:t>​</w:t>
            </w:r>
          </w:p>
        </w:tc>
        <w:tc>
          <w:tcPr>
            <w:tcW w:w="605"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25"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371" w:type="dxa"/>
            <w:tcBorders/>
            <w:shd w:fill="auto" w:val="clear"/>
            <w:vAlign w:val="center"/>
          </w:tcPr>
          <w:p>
            <w:pPr>
              <w:pStyle w:val="TableContents"/>
              <w:spacing w:before="0" w:after="0"/>
              <w:ind w:left="0" w:right="0" w:hanging="0"/>
              <w:rPr/>
            </w:pPr>
            <w:r>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Revenue:</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    </w:t>
            </w:r>
          </w:p>
        </w:tc>
        <w:tc>
          <w:tcPr>
            <w:tcW w:w="197"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rPr/>
            </w:pPr>
            <w:r>
              <w:rPr/>
              <w:t>​</w:t>
            </w:r>
          </w:p>
        </w:tc>
        <w:tc>
          <w:tcPr>
            <w:tcW w:w="425" w:type="dxa"/>
            <w:tcBorders/>
            <w:shd w:fill="CCEEFF" w:val="clear"/>
            <w:vAlign w:val="center"/>
          </w:tcPr>
          <w:p>
            <w:pPr>
              <w:pStyle w:val="TableContents"/>
              <w:spacing w:before="0" w:after="0"/>
              <w:ind w:left="0" w:right="0" w:hanging="0"/>
              <w:jc w:val="right"/>
              <w:rPr/>
            </w:pPr>
            <w:r>
              <w:rPr/>
              <w:t>    </w:t>
            </w:r>
          </w:p>
        </w:tc>
        <w:tc>
          <w:tcPr>
            <w:tcW w:w="25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    </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Product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246,007</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196,531</w:t>
            </w:r>
          </w:p>
        </w:tc>
        <w:tc>
          <w:tcPr>
            <w:tcW w:w="346"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49,476</w:t>
            </w:r>
          </w:p>
        </w:tc>
        <w:tc>
          <w:tcPr>
            <w:tcW w:w="109" w:type="dxa"/>
            <w:tcBorders/>
            <w:shd w:fill="auto" w:val="clear"/>
            <w:vAlign w:val="center"/>
          </w:tcPr>
          <w:p>
            <w:pPr>
              <w:pStyle w:val="TableContents"/>
              <w:spacing w:before="0" w:after="0"/>
              <w:ind w:left="0" w:right="0" w:hanging="0"/>
              <w:rPr/>
            </w:pPr>
            <w:r>
              <w:rPr/>
              <w:t>​</w:t>
            </w:r>
          </w:p>
        </w:tc>
        <w:tc>
          <w:tcPr>
            <w:tcW w:w="425"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25.2</w:t>
            </w:r>
          </w:p>
        </w:tc>
        <w:tc>
          <w:tcPr>
            <w:tcW w:w="25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w:t>
            </w:r>
          </w:p>
        </w:tc>
        <w:tc>
          <w:tcPr>
            <w:tcW w:w="371" w:type="dxa"/>
            <w:tcBorders/>
            <w:shd w:fill="auto" w:val="clear"/>
            <w:vAlign w:val="center"/>
          </w:tcPr>
          <w:p>
            <w:pPr>
              <w:pStyle w:val="TableContents"/>
              <w:spacing w:before="0" w:after="0"/>
              <w:ind w:left="0" w:right="0" w:hanging="0"/>
              <w:rPr/>
            </w:pPr>
            <w:r>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Percentage of revenue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96.8</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96.5</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7" w:type="dxa"/>
            <w:tcBorders/>
            <w:shd w:fill="CCEEFF" w:val="clear"/>
            <w:vAlign w:val="center"/>
          </w:tcPr>
          <w:p>
            <w:pPr>
              <w:pStyle w:val="TableContents"/>
              <w:spacing w:before="0" w:after="0"/>
              <w:ind w:left="0" w:right="0" w:hanging="0"/>
              <w:rPr/>
            </w:pPr>
            <w:r>
              <w:rPr/>
              <w:t>​</w:t>
            </w:r>
          </w:p>
        </w:tc>
        <w:tc>
          <w:tcPr>
            <w:tcW w:w="60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25" w:type="dxa"/>
            <w:tcBorders/>
            <w:shd w:fill="CCEEFF" w:val="clear"/>
            <w:vAlign w:val="center"/>
          </w:tcPr>
          <w:p>
            <w:pPr>
              <w:pStyle w:val="TableContents"/>
              <w:spacing w:before="0" w:after="0"/>
              <w:ind w:left="0" w:right="0" w:hanging="0"/>
              <w:jc w:val="right"/>
              <w:rPr/>
            </w:pPr>
            <w:r>
              <w:rPr/>
              <w:t>​</w:t>
            </w:r>
          </w:p>
        </w:tc>
        <w:tc>
          <w:tcPr>
            <w:tcW w:w="25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Services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8,013</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7,064</w:t>
            </w:r>
          </w:p>
        </w:tc>
        <w:tc>
          <w:tcPr>
            <w:tcW w:w="346"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pPr>
            <w:r>
              <w:rPr/>
              <w:t>​</w:t>
            </w:r>
          </w:p>
        </w:tc>
        <w:tc>
          <w:tcPr>
            <w:tcW w:w="605"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949</w:t>
            </w:r>
          </w:p>
        </w:tc>
        <w:tc>
          <w:tcPr>
            <w:tcW w:w="109" w:type="dxa"/>
            <w:tcBorders/>
            <w:shd w:fill="auto" w:val="clear"/>
            <w:vAlign w:val="center"/>
          </w:tcPr>
          <w:p>
            <w:pPr>
              <w:pStyle w:val="TableContents"/>
              <w:spacing w:before="0" w:after="0"/>
              <w:ind w:left="0" w:right="0" w:hanging="0"/>
              <w:rPr/>
            </w:pPr>
            <w:r>
              <w:rPr/>
              <w:t>​</w:t>
            </w:r>
          </w:p>
        </w:tc>
        <w:tc>
          <w:tcPr>
            <w:tcW w:w="425"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13.4</w:t>
            </w:r>
          </w:p>
        </w:tc>
        <w:tc>
          <w:tcPr>
            <w:tcW w:w="25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w:t>
            </w:r>
          </w:p>
        </w:tc>
        <w:tc>
          <w:tcPr>
            <w:tcW w:w="371" w:type="dxa"/>
            <w:tcBorders/>
            <w:shd w:fill="auto" w:val="clear"/>
            <w:vAlign w:val="center"/>
          </w:tcPr>
          <w:p>
            <w:pPr>
              <w:pStyle w:val="TableContents"/>
              <w:spacing w:before="0" w:after="0"/>
              <w:ind w:left="0" w:right="0" w:hanging="0"/>
              <w:rPr/>
            </w:pPr>
            <w:r>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Percentage of revenue</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3.2</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3.5</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w:t>
            </w:r>
          </w:p>
        </w:tc>
        <w:tc>
          <w:tcPr>
            <w:tcW w:w="19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425" w:type="dxa"/>
            <w:tcBorders/>
            <w:shd w:fill="CCEEFF" w:val="clear"/>
            <w:vAlign w:val="center"/>
          </w:tcPr>
          <w:p>
            <w:pPr>
              <w:pStyle w:val="TableContents"/>
              <w:spacing w:before="0" w:after="0"/>
              <w:ind w:left="0" w:right="0" w:hanging="0"/>
              <w:jc w:val="right"/>
              <w:rPr/>
            </w:pPr>
            <w:r>
              <w:rPr/>
              <w:t>​</w:t>
            </w:r>
          </w:p>
        </w:tc>
        <w:tc>
          <w:tcPr>
            <w:tcW w:w="25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revenue</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254,020</w:t>
            </w:r>
          </w:p>
        </w:tc>
        <w:tc>
          <w:tcPr>
            <w:tcW w:w="34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203,595</w:t>
            </w:r>
          </w:p>
        </w:tc>
        <w:tc>
          <w:tcPr>
            <w:tcW w:w="346" w:type="dxa"/>
            <w:tcBorders/>
            <w:shd w:fill="auto" w:val="clear"/>
            <w:vAlign w:val="center"/>
          </w:tcPr>
          <w:p>
            <w:pPr>
              <w:pStyle w:val="TableContents"/>
              <w:spacing w:before="0" w:after="0"/>
              <w:ind w:left="0" w:right="0" w:hanging="0"/>
              <w:rPr/>
            </w:pPr>
            <w:r>
              <w:rPr/>
              <w:t>​</w:t>
            </w:r>
          </w:p>
        </w:tc>
        <w:tc>
          <w:tcPr>
            <w:tcW w:w="19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50,425</w:t>
            </w:r>
          </w:p>
        </w:tc>
        <w:tc>
          <w:tcPr>
            <w:tcW w:w="109" w:type="dxa"/>
            <w:tcBorders/>
            <w:shd w:fill="auto" w:val="clear"/>
            <w:vAlign w:val="center"/>
          </w:tcPr>
          <w:p>
            <w:pPr>
              <w:pStyle w:val="TableContents"/>
              <w:spacing w:before="0" w:after="0"/>
              <w:ind w:left="0" w:right="0" w:hanging="0"/>
              <w:rPr/>
            </w:pPr>
            <w:r>
              <w:rPr/>
              <w:t>​</w:t>
            </w:r>
          </w:p>
        </w:tc>
        <w:tc>
          <w:tcPr>
            <w:tcW w:w="425"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24.8</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Product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Product revenue, which includes systems sales, sales of spare parts, product upgrades and used systems was $246.0 million, or 96.8% of revenue, during the three months ended March 31, 2023, compared with $196.5 million, or 96.5% of revenue, for the three months ended March 31, 2022. The $49.5 million increase in product revenue for the three-month period ending March 31, 2023, in comparison to the same period in 2022, was primarily driven by an increase in systems revenue.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54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Deferred revenue includes payments received in advance of system sales as well as deferral of revenue from systems sales for installation and other future performance obligations. The total amount of deferred revenue at March 31, 2023 and December 31, 2022 was $201.7 million and $154.7 million, respectively. The increase in deferred revenue was primarily due to payments received in advance of sales. </w:t>
      </w:r>
    </w:p>
    <w:p>
      <w:pPr>
        <w:pStyle w:val="TextBody"/>
        <w:spacing w:before="0" w:after="0"/>
        <w:ind w:left="0" w:right="0" w:firstLine="54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Services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Services revenue, which includes the labor component of maintenance and service contracts and fees for service hours provided by on-site service personnel, was $8.0 million, or 3.2% of revenue, for the three months ended March 31, 2023, compared with $7.1 million, or 3.5% of revenue, for the three months ended March 31, 2022. Although services revenue typically increases with the expansion of the installed base of systems, it can fluctuate from period to period based on capacity utilization at customers’ manufacturing facilities, which affects the need for equipment service. </w:t>
      </w:r>
    </w:p>
    <w:p>
      <w:pPr>
        <w:pStyle w:val="TextBody"/>
        <w:spacing w:before="0" w:after="0"/>
        <w:ind w:left="0" w:right="0" w:firstLine="720"/>
        <w:rPr/>
      </w:pPr>
      <w:r>
        <w:rPr/>
        <w:t>​</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Revenue Categories used by Management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to the line item revenue categories discussed above, management also regularly disaggregates revenue in the following categories, which it finds relevant and useful:</w:t>
      </w:r>
    </w:p>
    <w:p>
      <w:pPr>
        <w:pStyle w:val="TextBody"/>
        <w:spacing w:before="0" w:after="0"/>
        <w:ind w:left="0" w:right="0" w:firstLine="720"/>
        <w:rPr/>
      </w:pPr>
      <w:r>
        <w:rPr/>
        <w:t>​</w:t>
      </w:r>
    </w:p>
    <w:tbl>
      <w:tblPr>
        <w:tblW w:w="5571" w:type="dxa"/>
        <w:jc w:val="left"/>
        <w:tblInd w:w="0" w:type="dxa"/>
        <w:tblCellMar>
          <w:top w:w="28" w:type="dxa"/>
          <w:left w:w="28" w:type="dxa"/>
          <w:bottom w:w="28" w:type="dxa"/>
          <w:right w:w="28" w:type="dxa"/>
        </w:tblCellMar>
      </w:tblPr>
      <w:tblGrid>
        <w:gridCol w:w="124"/>
        <w:gridCol w:w="256"/>
        <w:gridCol w:w="51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Systems and Aftermarket revenues, in which “Aftermarket” is: </w:t>
            </w:r>
          </w:p>
        </w:tc>
      </w:tr>
    </w:tbl>
    <w:tbl>
      <w:tblPr>
        <w:tblW w:w="9411" w:type="dxa"/>
        <w:jc w:val="left"/>
        <w:tblInd w:w="0" w:type="dxa"/>
        <w:tblCellMar>
          <w:top w:w="28" w:type="dxa"/>
          <w:left w:w="28" w:type="dxa"/>
          <w:bottom w:w="28" w:type="dxa"/>
          <w:right w:w="28" w:type="dxa"/>
        </w:tblCellMar>
      </w:tblPr>
      <w:tblGrid>
        <w:gridCol w:w="124"/>
        <w:gridCol w:w="286"/>
        <w:gridCol w:w="9001"/>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portion of Product revenue relating to spare parts, product upgrades and used equipment, combined with </w:t>
            </w:r>
          </w:p>
        </w:tc>
      </w:tr>
    </w:tbl>
    <w:tbl>
      <w:tblPr>
        <w:tblW w:w="6396" w:type="dxa"/>
        <w:jc w:val="left"/>
        <w:tblInd w:w="0" w:type="dxa"/>
        <w:tblCellMar>
          <w:top w:w="28" w:type="dxa"/>
          <w:left w:w="28" w:type="dxa"/>
          <w:bottom w:w="28" w:type="dxa"/>
          <w:right w:w="28" w:type="dxa"/>
        </w:tblCellMar>
      </w:tblPr>
      <w:tblGrid>
        <w:gridCol w:w="124"/>
        <w:gridCol w:w="286"/>
        <w:gridCol w:w="5986"/>
      </w:tblGrid>
      <w:tr>
        <w:trPr/>
        <w:tc>
          <w:tcPr>
            <w:tcW w:w="1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5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which is the labor component of Aftermarket revenues</w:t>
            </w:r>
          </w:p>
        </w:tc>
      </w:tr>
    </w:tbl>
    <w:p>
      <w:pPr>
        <w:pStyle w:val="TextBody"/>
        <w:spacing w:before="0" w:after="0"/>
        <w:ind w:left="2160" w:right="0" w:hanging="0"/>
        <w:rPr/>
      </w:pPr>
      <w:r>
        <w:rPr/>
        <w:t>​</w:t>
      </w:r>
    </w:p>
    <w:p>
      <w:pPr>
        <w:pStyle w:val="TextBody"/>
        <w:spacing w:before="0" w:after="0"/>
        <w:ind w:left="1440" w:right="0" w:hanging="0"/>
        <w:rPr>
          <w:rFonts w:ascii="Times New Roman;Times;serif" w:hAnsi="Times New Roman;Times;serif"/>
          <w:sz w:val="20"/>
        </w:rPr>
      </w:pPr>
      <w:r>
        <w:rPr>
          <w:rFonts w:ascii="Times New Roman;Times;serif" w:hAnsi="Times New Roman;Times;serif"/>
          <w:sz w:val="20"/>
        </w:rPr>
        <w:t xml:space="preserve">(Aftermarket purchases reflect current fab utilization as opposed to Systems purchases which reflect capital investment decisions by our customers, which have differing economic drivers); </w:t>
      </w:r>
    </w:p>
    <w:p>
      <w:pPr>
        <w:pStyle w:val="TextBody"/>
        <w:spacing w:before="0" w:after="0"/>
        <w:ind w:left="72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ind w:left="0" w:right="0" w:hanging="0"/>
              <w:rPr/>
            </w:pPr>
            <w:r>
              <w:rPr>
                <w:rFonts w:ascii="Times New Roman;Times;serif" w:hAnsi="Times New Roman;Times;serif"/>
                <w:b w:val="false"/>
                <w:i w:val="false"/>
                <w:caps w:val="false"/>
                <w:smallCaps w:val="false"/>
                <w:sz w:val="20"/>
              </w:rPr>
              <w:t>Revenue by geographic regions, since economic factors impacting customer purchasing decisions may vary by geographic region; and</w:t>
              <w:br/>
            </w:r>
            <w:r>
              <w:rPr/>
              <w: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process technology and leading edge foundry and logic. </w:t>
            </w:r>
          </w:p>
        </w:tc>
      </w:tr>
    </w:tbl>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Aftermarket and Systems Revenue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Included in total revenue of $254.0 million during the three months ended March 31, 2023 is revenue from our Aftermarket business of $58.8 million, compared with $51.8 million of Aftermarket revenue for the three months ended March 31, 2022.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 The remaining $195.2 million of revenue for the three months ended March 31, 2023 was from system sales, compared with $151.8 million of systems revenue for the three months ended March 31, 2022. Systems revenue fluctuates from period to period based on our customers’ capital spending.</w:t>
      </w:r>
    </w:p>
    <w:p>
      <w:pPr>
        <w:pStyle w:val="TextBody"/>
        <w:spacing w:before="0" w:after="0"/>
        <w:ind w:left="0" w:right="0" w:hanging="0"/>
        <w:rPr/>
      </w:pPr>
      <w:r>
        <w:rPr/>
        <w:t>​</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Gross Profit / Gross Margin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our gross profit / gross margin:</w:t>
      </w:r>
    </w:p>
    <w:p>
      <w:pPr>
        <w:pStyle w:val="TextBody"/>
        <w:spacing w:before="0" w:after="0"/>
        <w:ind w:left="0" w:right="0" w:hanging="0"/>
        <w:rPr/>
      </w:pPr>
      <w:r>
        <w:rPr/>
        <w:t>​</w:t>
      </w:r>
    </w:p>
    <w:tbl>
      <w:tblPr>
        <w:tblW w:w="6502" w:type="dxa"/>
        <w:jc w:val="left"/>
        <w:tblInd w:w="0" w:type="dxa"/>
        <w:tblCellMar>
          <w:top w:w="0" w:type="dxa"/>
          <w:left w:w="0" w:type="dxa"/>
          <w:bottom w:w="0" w:type="dxa"/>
          <w:right w:w="0" w:type="dxa"/>
        </w:tblCellMar>
      </w:tblPr>
      <w:tblGrid>
        <w:gridCol w:w="1726"/>
        <w:gridCol w:w="326"/>
        <w:gridCol w:w="196"/>
        <w:gridCol w:w="691"/>
        <w:gridCol w:w="346"/>
        <w:gridCol w:w="196"/>
        <w:gridCol w:w="601"/>
        <w:gridCol w:w="346"/>
        <w:gridCol w:w="196"/>
        <w:gridCol w:w="601"/>
        <w:gridCol w:w="109"/>
        <w:gridCol w:w="541"/>
        <w:gridCol w:w="256"/>
        <w:gridCol w:w="371"/>
      </w:tblGrid>
      <w:tr>
        <w:trPr/>
        <w:tc>
          <w:tcPr>
            <w:tcW w:w="1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096010" cy="175260"/>
                      <wp:effectExtent l="0" t="0" r="0" b="0"/>
                      <wp:wrapNone/>
                      <wp:docPr id="231" name="Frame231"/>
                      <a:graphic xmlns:a="http://schemas.openxmlformats.org/drawingml/2006/main">
                        <a:graphicData uri="http://schemas.microsoft.com/office/word/2010/wordprocessingShape">
                          <wps:wsp>
                            <wps:cNvSpPr txBox="1"/>
                            <wps:spPr>
                              <a:xfrm>
                                <a:off x="0" y="0"/>
                                <a:ext cx="1096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24460" cy="175260"/>
                      <wp:effectExtent l="0" t="0" r="0" b="0"/>
                      <wp:wrapNone/>
                      <wp:docPr id="233" name="Frame23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38785" cy="175260"/>
                      <wp:effectExtent l="0" t="0" r="0" b="0"/>
                      <wp:wrapNone/>
                      <wp:docPr id="234" name="Frame23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24460" cy="175260"/>
                      <wp:effectExtent l="0" t="0" r="0" b="0"/>
                      <wp:wrapNone/>
                      <wp:docPr id="236" name="Frame23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81635" cy="175260"/>
                      <wp:effectExtent l="0" t="0" r="0" b="0"/>
                      <wp:wrapNone/>
                      <wp:docPr id="237" name="Frame237"/>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24460" cy="175260"/>
                      <wp:effectExtent l="0" t="0" r="0" b="0"/>
                      <wp:wrapNone/>
                      <wp:docPr id="239" name="Frame23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81635" cy="175260"/>
                      <wp:effectExtent l="0" t="0" r="0" b="0"/>
                      <wp:wrapNone/>
                      <wp:docPr id="240" name="Frame240"/>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43535" cy="175260"/>
                      <wp:effectExtent l="0" t="0" r="0" b="0"/>
                      <wp:wrapNone/>
                      <wp:docPr id="242" name="Frame242"/>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2560" cy="175260"/>
                      <wp:effectExtent l="0" t="0" r="0" b="0"/>
                      <wp:wrapNone/>
                      <wp:docPr id="243" name="Frame243"/>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35585" cy="175260"/>
                      <wp:effectExtent l="0" t="0" r="0" b="0"/>
                      <wp:wrapNone/>
                      <wp:docPr id="244" name="Frame244"/>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3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shd w:fill="auto" w:val="clear"/>
            <w:vAlign w:val="center"/>
          </w:tcPr>
          <w:p>
            <w:pPr>
              <w:pStyle w:val="TableContents"/>
              <w:spacing w:before="0" w:after="0"/>
              <w:ind w:left="0" w:right="0" w:hanging="0"/>
              <w:rPr/>
            </w:pPr>
            <w:r>
              <w:rPr/>
              <w:t>​</w:t>
            </w:r>
          </w:p>
        </w:tc>
        <w:tc>
          <w:tcPr>
            <w:tcW w:w="1447"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7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3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46" w:type="dxa"/>
            <w:tcBorders/>
            <w:shd w:fill="auto" w:val="clear"/>
            <w:vAlign w:val="center"/>
          </w:tcPr>
          <w:p>
            <w:pPr>
              <w:pStyle w:val="TableContents"/>
              <w:spacing w:before="0" w:after="0"/>
              <w:ind w:left="0" w:right="0" w:hanging="0"/>
              <w:rPr/>
            </w:pPr>
            <w:r>
              <w:rPr/>
              <w:t>​</w:t>
            </w:r>
          </w:p>
        </w:tc>
        <w:tc>
          <w:tcPr>
            <w:tcW w:w="1447"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7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shd w:fill="auto" w:val="clear"/>
            <w:vAlign w:val="center"/>
          </w:tcPr>
          <w:p>
            <w:pPr>
              <w:pStyle w:val="TableContents"/>
              <w:spacing w:before="0" w:after="0"/>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17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541"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371" w:type="dxa"/>
            <w:tcBorders/>
            <w:shd w:fill="auto" w:val="clear"/>
            <w:vAlign w:val="center"/>
          </w:tcPr>
          <w:p>
            <w:pPr>
              <w:pStyle w:val="TableContents"/>
              <w:spacing w:before="0" w:after="0"/>
              <w:ind w:left="0" w:right="0" w:hanging="0"/>
              <w:rPr/>
            </w:pPr>
            <w:r>
              <w:rPr/>
              <w:t>​</w:t>
            </w:r>
          </w:p>
        </w:tc>
      </w:tr>
      <w:tr>
        <w:trPr/>
        <w:tc>
          <w:tcPr>
            <w:tcW w:w="172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    </w:t>
            </w:r>
          </w:p>
        </w:tc>
        <w:tc>
          <w:tcPr>
            <w:tcW w:w="25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    </w:t>
            </w:r>
          </w:p>
        </w:tc>
      </w:tr>
      <w:tr>
        <w:trPr/>
        <w:tc>
          <w:tcPr>
            <w:tcW w:w="17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Product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103,236</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88,889</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14,347</w:t>
            </w:r>
          </w:p>
        </w:tc>
        <w:tc>
          <w:tcPr>
            <w:tcW w:w="109"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16.1</w:t>
            </w:r>
          </w:p>
        </w:tc>
        <w:tc>
          <w:tcPr>
            <w:tcW w:w="2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71" w:type="dxa"/>
            <w:tcBorders/>
            <w:shd w:fill="auto" w:val="clear"/>
            <w:vAlign w:val="center"/>
          </w:tcPr>
          <w:p>
            <w:pPr>
              <w:pStyle w:val="TableContents"/>
              <w:spacing w:before="0" w:after="0"/>
              <w:ind w:left="0" w:right="0" w:hanging="0"/>
              <w:rPr/>
            </w:pPr>
            <w:r>
              <w:rPr/>
              <w:t>​</w:t>
            </w:r>
          </w:p>
        </w:tc>
      </w:tr>
      <w:tr>
        <w:trPr/>
        <w:tc>
          <w:tcPr>
            <w:tcW w:w="1726" w:type="dxa"/>
            <w:tcBorders/>
            <w:shd w:fill="CCEEFF"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Product gross margin</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42.0</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45.2</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25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17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172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783</w:t>
            </w:r>
          </w:p>
        </w:tc>
        <w:tc>
          <w:tcPr>
            <w:tcW w:w="3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877</w:t>
            </w:r>
          </w:p>
        </w:tc>
        <w:tc>
          <w:tcPr>
            <w:tcW w:w="34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109"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(10.7)</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71" w:type="dxa"/>
            <w:tcBorders/>
            <w:shd w:fill="CCEEFF" w:val="clear"/>
            <w:vAlign w:val="center"/>
          </w:tcPr>
          <w:p>
            <w:pPr>
              <w:pStyle w:val="TableContents"/>
              <w:spacing w:before="0" w:after="0"/>
              <w:ind w:left="0" w:right="0" w:hanging="0"/>
              <w:rPr/>
            </w:pPr>
            <w:r>
              <w:rPr/>
              <w:t>​</w:t>
            </w:r>
          </w:p>
        </w:tc>
      </w:tr>
      <w:tr>
        <w:trPr/>
        <w:tc>
          <w:tcPr>
            <w:tcW w:w="172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Services gross margin</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9.8</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12.4</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172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gross profit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104,019</w:t>
            </w:r>
          </w:p>
        </w:tc>
        <w:tc>
          <w:tcPr>
            <w:tcW w:w="34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89,766</w:t>
            </w:r>
          </w:p>
        </w:tc>
        <w:tc>
          <w:tcPr>
            <w:tcW w:w="34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14,253</w:t>
            </w:r>
          </w:p>
        </w:tc>
        <w:tc>
          <w:tcPr>
            <w:tcW w:w="109"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15.9</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71" w:type="dxa"/>
            <w:tcBorders/>
            <w:shd w:fill="CCEEFF" w:val="clear"/>
            <w:vAlign w:val="center"/>
          </w:tcPr>
          <w:p>
            <w:pPr>
              <w:pStyle w:val="TableContents"/>
              <w:spacing w:before="0" w:after="0"/>
              <w:ind w:left="0" w:right="0" w:hanging="0"/>
              <w:rPr/>
            </w:pPr>
            <w:r>
              <w:rPr/>
              <w:t>​</w:t>
            </w:r>
          </w:p>
        </w:tc>
      </w:tr>
      <w:tr>
        <w:trPr/>
        <w:tc>
          <w:tcPr>
            <w:tcW w:w="17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Gross margin</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41.0</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44.1</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i/>
                <w:sz w:val="18"/>
              </w:rPr>
              <w:t>% </w:t>
            </w:r>
            <w:r>
              <w:rPr>
                <w:rFonts w:ascii="Times New Roman;Times;serif" w:hAnsi="Times New Roman;Times;serif"/>
                <w:sz w:val="18"/>
              </w:rPr>
              <w:t> </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Product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Gross margin from product revenue was 42.0% for the three months ended March 31, 2023, compared to 45.2% for the three months ended March 31, 2022. </w:t>
      </w:r>
      <w:r>
        <w:rPr>
          <w:rFonts w:ascii="Times" w:hAnsi="Times"/>
          <w:sz w:val="20"/>
        </w:rPr>
        <w:t>The decrease in gross margin primarily resulted from a less favorable mix of system shipments and to a lessor extent, higher supply chain costs.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Services</w:t>
      </w:r>
    </w:p>
    <w:p>
      <w:pPr>
        <w:pStyle w:val="TextBody"/>
        <w:spacing w:before="0" w:after="0"/>
        <w:ind w:left="0" w:right="0" w:firstLine="54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Gross margin from services revenue was 9.8% for the three months ended March 31, 2023, compared to 12.4% for the three months ended March 31, 2022. </w:t>
      </w:r>
      <w:r>
        <w:rPr>
          <w:rFonts w:ascii="Times" w:hAnsi="Times"/>
          <w:sz w:val="20"/>
        </w:rPr>
        <w:t>The decrease in gross margin is attributable to changes in the mix of service contracts</w:t>
      </w:r>
      <w:r>
        <w:rPr>
          <w:rFonts w:ascii="Times New Roman;Times;serif" w:hAnsi="Times New Roman;Times;serif"/>
          <w:sz w:val="20"/>
        </w:rPr>
        <w:t>.</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Operating Expenses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our operating expenses:</w:t>
      </w:r>
    </w:p>
    <w:p>
      <w:pPr>
        <w:pStyle w:val="TextBody"/>
        <w:spacing w:before="0" w:after="0"/>
        <w:ind w:left="0" w:right="0" w:hanging="0"/>
        <w:rPr/>
      </w:pPr>
      <w:r>
        <w:rPr/>
        <w:t>​</w:t>
      </w:r>
    </w:p>
    <w:tbl>
      <w:tblPr>
        <w:tblW w:w="6709" w:type="dxa"/>
        <w:jc w:val="left"/>
        <w:tblInd w:w="0" w:type="dxa"/>
        <w:tblCellMar>
          <w:top w:w="0" w:type="dxa"/>
          <w:left w:w="0" w:type="dxa"/>
          <w:bottom w:w="0" w:type="dxa"/>
          <w:right w:w="0" w:type="dxa"/>
        </w:tblCellMar>
      </w:tblPr>
      <w:tblGrid>
        <w:gridCol w:w="1981"/>
        <w:gridCol w:w="326"/>
        <w:gridCol w:w="196"/>
        <w:gridCol w:w="601"/>
        <w:gridCol w:w="326"/>
        <w:gridCol w:w="196"/>
        <w:gridCol w:w="601"/>
        <w:gridCol w:w="326"/>
        <w:gridCol w:w="196"/>
        <w:gridCol w:w="601"/>
        <w:gridCol w:w="326"/>
        <w:gridCol w:w="421"/>
        <w:gridCol w:w="241"/>
        <w:gridCol w:w="371"/>
      </w:tblGrid>
      <w:tr>
        <w:trPr/>
        <w:tc>
          <w:tcPr>
            <w:tcW w:w="1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257935" cy="175260"/>
                      <wp:effectExtent l="0" t="0" r="0" b="0"/>
                      <wp:wrapNone/>
                      <wp:docPr id="245" name="Frame245"/>
                      <a:graphic xmlns:a="http://schemas.openxmlformats.org/drawingml/2006/main">
                        <a:graphicData uri="http://schemas.microsoft.com/office/word/2010/wordprocessingShape">
                          <wps:wsp>
                            <wps:cNvSpPr txBox="1"/>
                            <wps:spPr>
                              <a:xfrm>
                                <a:off x="0" y="0"/>
                                <a:ext cx="1257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4460" cy="175260"/>
                      <wp:effectExtent l="0" t="0" r="0" b="0"/>
                      <wp:wrapNone/>
                      <wp:docPr id="247" name="Frame24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81635" cy="175260"/>
                      <wp:effectExtent l="0" t="0" r="0" b="0"/>
                      <wp:wrapNone/>
                      <wp:docPr id="248" name="Frame248"/>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4460" cy="175260"/>
                      <wp:effectExtent l="0" t="0" r="0" b="0"/>
                      <wp:wrapNone/>
                      <wp:docPr id="250" name="Frame25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81635" cy="175260"/>
                      <wp:effectExtent l="0" t="0" r="0" b="0"/>
                      <wp:wrapNone/>
                      <wp:docPr id="251" name="Frame251"/>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4460" cy="175260"/>
                      <wp:effectExtent l="0" t="0" r="0" b="0"/>
                      <wp:wrapNone/>
                      <wp:docPr id="253" name="Frame25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81635" cy="175260"/>
                      <wp:effectExtent l="0" t="0" r="0" b="0"/>
                      <wp:wrapNone/>
                      <wp:docPr id="254" name="Frame254"/>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67335" cy="175260"/>
                      <wp:effectExtent l="0" t="0" r="0" b="0"/>
                      <wp:wrapNone/>
                      <wp:docPr id="256" name="Frame256"/>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53035" cy="175260"/>
                      <wp:effectExtent l="0" t="0" r="0" b="0"/>
                      <wp:wrapNone/>
                      <wp:docPr id="257" name="Frame257"/>
                      <a:graphic xmlns:a="http://schemas.openxmlformats.org/drawingml/2006/main">
                        <a:graphicData uri="http://schemas.microsoft.com/office/word/2010/wordprocessingShape">
                          <wps:wsp>
                            <wps:cNvSpPr txBox="1"/>
                            <wps:spPr>
                              <a:xfrm>
                                <a:off x="0" y="0"/>
                                <a:ext cx="153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35585" cy="175260"/>
                      <wp:effectExtent l="0" t="0" r="0" b="0"/>
                      <wp:wrapNone/>
                      <wp:docPr id="258" name="Frame258"/>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2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1544"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41" w:type="dxa"/>
            <w:tcBorders/>
            <w:shd w:fill="auto" w:val="clear"/>
            <w:vAlign w:val="center"/>
          </w:tcPr>
          <w:p>
            <w:pPr>
              <w:pStyle w:val="TableContents"/>
              <w:spacing w:before="0" w:after="0"/>
              <w:ind w:left="0" w:right="0" w:hanging="0"/>
              <w:jc w:val="center"/>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2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26" w:type="dxa"/>
            <w:tcBorders/>
            <w:shd w:fill="auto" w:val="clear"/>
            <w:vAlign w:val="center"/>
          </w:tcPr>
          <w:p>
            <w:pPr>
              <w:pStyle w:val="TableContents"/>
              <w:spacing w:before="0" w:after="0"/>
              <w:ind w:left="0" w:right="0" w:hanging="0"/>
              <w:rPr/>
            </w:pPr>
            <w:r>
              <w:rPr/>
              <w:t>​</w:t>
            </w:r>
          </w:p>
        </w:tc>
        <w:tc>
          <w:tcPr>
            <w:tcW w:w="154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41" w:type="dxa"/>
            <w:tcBorders/>
            <w:shd w:fill="auto" w:val="clear"/>
            <w:vAlign w:val="center"/>
          </w:tcPr>
          <w:p>
            <w:pPr>
              <w:pStyle w:val="TableContents"/>
              <w:spacing w:before="0" w:after="0"/>
              <w:ind w:left="0" w:right="0" w:hanging="0"/>
              <w:jc w:val="center"/>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41" w:type="dxa"/>
            <w:tcBorders/>
            <w:shd w:fill="auto" w:val="clear"/>
            <w:vAlign w:val="center"/>
          </w:tcPr>
          <w:p>
            <w:pPr>
              <w:pStyle w:val="TableContents"/>
              <w:spacing w:before="0" w:after="0"/>
              <w:ind w:left="0" w:right="0" w:hanging="0"/>
              <w:jc w:val="center"/>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21" w:type="dxa"/>
            <w:tcBorders/>
            <w:shd w:fill="auto" w:val="clear"/>
            <w:vAlign w:val="center"/>
          </w:tcPr>
          <w:p>
            <w:pPr>
              <w:pStyle w:val="TableContents"/>
              <w:spacing w:before="0" w:after="0"/>
              <w:ind w:left="0" w:right="0" w:hanging="0"/>
              <w:jc w:val="center"/>
              <w:rPr/>
            </w:pPr>
            <w:r>
              <w:rPr/>
              <w:t>​</w:t>
            </w:r>
          </w:p>
        </w:tc>
        <w:tc>
          <w:tcPr>
            <w:tcW w:w="241" w:type="dxa"/>
            <w:tcBorders/>
            <w:shd w:fill="auto" w:val="clear"/>
            <w:vAlign w:val="center"/>
          </w:tcPr>
          <w:p>
            <w:pPr>
              <w:pStyle w:val="TableContents"/>
              <w:spacing w:before="0" w:after="0"/>
              <w:ind w:left="0" w:right="0" w:hanging="0"/>
              <w:jc w:val="center"/>
              <w:rPr/>
            </w:pPr>
            <w:r>
              <w:rPr/>
              <w:t>​</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Research and development</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23,773</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16,973</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6,800</w:t>
            </w:r>
          </w:p>
        </w:tc>
        <w:tc>
          <w:tcPr>
            <w:tcW w:w="326" w:type="dxa"/>
            <w:tcBorders/>
            <w:shd w:fill="CCEEFF" w:val="clear"/>
            <w:vAlign w:val="center"/>
          </w:tcPr>
          <w:p>
            <w:pPr>
              <w:pStyle w:val="TableContents"/>
              <w:spacing w:before="0" w:after="0"/>
              <w:ind w:left="0" w:right="0" w:hanging="0"/>
              <w:rPr/>
            </w:pPr>
            <w:r>
              <w:rPr/>
              <w:t>    </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i/>
                <w:sz w:val="16"/>
              </w:rPr>
            </w:pPr>
            <w:r>
              <w:rPr>
                <w:rFonts w:ascii="Times New Roman;Times;serif" w:hAnsi="Times New Roman;Times;serif"/>
                <w:i/>
                <w:sz w:val="16"/>
              </w:rPr>
              <w:t>40.1</w:t>
            </w:r>
          </w:p>
        </w:tc>
        <w:tc>
          <w:tcPr>
            <w:tcW w:w="2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371" w:type="dxa"/>
            <w:tcBorders/>
            <w:shd w:fill="CCEEFF" w:val="clear"/>
            <w:vAlign w:val="center"/>
          </w:tcPr>
          <w:p>
            <w:pPr>
              <w:pStyle w:val="TableContents"/>
              <w:spacing w:before="0" w:after="0"/>
              <w:ind w:left="0" w:right="0" w:hanging="0"/>
              <w:rPr/>
            </w:pPr>
            <w:r>
              <w:rPr/>
              <w:t>    </w:t>
            </w:r>
          </w:p>
        </w:tc>
      </w:tr>
      <w:tr>
        <w:trPr/>
        <w:tc>
          <w:tcPr>
            <w:tcW w:w="1981" w:type="dxa"/>
            <w:tcBorders/>
            <w:shd w:fill="auto" w:val="clear"/>
            <w:vAlign w:val="center"/>
          </w:tcPr>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Percentage of revenue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6"/>
              </w:rPr>
            </w:pPr>
            <w:r>
              <w:rPr>
                <w:rFonts w:ascii="Times New Roman;Times;serif" w:hAnsi="Times New Roman;Times;serif"/>
                <w:i/>
                <w:sz w:val="16"/>
              </w:rPr>
              <w:t>9.4</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6"/>
              </w:rPr>
            </w:pPr>
            <w:r>
              <w:rPr>
                <w:rFonts w:ascii="Times New Roman;Times;serif" w:hAnsi="Times New Roman;Times;serif"/>
                <w:i/>
                <w:sz w:val="16"/>
              </w:rPr>
              <w:t>8.3</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c>
          <w:tcPr>
            <w:tcW w:w="241"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Sales and marketing</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14,144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11,291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2,853</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i/>
                <w:sz w:val="16"/>
              </w:rPr>
            </w:pPr>
            <w:r>
              <w:rPr>
                <w:rFonts w:ascii="Times New Roman;Times;serif" w:hAnsi="Times New Roman;Times;serif"/>
                <w:i/>
                <w:sz w:val="16"/>
              </w:rPr>
              <w:t>25.3</w:t>
            </w:r>
          </w:p>
        </w:tc>
        <w:tc>
          <w:tcPr>
            <w:tcW w:w="2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371" w:type="dxa"/>
            <w:tcBorders/>
            <w:shd w:fill="CCEEFF"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Percentage of revenue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6"/>
              </w:rPr>
            </w:pPr>
            <w:r>
              <w:rPr>
                <w:rFonts w:ascii="Times New Roman;Times;serif" w:hAnsi="Times New Roman;Times;serif"/>
                <w:i/>
                <w:sz w:val="16"/>
              </w:rPr>
              <w:t>5.6</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6"/>
              </w:rPr>
            </w:pPr>
            <w:r>
              <w:rPr>
                <w:rFonts w:ascii="Times New Roman;Times;serif" w:hAnsi="Times New Roman;Times;serif"/>
                <w:i/>
                <w:sz w:val="16"/>
              </w:rPr>
              <w:t>5.5</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c>
          <w:tcPr>
            <w:tcW w:w="241"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14,745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12,579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2,166</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i/>
                <w:sz w:val="16"/>
              </w:rPr>
            </w:pPr>
            <w:r>
              <w:rPr>
                <w:rFonts w:ascii="Times New Roman;Times;serif" w:hAnsi="Times New Roman;Times;serif"/>
                <w:i/>
                <w:sz w:val="16"/>
              </w:rPr>
              <w:t>17.2</w:t>
            </w:r>
          </w:p>
        </w:tc>
        <w:tc>
          <w:tcPr>
            <w:tcW w:w="2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371" w:type="dxa"/>
            <w:tcBorders/>
            <w:shd w:fill="CCEEFF"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Percentage of revenue</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i/>
                <w:sz w:val="16"/>
              </w:rPr>
            </w:pPr>
            <w:r>
              <w:rPr>
                <w:rFonts w:ascii="Times New Roman;Times;serif" w:hAnsi="Times New Roman;Times;serif"/>
                <w:i/>
                <w:sz w:val="16"/>
              </w:rPr>
              <w:t>5.8</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i/>
                <w:sz w:val="16"/>
              </w:rPr>
            </w:pPr>
            <w:r>
              <w:rPr>
                <w:rFonts w:ascii="Times New Roman;Times;serif" w:hAnsi="Times New Roman;Times;serif"/>
                <w:i/>
                <w:sz w:val="16"/>
              </w:rPr>
              <w:t>6.2</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c>
          <w:tcPr>
            <w:tcW w:w="241"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operating expenses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52,662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40,843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11,819</w:t>
            </w:r>
          </w:p>
        </w:tc>
        <w:tc>
          <w:tcPr>
            <w:tcW w:w="326" w:type="dxa"/>
            <w:tcBorders/>
            <w:shd w:fill="CCEEFF" w:val="clear"/>
            <w:vAlign w:val="center"/>
          </w:tcPr>
          <w:p>
            <w:pPr>
              <w:pStyle w:val="TableContents"/>
              <w:spacing w:before="0" w:after="0"/>
              <w:ind w:left="0" w:right="0" w:hanging="0"/>
              <w:rPr/>
            </w:pPr>
            <w:r>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i/>
                <w:sz w:val="16"/>
              </w:rPr>
            </w:pPr>
            <w:r>
              <w:rPr>
                <w:rFonts w:ascii="Times New Roman;Times;serif" w:hAnsi="Times New Roman;Times;serif"/>
                <w:i/>
                <w:sz w:val="16"/>
              </w:rPr>
              <w:t>28.9</w:t>
            </w:r>
          </w:p>
        </w:tc>
        <w:tc>
          <w:tcPr>
            <w:tcW w:w="2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371" w:type="dxa"/>
            <w:tcBorders/>
            <w:shd w:fill="CCEEFF"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Percentage of revenue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6"/>
              </w:rPr>
            </w:pPr>
            <w:r>
              <w:rPr>
                <w:rFonts w:ascii="Times New Roman;Times;serif" w:hAnsi="Times New Roman;Times;serif"/>
                <w:i/>
                <w:sz w:val="16"/>
              </w:rPr>
              <w:t>20.8</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6"/>
              </w:rPr>
            </w:pPr>
            <w:r>
              <w:rPr>
                <w:rFonts w:ascii="Times New Roman;Times;serif" w:hAnsi="Times New Roman;Times;serif"/>
                <w:i/>
                <w:sz w:val="16"/>
              </w:rPr>
              <w:t>20.0</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6"/>
              </w:rPr>
            </w:pPr>
            <w:r>
              <w:rPr>
                <w:rFonts w:ascii="Times New Roman;Times;serif" w:hAnsi="Times New Roman;Times;serif"/>
                <w:i/>
                <w:sz w:val="16"/>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c>
          <w:tcPr>
            <w:tcW w:w="241"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operating expenses consist primarily of personnel costs, including salaries,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Personnel costs are our largest expense, representing $30.7 million or 58.2%, of our total operating expenses for the three months ended March 31, 2023, compared to $24.2 million or 59.2%, of our total operating expenses for the three months ended March 31, 2022. The higher personnel costs for the three months ended March 31, 2023 are primarily due to increases in personnel-related expenses to support growth.</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Research and Development</w:t>
      </w:r>
    </w:p>
    <w:p>
      <w:pPr>
        <w:pStyle w:val="TextBody"/>
        <w:spacing w:before="0" w:after="0"/>
        <w:ind w:left="0" w:right="0" w:hanging="0"/>
        <w:rPr/>
      </w:pPr>
      <w:r>
        <w:rPr/>
        <w:t>​</w:t>
      </w:r>
    </w:p>
    <w:tbl>
      <w:tblPr>
        <w:tblW w:w="6634" w:type="dxa"/>
        <w:jc w:val="left"/>
        <w:tblInd w:w="0" w:type="dxa"/>
        <w:tblCellMar>
          <w:top w:w="0" w:type="dxa"/>
          <w:left w:w="0" w:type="dxa"/>
          <w:bottom w:w="0" w:type="dxa"/>
          <w:right w:w="0" w:type="dxa"/>
        </w:tblCellMar>
      </w:tblPr>
      <w:tblGrid>
        <w:gridCol w:w="2011"/>
        <w:gridCol w:w="109"/>
        <w:gridCol w:w="196"/>
        <w:gridCol w:w="601"/>
        <w:gridCol w:w="326"/>
        <w:gridCol w:w="196"/>
        <w:gridCol w:w="601"/>
        <w:gridCol w:w="326"/>
        <w:gridCol w:w="109"/>
        <w:gridCol w:w="196"/>
        <w:gridCol w:w="542"/>
        <w:gridCol w:w="346"/>
        <w:gridCol w:w="448"/>
        <w:gridCol w:w="256"/>
        <w:gridCol w:w="371"/>
      </w:tblGrid>
      <w:tr>
        <w:trPr/>
        <w:tc>
          <w:tcPr>
            <w:tcW w:w="2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76985" cy="175260"/>
                      <wp:effectExtent l="0" t="0" r="0" b="0"/>
                      <wp:wrapNone/>
                      <wp:docPr id="259" name="Frame259"/>
                      <a:graphic xmlns:a="http://schemas.openxmlformats.org/drawingml/2006/main">
                        <a:graphicData uri="http://schemas.microsoft.com/office/word/2010/wordprocessingShape">
                          <wps:wsp>
                            <wps:cNvSpPr txBox="1"/>
                            <wps:spPr>
                              <a:xfrm>
                                <a:off x="0" y="0"/>
                                <a:ext cx="1276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24460" cy="175260"/>
                      <wp:effectExtent l="0" t="0" r="0" b="0"/>
                      <wp:wrapNone/>
                      <wp:docPr id="261" name="Frame26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81635" cy="175260"/>
                      <wp:effectExtent l="0" t="0" r="0" b="0"/>
                      <wp:wrapNone/>
                      <wp:docPr id="262" name="Frame262"/>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4460" cy="175260"/>
                      <wp:effectExtent l="0" t="0" r="0" b="0"/>
                      <wp:wrapNone/>
                      <wp:docPr id="264" name="Frame26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81635" cy="175260"/>
                      <wp:effectExtent l="0" t="0" r="0" b="0"/>
                      <wp:wrapNone/>
                      <wp:docPr id="265" name="Frame265"/>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4460" cy="175260"/>
                      <wp:effectExtent l="0" t="0" r="0" b="0"/>
                      <wp:wrapNone/>
                      <wp:docPr id="268" name="Frame26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44170" cy="175260"/>
                      <wp:effectExtent l="0" t="0" r="0" b="0"/>
                      <wp:wrapNone/>
                      <wp:docPr id="269" name="Frame269"/>
                      <a:graphic xmlns:a="http://schemas.openxmlformats.org/drawingml/2006/main">
                        <a:graphicData uri="http://schemas.microsoft.com/office/word/2010/wordprocessingShape">
                          <wps:wsp>
                            <wps:cNvSpPr txBox="1"/>
                            <wps:spPr>
                              <a:xfrm>
                                <a:off x="0" y="0"/>
                                <a:ext cx="344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84480" cy="175260"/>
                      <wp:effectExtent l="0" t="0" r="0" b="0"/>
                      <wp:wrapNone/>
                      <wp:docPr id="271" name="Frame271"/>
                      <a:graphic xmlns:a="http://schemas.openxmlformats.org/drawingml/2006/main">
                        <a:graphicData uri="http://schemas.microsoft.com/office/word/2010/wordprocessingShape">
                          <wps:wsp>
                            <wps:cNvSpPr txBox="1"/>
                            <wps:spPr>
                              <a:xfrm>
                                <a:off x="0" y="0"/>
                                <a:ext cx="284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62560" cy="175260"/>
                      <wp:effectExtent l="0" t="0" r="0" b="0"/>
                      <wp:wrapNone/>
                      <wp:docPr id="272" name="Frame272"/>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35585" cy="175260"/>
                      <wp:effectExtent l="0" t="0" r="0" b="0"/>
                      <wp:wrapNone/>
                      <wp:docPr id="273" name="Frame273"/>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2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1336"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shd w:fill="auto" w:val="clear"/>
            <w:vAlign w:val="center"/>
          </w:tcPr>
          <w:p>
            <w:pPr>
              <w:pStyle w:val="TableContents"/>
              <w:spacing w:before="0" w:after="0"/>
              <w:ind w:left="0" w:right="0" w:hanging="0"/>
              <w:jc w:val="center"/>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20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2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1336"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shd w:fill="auto" w:val="clear"/>
            <w:vAlign w:val="center"/>
          </w:tcPr>
          <w:p>
            <w:pPr>
              <w:pStyle w:val="TableContents"/>
              <w:spacing w:before="0" w:after="0"/>
              <w:ind w:left="0" w:right="0" w:hanging="0"/>
              <w:jc w:val="center"/>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20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4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shd w:fill="auto" w:val="clear"/>
            <w:vAlign w:val="center"/>
          </w:tcPr>
          <w:p>
            <w:pPr>
              <w:pStyle w:val="TableContents"/>
              <w:spacing w:before="0" w:after="0"/>
              <w:ind w:left="0" w:right="0" w:hanging="0"/>
              <w:rPr/>
            </w:pPr>
            <w:r>
              <w:rPr/>
              <w:t>​</w:t>
            </w:r>
          </w:p>
        </w:tc>
        <w:tc>
          <w:tcPr>
            <w:tcW w:w="44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shd w:fill="auto" w:val="clear"/>
            <w:vAlign w:val="center"/>
          </w:tcPr>
          <w:p>
            <w:pPr>
              <w:pStyle w:val="TableContents"/>
              <w:spacing w:before="0" w:after="0"/>
              <w:ind w:left="0" w:right="0" w:hanging="0"/>
              <w:jc w:val="center"/>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20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542"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jc w:val="center"/>
              <w:rPr/>
            </w:pPr>
            <w:r>
              <w:rPr/>
              <w:t>​</w:t>
            </w:r>
          </w:p>
        </w:tc>
        <w:tc>
          <w:tcPr>
            <w:tcW w:w="448"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371" w:type="dxa"/>
            <w:tcBorders/>
            <w:shd w:fill="auto" w:val="clear"/>
            <w:vAlign w:val="center"/>
          </w:tcPr>
          <w:p>
            <w:pPr>
              <w:pStyle w:val="TableContents"/>
              <w:spacing w:before="0" w:after="0"/>
              <w:ind w:left="0" w:right="0" w:hanging="0"/>
              <w:rPr/>
            </w:pPr>
            <w:r>
              <w:rPr/>
              <w:t>​</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Research and development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23,773</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16,973</w:t>
            </w:r>
          </w:p>
        </w:tc>
        <w:tc>
          <w:tcPr>
            <w:tcW w:w="32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6,800</w:t>
            </w:r>
          </w:p>
        </w:tc>
        <w:tc>
          <w:tcPr>
            <w:tcW w:w="346"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40.1</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71" w:type="dxa"/>
            <w:tcBorders/>
            <w:shd w:fill="CCEEFF" w:val="clear"/>
            <w:vAlign w:val="center"/>
          </w:tcPr>
          <w:p>
            <w:pPr>
              <w:pStyle w:val="TableContents"/>
              <w:spacing w:before="0" w:after="0"/>
              <w:ind w:left="0" w:right="0" w:hanging="0"/>
              <w:rPr/>
            </w:pPr>
            <w:r>
              <w:rPr/>
              <w:t>    </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Percentage of revenue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9.4</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8.3</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42"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solve customers’ high value, high impact, ion implantation challenges.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Research and development expense was $23.8 million during the three months ended March 31, 2023, an increase of $6.8 million, or 40.1%, compared with $17.0 million during the three months ended March 31, 2022. The increase is primarily due to higher personnel expenses as well as an increase in the cost of project materials and related services for ongoing projects.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Sales and Marketing</w:t>
      </w:r>
    </w:p>
    <w:p>
      <w:pPr>
        <w:pStyle w:val="TextBody"/>
        <w:spacing w:before="0" w:after="0"/>
        <w:ind w:left="0" w:right="0" w:hanging="0"/>
        <w:rPr/>
      </w:pPr>
      <w:r>
        <w:rPr/>
        <w:t>​</w:t>
      </w:r>
    </w:p>
    <w:tbl>
      <w:tblPr>
        <w:tblW w:w="6409" w:type="dxa"/>
        <w:jc w:val="left"/>
        <w:tblInd w:w="0" w:type="dxa"/>
        <w:tblCellMar>
          <w:top w:w="0" w:type="dxa"/>
          <w:left w:w="0" w:type="dxa"/>
          <w:bottom w:w="0" w:type="dxa"/>
          <w:right w:w="0" w:type="dxa"/>
        </w:tblCellMar>
      </w:tblPr>
      <w:tblGrid>
        <w:gridCol w:w="1696"/>
        <w:gridCol w:w="326"/>
        <w:gridCol w:w="196"/>
        <w:gridCol w:w="601"/>
        <w:gridCol w:w="326"/>
        <w:gridCol w:w="196"/>
        <w:gridCol w:w="601"/>
        <w:gridCol w:w="326"/>
        <w:gridCol w:w="256"/>
        <w:gridCol w:w="511"/>
        <w:gridCol w:w="326"/>
        <w:gridCol w:w="421"/>
        <w:gridCol w:w="256"/>
        <w:gridCol w:w="371"/>
      </w:tblGrid>
      <w:tr>
        <w:trPr/>
        <w:tc>
          <w:tcPr>
            <w:tcW w:w="1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076960" cy="175260"/>
                      <wp:effectExtent l="0" t="0" r="0" b="0"/>
                      <wp:wrapNone/>
                      <wp:docPr id="274" name="Frame274"/>
                      <a:graphic xmlns:a="http://schemas.openxmlformats.org/drawingml/2006/main">
                        <a:graphicData uri="http://schemas.microsoft.com/office/word/2010/wordprocessingShape">
                          <wps:wsp>
                            <wps:cNvSpPr txBox="1"/>
                            <wps:spPr>
                              <a:xfrm>
                                <a:off x="0" y="0"/>
                                <a:ext cx="1076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4460" cy="175260"/>
                      <wp:effectExtent l="0" t="0" r="0" b="0"/>
                      <wp:wrapNone/>
                      <wp:docPr id="276" name="Frame27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81635" cy="175260"/>
                      <wp:effectExtent l="0" t="0" r="0" b="0"/>
                      <wp:wrapNone/>
                      <wp:docPr id="277" name="Frame277"/>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4460" cy="175260"/>
                      <wp:effectExtent l="0" t="0" r="0" b="0"/>
                      <wp:wrapNone/>
                      <wp:docPr id="279" name="Frame27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81635" cy="175260"/>
                      <wp:effectExtent l="0" t="0" r="0" b="0"/>
                      <wp:wrapNone/>
                      <wp:docPr id="280" name="Frame280"/>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2560" cy="175260"/>
                      <wp:effectExtent l="0" t="0" r="0" b="0"/>
                      <wp:wrapNone/>
                      <wp:docPr id="282" name="Frame282"/>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24485" cy="175260"/>
                      <wp:effectExtent l="0" t="0" r="0" b="0"/>
                      <wp:wrapNone/>
                      <wp:docPr id="283" name="Frame283"/>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67335" cy="175260"/>
                      <wp:effectExtent l="0" t="0" r="0" b="0"/>
                      <wp:wrapNone/>
                      <wp:docPr id="285" name="Frame285"/>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62560" cy="175260"/>
                      <wp:effectExtent l="0" t="0" r="0" b="0"/>
                      <wp:wrapNone/>
                      <wp:docPr id="286" name="Frame286"/>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35585" cy="175260"/>
                      <wp:effectExtent l="0" t="0" r="0" b="0"/>
                      <wp:wrapNone/>
                      <wp:docPr id="287" name="Frame287"/>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2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1514"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2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26" w:type="dxa"/>
            <w:tcBorders/>
            <w:shd w:fill="auto" w:val="clear"/>
            <w:vAlign w:val="center"/>
          </w:tcPr>
          <w:p>
            <w:pPr>
              <w:pStyle w:val="TableContents"/>
              <w:spacing w:before="0" w:after="0"/>
              <w:ind w:left="0" w:right="0" w:hanging="0"/>
              <w:rPr/>
            </w:pPr>
            <w:r>
              <w:rPr/>
              <w:t>​</w:t>
            </w:r>
          </w:p>
        </w:tc>
        <w:tc>
          <w:tcPr>
            <w:tcW w:w="151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7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21"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371" w:type="dxa"/>
            <w:tcBorders/>
            <w:shd w:fill="auto" w:val="clear"/>
            <w:vAlign w:val="center"/>
          </w:tcPr>
          <w:p>
            <w:pPr>
              <w:pStyle w:val="TableContents"/>
              <w:spacing w:before="0" w:after="0"/>
              <w:ind w:left="0" w:right="0" w:hanging="0"/>
              <w:rPr/>
            </w:pPr>
            <w:r>
              <w:rPr/>
              <w:t>​</w:t>
            </w:r>
          </w:p>
        </w:tc>
      </w:tr>
      <w:tr>
        <w:trPr/>
        <w:tc>
          <w:tcPr>
            <w:tcW w:w="16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Sales and marketing</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14,144</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11,291</w:t>
            </w:r>
          </w:p>
        </w:tc>
        <w:tc>
          <w:tcPr>
            <w:tcW w:w="326" w:type="dxa"/>
            <w:tcBorders/>
            <w:shd w:fill="CCEEFF" w:val="clear"/>
            <w:vAlign w:val="center"/>
          </w:tcPr>
          <w:p>
            <w:pPr>
              <w:pStyle w:val="TableContents"/>
              <w:spacing w:before="0" w:after="0"/>
              <w:ind w:left="0" w:right="0" w:hanging="0"/>
              <w:rPr/>
            </w:pPr>
            <w:r>
              <w:rPr/>
              <w:t>    </w:t>
            </w:r>
          </w:p>
        </w:tc>
        <w:tc>
          <w:tcPr>
            <w:tcW w:w="256" w:type="dxa"/>
            <w:tcBorders/>
            <w:shd w:fill="CCEEFF" w:val="clear"/>
            <w:vAlign w:val="center"/>
          </w:tcPr>
          <w:p>
            <w:pPr>
              <w:pStyle w:val="TableContents"/>
              <w:spacing w:before="0" w:after="0"/>
              <w:ind w:left="0" w:right="0" w:hanging="0"/>
              <w:rPr/>
            </w:pPr>
            <w:r>
              <w:rPr/>
              <w:t> </w:t>
            </w:r>
            <w:r>
              <w:rPr>
                <w:rFonts w:ascii="Times New Roman;Times;serif" w:hAnsi="Times New Roman;Times;serif"/>
                <w:sz w:val="18"/>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2,853</w:t>
            </w:r>
          </w:p>
        </w:tc>
        <w:tc>
          <w:tcPr>
            <w:tcW w:w="326" w:type="dxa"/>
            <w:tcBorders/>
            <w:shd w:fill="CCEEFF" w:val="clear"/>
            <w:vAlign w:val="center"/>
          </w:tcPr>
          <w:p>
            <w:pPr>
              <w:pStyle w:val="TableContents"/>
              <w:spacing w:before="0" w:after="0"/>
              <w:ind w:left="0" w:right="0" w:hanging="0"/>
              <w:rPr/>
            </w:pPr>
            <w:r>
              <w:rPr/>
              <w:t>    </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25.3</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71" w:type="dxa"/>
            <w:tcBorders/>
            <w:shd w:fill="CCEEFF" w:val="clear"/>
            <w:vAlign w:val="center"/>
          </w:tcPr>
          <w:p>
            <w:pPr>
              <w:pStyle w:val="TableContents"/>
              <w:spacing w:before="0" w:after="0"/>
              <w:ind w:left="0" w:right="0" w:hanging="0"/>
              <w:rPr/>
            </w:pPr>
            <w:r>
              <w:rPr/>
              <w:t>    </w:t>
            </w:r>
          </w:p>
        </w:tc>
      </w:tr>
      <w:tr>
        <w:trPr/>
        <w:tc>
          <w:tcPr>
            <w:tcW w:w="169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Percentage of revenue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5.6</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5.5</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w:t>
            </w:r>
          </w:p>
        </w:tc>
        <w:tc>
          <w:tcPr>
            <w:tcW w:w="25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sales and marketing expenses result primarily from the sale of our equipment and services through our direct sales force. </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Sales and marketing expense was $14.1 million during the three months ended March 31, 2023, an increase of $2.9 million, or 25.3%, compared with $11.3 million during the three months ended March 31, 2022. The increase is primarily due to higher personnel expenses and travel-related expense.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General and Administrative</w:t>
      </w:r>
    </w:p>
    <w:p>
      <w:pPr>
        <w:pStyle w:val="TextBody"/>
        <w:spacing w:before="0" w:after="0"/>
        <w:ind w:left="0" w:right="0" w:hanging="0"/>
        <w:rPr/>
      </w:pPr>
      <w:r>
        <w:rPr/>
        <w:t>​</w:t>
      </w:r>
    </w:p>
    <w:tbl>
      <w:tblPr>
        <w:tblW w:w="6664" w:type="dxa"/>
        <w:jc w:val="left"/>
        <w:tblInd w:w="0" w:type="dxa"/>
        <w:tblCellMar>
          <w:top w:w="0" w:type="dxa"/>
          <w:left w:w="0" w:type="dxa"/>
          <w:bottom w:w="0" w:type="dxa"/>
          <w:right w:w="0" w:type="dxa"/>
        </w:tblCellMar>
      </w:tblPr>
      <w:tblGrid>
        <w:gridCol w:w="2011"/>
        <w:gridCol w:w="326"/>
        <w:gridCol w:w="196"/>
        <w:gridCol w:w="601"/>
        <w:gridCol w:w="326"/>
        <w:gridCol w:w="196"/>
        <w:gridCol w:w="601"/>
        <w:gridCol w:w="326"/>
        <w:gridCol w:w="196"/>
        <w:gridCol w:w="511"/>
        <w:gridCol w:w="326"/>
        <w:gridCol w:w="421"/>
        <w:gridCol w:w="256"/>
        <w:gridCol w:w="371"/>
      </w:tblGrid>
      <w:tr>
        <w:trPr/>
        <w:tc>
          <w:tcPr>
            <w:tcW w:w="2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276985" cy="175260"/>
                      <wp:effectExtent l="0" t="0" r="0" b="0"/>
                      <wp:wrapNone/>
                      <wp:docPr id="288" name="Frame288"/>
                      <a:graphic xmlns:a="http://schemas.openxmlformats.org/drawingml/2006/main">
                        <a:graphicData uri="http://schemas.microsoft.com/office/word/2010/wordprocessingShape">
                          <wps:wsp>
                            <wps:cNvSpPr txBox="1"/>
                            <wps:spPr>
                              <a:xfrm>
                                <a:off x="0" y="0"/>
                                <a:ext cx="1276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24460" cy="175260"/>
                      <wp:effectExtent l="0" t="0" r="0" b="0"/>
                      <wp:wrapNone/>
                      <wp:docPr id="290" name="Frame29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81635" cy="175260"/>
                      <wp:effectExtent l="0" t="0" r="0" b="0"/>
                      <wp:wrapNone/>
                      <wp:docPr id="291" name="Frame291"/>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24460" cy="175260"/>
                      <wp:effectExtent l="0" t="0" r="0" b="0"/>
                      <wp:wrapNone/>
                      <wp:docPr id="293" name="Frame29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81635" cy="175260"/>
                      <wp:effectExtent l="0" t="0" r="0" b="0"/>
                      <wp:wrapNone/>
                      <wp:docPr id="294" name="Frame294"/>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4460" cy="175260"/>
                      <wp:effectExtent l="0" t="0" r="0" b="0"/>
                      <wp:wrapNone/>
                      <wp:docPr id="296" name="Frame29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24485" cy="175260"/>
                      <wp:effectExtent l="0" t="0" r="0" b="0"/>
                      <wp:wrapNone/>
                      <wp:docPr id="297" name="Frame297"/>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67335" cy="175260"/>
                      <wp:effectExtent l="0" t="0" r="0" b="0"/>
                      <wp:wrapNone/>
                      <wp:docPr id="299" name="Frame299"/>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62560" cy="175260"/>
                      <wp:effectExtent l="0" t="0" r="0" b="0"/>
                      <wp:wrapNone/>
                      <wp:docPr id="300" name="Frame300"/>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35585" cy="175260"/>
                      <wp:effectExtent l="0" t="0" r="0" b="0"/>
                      <wp:wrapNone/>
                      <wp:docPr id="301" name="Frame301"/>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2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1454"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2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26" w:type="dxa"/>
            <w:tcBorders/>
            <w:shd w:fill="auto" w:val="clear"/>
            <w:vAlign w:val="center"/>
          </w:tcPr>
          <w:p>
            <w:pPr>
              <w:pStyle w:val="TableContents"/>
              <w:spacing w:before="0" w:after="0"/>
              <w:ind w:left="0" w:right="0" w:hanging="0"/>
              <w:rPr/>
            </w:pPr>
            <w:r>
              <w:rPr/>
              <w:t>​</w:t>
            </w:r>
          </w:p>
        </w:tc>
        <w:tc>
          <w:tcPr>
            <w:tcW w:w="145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7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56"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21"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371" w:type="dxa"/>
            <w:tcBorders/>
            <w:shd w:fill="auto" w:val="clear"/>
            <w:vAlign w:val="center"/>
          </w:tcPr>
          <w:p>
            <w:pPr>
              <w:pStyle w:val="TableContents"/>
              <w:spacing w:before="0" w:after="0"/>
              <w:ind w:left="0" w:right="0" w:hanging="0"/>
              <w:rPr/>
            </w:pPr>
            <w:r>
              <w:rPr/>
              <w:t>​</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General and administrative</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14,745</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12,579</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2,166</w:t>
            </w:r>
          </w:p>
        </w:tc>
        <w:tc>
          <w:tcPr>
            <w:tcW w:w="326" w:type="dxa"/>
            <w:tcBorders/>
            <w:shd w:fill="CCEEFF" w:val="clear"/>
            <w:vAlign w:val="center"/>
          </w:tcPr>
          <w:p>
            <w:pPr>
              <w:pStyle w:val="TableContents"/>
              <w:spacing w:before="0" w:after="0"/>
              <w:ind w:left="0" w:right="0" w:hanging="0"/>
              <w:rPr/>
            </w:pPr>
            <w:r>
              <w:rPr/>
              <w:t>    </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17.2</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371" w:type="dxa"/>
            <w:tcBorders/>
            <w:shd w:fill="CCEEFF" w:val="clear"/>
            <w:vAlign w:val="center"/>
          </w:tcPr>
          <w:p>
            <w:pPr>
              <w:pStyle w:val="TableContents"/>
              <w:spacing w:before="0" w:after="0"/>
              <w:ind w:left="0" w:right="0" w:hanging="0"/>
              <w:rPr/>
            </w:pPr>
            <w:r>
              <w:rPr/>
              <w:t>    </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Percentage of revenue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5.8</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w:t>
            </w:r>
          </w:p>
        </w:tc>
        <w:tc>
          <w:tcPr>
            <w:tcW w:w="19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6.2</w:t>
            </w:r>
          </w:p>
        </w:tc>
        <w:tc>
          <w:tcPr>
            <w:tcW w:w="32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w:t>
            </w:r>
          </w:p>
        </w:tc>
        <w:tc>
          <w:tcPr>
            <w:tcW w:w="196" w:type="dxa"/>
            <w:tcBorders/>
            <w:shd w:fill="auto" w:val="clear"/>
            <w:vAlign w:val="center"/>
          </w:tcPr>
          <w:p>
            <w:pPr>
              <w:pStyle w:val="TableContents"/>
              <w:spacing w:before="0" w:after="0"/>
              <w:ind w:left="0" w:right="0" w:hanging="0"/>
              <w:jc w:val="right"/>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general and administrative expenses result primarily from the costs associated with our executive, finance, information technology, legal and human resource functions.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General and administrative expense was $14.7 million during the three months ended March 31, 2023, an increase of $2.2 million, or 17.2%, compared with $12.6 million during the three months ended March 31, 2022. The increase is primarily due to an increase in personnel expenses and consulting fees.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Other Income (Expense)</w:t>
      </w:r>
    </w:p>
    <w:p>
      <w:pPr>
        <w:pStyle w:val="TextBody"/>
        <w:spacing w:before="0" w:after="0"/>
        <w:ind w:left="0" w:right="0" w:hanging="0"/>
        <w:rPr/>
      </w:pPr>
      <w:r>
        <w:rPr/>
        <w:t>​</w:t>
      </w:r>
    </w:p>
    <w:tbl>
      <w:tblPr>
        <w:tblW w:w="5947" w:type="dxa"/>
        <w:jc w:val="left"/>
        <w:tblInd w:w="0" w:type="dxa"/>
        <w:tblCellMar>
          <w:top w:w="0" w:type="dxa"/>
          <w:left w:w="0" w:type="dxa"/>
          <w:bottom w:w="0" w:type="dxa"/>
          <w:right w:w="0" w:type="dxa"/>
        </w:tblCellMar>
      </w:tblPr>
      <w:tblGrid>
        <w:gridCol w:w="1861"/>
        <w:gridCol w:w="146"/>
        <w:gridCol w:w="196"/>
        <w:gridCol w:w="511"/>
        <w:gridCol w:w="256"/>
        <w:gridCol w:w="196"/>
        <w:gridCol w:w="631"/>
        <w:gridCol w:w="256"/>
        <w:gridCol w:w="196"/>
        <w:gridCol w:w="631"/>
        <w:gridCol w:w="146"/>
        <w:gridCol w:w="511"/>
        <w:gridCol w:w="256"/>
        <w:gridCol w:w="154"/>
      </w:tblGrid>
      <w:tr>
        <w:trPr/>
        <w:tc>
          <w:tcPr>
            <w:tcW w:w="18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181735" cy="175260"/>
                      <wp:effectExtent l="0" t="0" r="0" b="0"/>
                      <wp:wrapNone/>
                      <wp:docPr id="302" name="Frame302"/>
                      <a:graphic xmlns:a="http://schemas.openxmlformats.org/drawingml/2006/main">
                        <a:graphicData uri="http://schemas.microsoft.com/office/word/2010/wordprocessingShape">
                          <wps:wsp>
                            <wps:cNvSpPr txBox="1"/>
                            <wps:spPr>
                              <a:xfrm>
                                <a:off x="0" y="0"/>
                                <a:ext cx="1181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92710" cy="175260"/>
                      <wp:effectExtent l="0" t="0" r="0" b="0"/>
                      <wp:wrapNone/>
                      <wp:docPr id="303" name="Frame30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24460" cy="175260"/>
                      <wp:effectExtent l="0" t="0" r="0" b="0"/>
                      <wp:wrapNone/>
                      <wp:docPr id="304" name="Frame30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24485" cy="175260"/>
                      <wp:effectExtent l="0" t="0" r="0" b="0"/>
                      <wp:wrapNone/>
                      <wp:docPr id="305" name="Frame305"/>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62560" cy="175260"/>
                      <wp:effectExtent l="0" t="0" r="0" b="0"/>
                      <wp:wrapNone/>
                      <wp:docPr id="306" name="Frame306"/>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24460" cy="175260"/>
                      <wp:effectExtent l="0" t="0" r="0" b="0"/>
                      <wp:wrapNone/>
                      <wp:docPr id="307" name="Frame30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00685" cy="175260"/>
                      <wp:effectExtent l="0" t="0" r="0" b="0"/>
                      <wp:wrapNone/>
                      <wp:docPr id="308" name="Frame308"/>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62560" cy="175260"/>
                      <wp:effectExtent l="0" t="0" r="0" b="0"/>
                      <wp:wrapNone/>
                      <wp:docPr id="309" name="Frame309"/>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24460" cy="175260"/>
                      <wp:effectExtent l="0" t="0" r="0" b="0"/>
                      <wp:wrapNone/>
                      <wp:docPr id="310" name="Frame31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00685" cy="175260"/>
                      <wp:effectExtent l="0" t="0" r="0" b="0"/>
                      <wp:wrapNone/>
                      <wp:docPr id="311" name="Frame311"/>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92710" cy="175260"/>
                      <wp:effectExtent l="0" t="0" r="0" b="0"/>
                      <wp:wrapNone/>
                      <wp:docPr id="312" name="Frame31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24485" cy="175260"/>
                      <wp:effectExtent l="0" t="0" r="0" b="0"/>
                      <wp:wrapNone/>
                      <wp:docPr id="313" name="Frame313"/>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62560" cy="175260"/>
                      <wp:effectExtent l="0" t="0" r="0" b="0"/>
                      <wp:wrapNone/>
                      <wp:docPr id="314" name="Frame314"/>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97790" cy="175260"/>
                      <wp:effectExtent l="0" t="0" r="0" b="0"/>
                      <wp:wrapNone/>
                      <wp:docPr id="315" name="Frame315"/>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6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79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56" w:type="dxa"/>
            <w:tcBorders/>
            <w:shd w:fill="auto" w:val="clear"/>
            <w:vAlign w:val="center"/>
          </w:tcPr>
          <w:p>
            <w:pPr>
              <w:pStyle w:val="TableContents"/>
              <w:spacing w:before="0" w:after="0"/>
              <w:ind w:left="0" w:right="0" w:hanging="0"/>
              <w:jc w:val="center"/>
              <w:rPr/>
            </w:pPr>
            <w:r>
              <w:rPr/>
              <w:t>​</w:t>
            </w:r>
          </w:p>
        </w:tc>
        <w:tc>
          <w:tcPr>
            <w:tcW w:w="1484"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w:t>
            </w:r>
          </w:p>
        </w:tc>
      </w:tr>
      <w:tr>
        <w:trPr/>
        <w:tc>
          <w:tcPr>
            <w:tcW w:w="186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7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256" w:type="dxa"/>
            <w:tcBorders/>
            <w:shd w:fill="auto" w:val="clear"/>
            <w:vAlign w:val="center"/>
          </w:tcPr>
          <w:p>
            <w:pPr>
              <w:pStyle w:val="TableContents"/>
              <w:spacing w:before="0" w:after="0"/>
              <w:ind w:left="0" w:right="0" w:hanging="0"/>
              <w:jc w:val="center"/>
              <w:rPr/>
            </w:pPr>
            <w:r>
              <w:rPr/>
              <w:t>​</w:t>
            </w:r>
          </w:p>
        </w:tc>
        <w:tc>
          <w:tcPr>
            <w:tcW w:w="148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w:t>
            </w:r>
          </w:p>
        </w:tc>
      </w:tr>
      <w:tr>
        <w:trPr/>
        <w:tc>
          <w:tcPr>
            <w:tcW w:w="186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7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56" w:type="dxa"/>
            <w:tcBorders/>
            <w:shd w:fill="auto" w:val="clear"/>
            <w:vAlign w:val="center"/>
          </w:tcPr>
          <w:p>
            <w:pPr>
              <w:pStyle w:val="TableContents"/>
              <w:spacing w:before="0" w:after="0"/>
              <w:ind w:left="0" w:right="0" w:hanging="0"/>
              <w:jc w:val="center"/>
              <w:rPr/>
            </w:pPr>
            <w:r>
              <w:rPr/>
              <w:t>​</w:t>
            </w:r>
          </w:p>
        </w:tc>
        <w:tc>
          <w:tcPr>
            <w:tcW w:w="8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56" w:type="dxa"/>
            <w:tcBorders/>
            <w:shd w:fill="auto" w:val="clear"/>
            <w:vAlign w:val="center"/>
          </w:tcPr>
          <w:p>
            <w:pPr>
              <w:pStyle w:val="TableContents"/>
              <w:spacing w:before="0" w:after="0"/>
              <w:ind w:left="0" w:right="0" w:hanging="0"/>
              <w:jc w:val="center"/>
              <w:rPr/>
            </w:pPr>
            <w:r>
              <w:rPr/>
              <w:t>​</w:t>
            </w:r>
          </w:p>
        </w:tc>
        <w:tc>
          <w:tcPr>
            <w:tcW w:w="8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46" w:type="dxa"/>
            <w:tcBorders/>
            <w:shd w:fill="auto" w:val="clear"/>
            <w:vAlign w:val="center"/>
          </w:tcPr>
          <w:p>
            <w:pPr>
              <w:pStyle w:val="TableContents"/>
              <w:spacing w:before="0" w:after="0"/>
              <w:ind w:left="0" w:right="0" w:hanging="0"/>
              <w:jc w:val="center"/>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w:t>
            </w:r>
          </w:p>
        </w:tc>
      </w:tr>
      <w:tr>
        <w:trPr/>
        <w:tc>
          <w:tcPr>
            <w:tcW w:w="186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jc w:val="center"/>
              <w:rPr/>
            </w:pPr>
            <w:r>
              <w:rPr/>
              <w:t>​</w:t>
            </w:r>
          </w:p>
        </w:tc>
      </w:tr>
      <w:tr>
        <w:trPr/>
        <w:tc>
          <w:tcPr>
            <w:tcW w:w="186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income (expense):</w:t>
            </w:r>
          </w:p>
        </w:tc>
        <w:tc>
          <w:tcPr>
            <w:tcW w:w="14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1,545</w:t>
            </w:r>
          </w:p>
        </w:tc>
        <w:tc>
          <w:tcPr>
            <w:tcW w:w="25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(3,040)</w:t>
            </w:r>
          </w:p>
        </w:tc>
        <w:tc>
          <w:tcPr>
            <w:tcW w:w="25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(4,585)</w:t>
            </w:r>
          </w:p>
        </w:tc>
        <w:tc>
          <w:tcPr>
            <w:tcW w:w="14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150.8</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spacing w:before="0" w:after="0"/>
              <w:ind w:left="0" w:right="0" w:hanging="0"/>
              <w:rPr/>
            </w:pPr>
            <w:r>
              <w:rPr/>
              <w:t>​</w:t>
            </w:r>
          </w:p>
        </w:tc>
      </w:tr>
      <w:tr>
        <w:trPr/>
        <w:tc>
          <w:tcPr>
            <w:tcW w:w="1861"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 xml:space="preserve">Percentage of revenue </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0.6</w:t>
            </w:r>
          </w:p>
        </w:tc>
        <w:tc>
          <w:tcPr>
            <w:tcW w:w="25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w:t>
            </w:r>
          </w:p>
        </w:tc>
        <w:tc>
          <w:tcPr>
            <w:tcW w:w="196" w:type="dxa"/>
            <w:tcBorders/>
            <w:shd w:fill="auto" w:val="clear"/>
            <w:vAlign w:val="center"/>
          </w:tcPr>
          <w:p>
            <w:pPr>
              <w:pStyle w:val="TableContents"/>
              <w:spacing w:before="0" w:after="0"/>
              <w:ind w:left="0" w:right="0" w:hanging="0"/>
              <w:jc w:val="right"/>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(1.5)</w:t>
            </w:r>
          </w:p>
        </w:tc>
        <w:tc>
          <w:tcPr>
            <w:tcW w:w="25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w:t>
            </w:r>
          </w:p>
        </w:tc>
        <w:tc>
          <w:tcPr>
            <w:tcW w:w="196" w:type="dxa"/>
            <w:tcBorders/>
            <w:shd w:fill="auto" w:val="clear"/>
            <w:vAlign w:val="center"/>
          </w:tcPr>
          <w:p>
            <w:pPr>
              <w:pStyle w:val="TableContents"/>
              <w:spacing w:before="0" w:after="0"/>
              <w:ind w:left="0" w:right="0" w:hanging="0"/>
              <w:jc w:val="right"/>
              <w:rPr/>
            </w:pPr>
            <w:r>
              <w:rPr/>
              <w:t>​</w:t>
            </w:r>
          </w:p>
        </w:tc>
        <w:tc>
          <w:tcPr>
            <w:tcW w:w="6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Other income (expense) consists of interest earned on our invested cash balances, interest expense relating to the finance lease obligation we incurred in connection with the 2015 sale of our headquarters facility and other financing obligations as well as foreign exchange gains and losses attributable to fluctuations of the U.S. dollar against local currencies of certain of the countries in which we operate.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Other income was $1.5 million for the three months ended March 31, 2023, compared with other expense of $3.0 million for the three months ended March 31, 2022. The $4.6 million change in other income (expense) compared to the same prior year period was primarily due to an increase in interest income of $3.8 million and a decrease in exchange loss of $0.6 million.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During the three-month periods ended March 31, 2023 and 2022, we had no significant off-balance sheet risk such as exchange contracts, option contracts or other hedging arrangements.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896" w:name="_Hlk101530771"/>
      <w:bookmarkEnd w:id="896"/>
      <w:r>
        <w:rPr>
          <w:rFonts w:ascii="Times New Roman;Times;serif" w:hAnsi="Times New Roman;Times;serif"/>
          <w:b/>
          <w:sz w:val="20"/>
        </w:rPr>
        <w:t xml:space="preserve">Income Tax Provision </w:t>
      </w:r>
    </w:p>
    <w:p>
      <w:pPr>
        <w:pStyle w:val="TextBody"/>
        <w:spacing w:before="0" w:after="0"/>
        <w:ind w:left="0" w:right="0" w:hanging="0"/>
        <w:rPr/>
      </w:pPr>
      <w:r>
        <w:rPr/>
        <w:t>​</w:t>
      </w:r>
    </w:p>
    <w:tbl>
      <w:tblPr>
        <w:tblW w:w="5690" w:type="dxa"/>
        <w:jc w:val="left"/>
        <w:tblInd w:w="0" w:type="dxa"/>
        <w:tblCellMar>
          <w:top w:w="0" w:type="dxa"/>
          <w:left w:w="0" w:type="dxa"/>
          <w:bottom w:w="0" w:type="dxa"/>
          <w:right w:w="0" w:type="dxa"/>
        </w:tblCellMar>
      </w:tblPr>
      <w:tblGrid>
        <w:gridCol w:w="1741"/>
        <w:gridCol w:w="146"/>
        <w:gridCol w:w="196"/>
        <w:gridCol w:w="511"/>
        <w:gridCol w:w="256"/>
        <w:gridCol w:w="146"/>
        <w:gridCol w:w="196"/>
        <w:gridCol w:w="511"/>
        <w:gridCol w:w="256"/>
        <w:gridCol w:w="227"/>
        <w:gridCol w:w="436"/>
        <w:gridCol w:w="169"/>
        <w:gridCol w:w="489"/>
        <w:gridCol w:w="256"/>
        <w:gridCol w:w="154"/>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105535" cy="175260"/>
                      <wp:effectExtent l="0" t="0" r="0" b="0"/>
                      <wp:wrapNone/>
                      <wp:docPr id="316" name="Frame316"/>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92710" cy="175260"/>
                      <wp:effectExtent l="0" t="0" r="0" b="0"/>
                      <wp:wrapNone/>
                      <wp:docPr id="317" name="Frame31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24460" cy="175260"/>
                      <wp:effectExtent l="0" t="0" r="0" b="0"/>
                      <wp:wrapNone/>
                      <wp:docPr id="318" name="Frame31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24485" cy="175260"/>
                      <wp:effectExtent l="0" t="0" r="0" b="0"/>
                      <wp:wrapNone/>
                      <wp:docPr id="319" name="Frame319"/>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62560" cy="175260"/>
                      <wp:effectExtent l="0" t="0" r="0" b="0"/>
                      <wp:wrapNone/>
                      <wp:docPr id="320" name="Frame320"/>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92710" cy="175260"/>
                      <wp:effectExtent l="0" t="0" r="0" b="0"/>
                      <wp:wrapNone/>
                      <wp:docPr id="321" name="Frame32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24460" cy="175260"/>
                      <wp:effectExtent l="0" t="0" r="0" b="0"/>
                      <wp:wrapNone/>
                      <wp:docPr id="322" name="Frame32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24485" cy="175260"/>
                      <wp:effectExtent l="0" t="0" r="0" b="0"/>
                      <wp:wrapNone/>
                      <wp:docPr id="323" name="Frame323"/>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62560" cy="175260"/>
                      <wp:effectExtent l="0" t="0" r="0" b="0"/>
                      <wp:wrapNone/>
                      <wp:docPr id="324" name="Frame324"/>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44145" cy="175260"/>
                      <wp:effectExtent l="0" t="0" r="0" b="0"/>
                      <wp:wrapNone/>
                      <wp:docPr id="325" name="Frame325"/>
                      <a:graphic xmlns:a="http://schemas.openxmlformats.org/drawingml/2006/main">
                        <a:graphicData uri="http://schemas.microsoft.com/office/word/2010/wordprocessingShape">
                          <wps:wsp>
                            <wps:cNvSpPr txBox="1"/>
                            <wps:spPr>
                              <a:xfrm>
                                <a:off x="0" y="0"/>
                                <a:ext cx="144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76860" cy="175260"/>
                      <wp:effectExtent l="0" t="0" r="0" b="0"/>
                      <wp:wrapNone/>
                      <wp:docPr id="326" name="Frame326"/>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07315" cy="175260"/>
                      <wp:effectExtent l="0" t="0" r="0" b="0"/>
                      <wp:wrapNone/>
                      <wp:docPr id="327" name="Frame327"/>
                      <a:graphic xmlns:a="http://schemas.openxmlformats.org/drawingml/2006/main">
                        <a:graphicData uri="http://schemas.microsoft.com/office/word/2010/wordprocessingShape">
                          <wps:wsp>
                            <wps:cNvSpPr txBox="1"/>
                            <wps:spPr>
                              <a:xfrm>
                                <a:off x="0" y="0"/>
                                <a:ext cx="107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10515" cy="175260"/>
                      <wp:effectExtent l="0" t="0" r="0" b="0"/>
                      <wp:wrapNone/>
                      <wp:docPr id="328" name="Frame328"/>
                      <a:graphic xmlns:a="http://schemas.openxmlformats.org/drawingml/2006/main">
                        <a:graphicData uri="http://schemas.microsoft.com/office/word/2010/wordprocessingShape">
                          <wps:wsp>
                            <wps:cNvSpPr txBox="1"/>
                            <wps:spPr>
                              <a:xfrm>
                                <a:off x="0" y="0"/>
                                <a:ext cx="3105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62560" cy="175260"/>
                      <wp:effectExtent l="0" t="0" r="0" b="0"/>
                      <wp:wrapNone/>
                      <wp:docPr id="329" name="Frame329"/>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97790" cy="175260"/>
                      <wp:effectExtent l="0" t="0" r="0" b="0"/>
                      <wp:wrapNone/>
                      <wp:docPr id="330" name="Frame330"/>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4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816" w:type="dxa"/>
            <w:gridSpan w:val="6"/>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56" w:type="dxa"/>
            <w:tcBorders/>
            <w:shd w:fill="auto" w:val="clear"/>
            <w:vAlign w:val="center"/>
          </w:tcPr>
          <w:p>
            <w:pPr>
              <w:pStyle w:val="TableContents"/>
              <w:spacing w:before="0" w:after="0"/>
              <w:ind w:left="0" w:right="0" w:hanging="0"/>
              <w:jc w:val="center"/>
              <w:rPr/>
            </w:pPr>
            <w:r>
              <w:rPr/>
              <w:t>​</w:t>
            </w:r>
          </w:p>
        </w:tc>
        <w:tc>
          <w:tcPr>
            <w:tcW w:w="1321"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5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w:t>
            </w:r>
          </w:p>
        </w:tc>
      </w:tr>
      <w:tr>
        <w:trPr/>
        <w:tc>
          <w:tcPr>
            <w:tcW w:w="174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816"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256" w:type="dxa"/>
            <w:tcBorders/>
            <w:shd w:fill="auto" w:val="clear"/>
            <w:vAlign w:val="center"/>
          </w:tcPr>
          <w:p>
            <w:pPr>
              <w:pStyle w:val="TableContents"/>
              <w:spacing w:before="0" w:after="0"/>
              <w:ind w:left="0" w:right="0" w:hanging="0"/>
              <w:jc w:val="center"/>
              <w:rPr/>
            </w:pPr>
            <w:r>
              <w:rPr/>
              <w:t>​</w:t>
            </w:r>
          </w:p>
        </w:tc>
        <w:tc>
          <w:tcPr>
            <w:tcW w:w="132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w:t>
            </w:r>
          </w:p>
        </w:tc>
      </w:tr>
      <w:tr>
        <w:trPr/>
        <w:tc>
          <w:tcPr>
            <w:tcW w:w="174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7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56" w:type="dxa"/>
            <w:tcBorders/>
            <w:shd w:fill="auto" w:val="clear"/>
            <w:vAlign w:val="center"/>
          </w:tcPr>
          <w:p>
            <w:pPr>
              <w:pStyle w:val="TableContents"/>
              <w:spacing w:before="0" w:after="0"/>
              <w:ind w:left="0" w:right="0" w:hanging="0"/>
              <w:jc w:val="center"/>
              <w:rPr/>
            </w:pPr>
            <w:r>
              <w:rPr/>
              <w:t>​</w:t>
            </w:r>
          </w:p>
        </w:tc>
        <w:tc>
          <w:tcPr>
            <w:tcW w:w="85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56" w:type="dxa"/>
            <w:tcBorders/>
            <w:shd w:fill="auto" w:val="clear"/>
            <w:vAlign w:val="center"/>
          </w:tcPr>
          <w:p>
            <w:pPr>
              <w:pStyle w:val="TableContents"/>
              <w:spacing w:before="0" w:after="0"/>
              <w:ind w:left="0" w:right="0" w:hanging="0"/>
              <w:jc w:val="center"/>
              <w:rPr/>
            </w:pPr>
            <w:r>
              <w:rPr/>
              <w:t>​</w:t>
            </w:r>
          </w:p>
        </w:tc>
        <w:tc>
          <w:tcPr>
            <w:tcW w:w="66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69" w:type="dxa"/>
            <w:tcBorders/>
            <w:shd w:fill="auto" w:val="clear"/>
            <w:vAlign w:val="center"/>
          </w:tcPr>
          <w:p>
            <w:pPr>
              <w:pStyle w:val="TableContents"/>
              <w:spacing w:before="0" w:after="0"/>
              <w:ind w:left="0" w:right="0" w:hanging="0"/>
              <w:jc w:val="center"/>
              <w:rPr/>
            </w:pPr>
            <w:r>
              <w:rPr/>
              <w:t>​</w:t>
            </w:r>
          </w:p>
        </w:tc>
        <w:tc>
          <w:tcPr>
            <w:tcW w:w="48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5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w:t>
            </w:r>
          </w:p>
        </w:tc>
      </w:tr>
      <w:tr>
        <w:trPr/>
        <w:tc>
          <w:tcPr>
            <w:tcW w:w="174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227"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169" w:type="dxa"/>
            <w:tcBorders/>
            <w:shd w:fill="auto" w:val="clear"/>
            <w:vAlign w:val="center"/>
          </w:tcPr>
          <w:p>
            <w:pPr>
              <w:pStyle w:val="TableContents"/>
              <w:spacing w:before="0" w:after="0"/>
              <w:ind w:left="0" w:right="0" w:hanging="0"/>
              <w:jc w:val="center"/>
              <w:rPr/>
            </w:pPr>
            <w:r>
              <w:rPr/>
              <w:t>​</w:t>
            </w:r>
          </w:p>
        </w:tc>
        <w:tc>
          <w:tcPr>
            <w:tcW w:w="489" w:type="dxa"/>
            <w:tcBorders/>
            <w:shd w:fill="auto" w:val="clear"/>
            <w:vAlign w:val="center"/>
          </w:tcPr>
          <w:p>
            <w:pPr>
              <w:pStyle w:val="TableContents"/>
              <w:spacing w:before="0" w:after="0"/>
              <w:ind w:left="0" w:right="0" w:hanging="0"/>
              <w:jc w:val="center"/>
              <w:rPr/>
            </w:pPr>
            <w:r>
              <w:rPr/>
              <w:t>​</w:t>
            </w:r>
          </w:p>
        </w:tc>
        <w:tc>
          <w:tcPr>
            <w:tcW w:w="256"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jc w:val="center"/>
              <w:rPr/>
            </w:pPr>
            <w:r>
              <w:rPr/>
              <w:t>​</w:t>
            </w:r>
          </w:p>
        </w:tc>
      </w:tr>
      <w:tr>
        <w:trPr/>
        <w:tc>
          <w:tcPr>
            <w:tcW w:w="1741" w:type="dxa"/>
            <w:tcBorders/>
            <w:shd w:fill="CCEEFF"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Income tax provision</w:t>
            </w:r>
          </w:p>
        </w:tc>
        <w:tc>
          <w:tcPr>
            <w:tcW w:w="14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5,205</w:t>
            </w:r>
          </w:p>
        </w:tc>
        <w:tc>
          <w:tcPr>
            <w:tcW w:w="256" w:type="dxa"/>
            <w:tcBorders/>
            <w:shd w:fill="CCEEFF" w:val="clear"/>
            <w:vAlign w:val="center"/>
          </w:tcPr>
          <w:p>
            <w:pPr>
              <w:pStyle w:val="TableContents"/>
              <w:spacing w:before="0" w:after="0"/>
              <w:ind w:left="0" w:right="0" w:hanging="0"/>
              <w:rPr/>
            </w:pPr>
            <w:r>
              <w:rPr/>
              <w:t>​</w:t>
            </w:r>
          </w:p>
        </w:tc>
        <w:tc>
          <w:tcPr>
            <w:tcW w:w="14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4,269</w:t>
            </w:r>
          </w:p>
        </w:tc>
        <w:tc>
          <w:tcPr>
            <w:tcW w:w="256" w:type="dxa"/>
            <w:tcBorders/>
            <w:shd w:fill="CCEEFF" w:val="clear"/>
            <w:vAlign w:val="center"/>
          </w:tcPr>
          <w:p>
            <w:pPr>
              <w:pStyle w:val="TableContents"/>
              <w:spacing w:before="0" w:after="0"/>
              <w:ind w:left="0" w:right="0" w:hanging="0"/>
              <w:rPr/>
            </w:pPr>
            <w:r>
              <w:rPr/>
              <w:t> </w:t>
            </w:r>
          </w:p>
        </w:tc>
        <w:tc>
          <w:tcPr>
            <w:tcW w:w="2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936</w:t>
            </w:r>
          </w:p>
        </w:tc>
        <w:tc>
          <w:tcPr>
            <w:tcW w:w="169" w:type="dxa"/>
            <w:tcBorders/>
            <w:shd w:fill="CCEEFF" w:val="clear"/>
            <w:vAlign w:val="center"/>
          </w:tcPr>
          <w:p>
            <w:pPr>
              <w:pStyle w:val="TableContents"/>
              <w:spacing w:before="0" w:after="0"/>
              <w:ind w:left="0" w:right="0" w:hanging="0"/>
              <w:rPr/>
            </w:pPr>
            <w:r>
              <w:rPr/>
              <w:t> </w:t>
            </w:r>
          </w:p>
        </w:tc>
        <w:tc>
          <w:tcPr>
            <w:tcW w:w="489" w:type="dxa"/>
            <w:tcBorders/>
            <w:shd w:fill="CCEEFF" w:val="clear"/>
            <w:vAlign w:val="center"/>
          </w:tcPr>
          <w:p>
            <w:pPr>
              <w:pStyle w:val="TableContents"/>
              <w:spacing w:before="0" w:after="0"/>
              <w:ind w:left="0" w:right="0" w:hanging="0"/>
              <w:jc w:val="right"/>
              <w:rPr>
                <w:rFonts w:ascii="Times New Roman;Times;serif" w:hAnsi="Times New Roman;Times;serif"/>
                <w:i/>
                <w:sz w:val="18"/>
              </w:rPr>
            </w:pPr>
            <w:r>
              <w:rPr>
                <w:rFonts w:ascii="Times New Roman;Times;serif" w:hAnsi="Times New Roman;Times;serif"/>
                <w:i/>
                <w:sz w:val="18"/>
              </w:rPr>
              <w:t>21.9</w:t>
            </w:r>
          </w:p>
        </w:tc>
        <w:tc>
          <w:tcPr>
            <w:tcW w:w="25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54" w:type="dxa"/>
            <w:tcBorders/>
            <w:shd w:fill="CCEEFF"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 xml:space="preserve">Percentage of revenue </w:t>
            </w:r>
          </w:p>
        </w:tc>
        <w:tc>
          <w:tcPr>
            <w:tcW w:w="14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25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w:t>
            </w:r>
          </w:p>
        </w:tc>
        <w:tc>
          <w:tcPr>
            <w:tcW w:w="14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256" w:type="dxa"/>
            <w:tcBorders/>
            <w:shd w:fill="auto" w:val="clear"/>
            <w:vAlign w:val="center"/>
          </w:tcPr>
          <w:p>
            <w:pPr>
              <w:pStyle w:val="TableContents"/>
              <w:spacing w:before="0" w:after="0"/>
              <w:ind w:left="0" w:right="0" w:hanging="0"/>
              <w:rPr>
                <w:rFonts w:ascii="Times New Roman;Times;serif" w:hAnsi="Times New Roman;Times;serif"/>
                <w:i/>
                <w:sz w:val="18"/>
              </w:rPr>
            </w:pPr>
            <w:r>
              <w:rPr>
                <w:rFonts w:ascii="Times New Roman;Times;serif" w:hAnsi="Times New Roman;Times;serif"/>
                <w:i/>
                <w:sz w:val="18"/>
              </w:rPr>
              <w:t>%</w:t>
            </w:r>
          </w:p>
        </w:tc>
        <w:tc>
          <w:tcPr>
            <w:tcW w:w="227" w:type="dxa"/>
            <w:tcBorders/>
            <w:shd w:fill="auto" w:val="clear"/>
            <w:vAlign w:val="center"/>
          </w:tcPr>
          <w:p>
            <w:pPr>
              <w:pStyle w:val="TableContents"/>
              <w:spacing w:before="0" w:after="0"/>
              <w:ind w:left="0" w:right="0" w:hanging="0"/>
              <w:jc w:val="right"/>
              <w:rPr/>
            </w:pPr>
            <w:r>
              <w:rPr/>
              <w:t>​</w:t>
            </w:r>
          </w:p>
        </w:tc>
        <w:tc>
          <w:tcPr>
            <w:tcW w:w="436"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rPr/>
            </w:pPr>
            <w:r>
              <w:rPr/>
              <w:t>​</w:t>
            </w:r>
          </w:p>
        </w:tc>
        <w:tc>
          <w:tcPr>
            <w:tcW w:w="489" w:type="dxa"/>
            <w:tcBorders/>
            <w:shd w:fill="auto" w:val="clear"/>
            <w:vAlign w:val="center"/>
          </w:tcPr>
          <w:p>
            <w:pPr>
              <w:pStyle w:val="TableContents"/>
              <w:spacing w:before="0" w:after="0"/>
              <w:ind w:left="0" w:right="0" w:hanging="0"/>
              <w:jc w:val="right"/>
              <w:rPr/>
            </w:pPr>
            <w:r>
              <w:rPr/>
              <w:t>​</w:t>
            </w:r>
          </w:p>
        </w:tc>
        <w:tc>
          <w:tcPr>
            <w:tcW w:w="25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Income tax expense was $5.2 million for the three months ended March 31, 2023, compared to $4.3 million for the three months ended March 31, 2022. The $0.9 million increase was primarily due to an increase in taxable income.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effective tax rate for the three months ended March 31, 2023 was less than the U.S. statutory rate of 21% due to a forecasted Foreign Derived Intangible Income deduction, Federal research and development tax credits and a favorable discrete item related to equity compensation that reduces the annual tax rate.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deferred income taxes of $35.4 million and $31.7 million as of March 31, 2023 and December 31, 2022, respectively, reflect the net tax effect of temporary differences between the carrying amount of assets and liabilities for financial reporting purposes and the amounts used for income tax purposes, as well as the tax effect of carryforwards. As of March 31, 2023, we have recorded a $10.9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 </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897" w:name="LiquidityandCapitalResources_541794"/>
      <w:bookmarkEnd w:id="897"/>
      <w:r>
        <w:rPr>
          <w:rFonts w:ascii="Times New Roman;Times;serif" w:hAnsi="Times New Roman;Times;serif"/>
          <w:b/>
          <w:sz w:val="20"/>
        </w:rPr>
        <w:t>Liquidity and Capital Resources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At March 31, 2023, we had $164.5 million in unrestricted cash and cash equivalents and $280.2 million in short-term investments, in addition to $6.7 million in restricted cash. Management believes that maintaining a strong cash balance is necessary to fund a continuing ramp in our business which can require significant cash investment to meet sudden demand. Additionally, we are using cash to repurchase shares as part of our stock repurchase program and are considering both organic and inorganic opportunities to drive future growth, for which cash resources will be necessary.</w:t>
      </w:r>
    </w:p>
    <w:p>
      <w:pPr>
        <w:pStyle w:val="TextBody"/>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liquidity is affected by many factors. Some of these relate specifically to the operations of our business, for example, the rate of sales of our products, and others relate to the uncertainties of global economic conditions, including the availability of credit and the condition of the overall semiconductor equipment industry. Our industry requires ongoing investments in operations and research and development that are not easily adjusted to reflect changes in revenue. As a result, profitability and cash flows can fluctuate more widely than revenue. Stock repurchases, as discussed below, also reduce our cash balances.</w:t>
      </w:r>
    </w:p>
    <w:p>
      <w:pPr>
        <w:pStyle w:val="TextBody"/>
        <w:spacing w:before="0" w:after="0"/>
        <w:ind w:left="0" w:right="0" w:firstLine="54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During the three months ended March 31, 2023 and 2022, we generated $34.6 million and $25.8 million, respectively, of cash related to operating activities. </w:t>
      </w:r>
    </w:p>
    <w:p>
      <w:pPr>
        <w:pStyle w:val="TextBody"/>
        <w:spacing w:before="0" w:after="0"/>
        <w:ind w:left="0" w:right="0" w:firstLine="54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Investing activities for the three months ended March 31, 2023 resulted in cash outflows of $33.0 million, $2.2 million of which was used for capital expenditures and $61.8 million of which was used to purchase short-term investments, offset by $31.0 million related to maturities of short-term investments. Investing activities for the three months ended March 31, 2022 resulted in cash outflows of $1.5 million used for capital expenditures.</w:t>
      </w:r>
    </w:p>
    <w:p>
      <w:pPr>
        <w:pStyle w:val="TextBody"/>
        <w:spacing w:before="0" w:after="0"/>
        <w:ind w:left="0" w:right="0" w:firstLine="54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Financing activities for the three months ended March 31, 2023 resulted in a cash usage of $16.7 million. During the first three months of 2023, $12.5 million in cash was used to repurchase our common stock and $3.9 million was used for payments to government tax authorities for income tax withholding on employee compensation arising from the vesting of RSUs, where units are withheld by the Company to cover taxes, as well as $0.3 million relating to the reduction of the liability under the finance lease of our corporate headquarters. In comparison, financing activities for the three months ended March 31, 2022 resulted in cash usage of $23.1 million, $20.0 million of which related to the repurchase of our common stock and $3.3 million of which related to payments made to government tax authorities for income tax withholding on employee compensation arising from the vesting of RSUs, as well as $0.2 million relating to the reduction of our financing lease liability. These amounts were partially offset by $0.5 million of proceeds related to the exercise of stock options during the first three months of 2022.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Under the rules of the U.S. Securities and Exchange Commission (the “SEC”), we qualify as a “well-known seasoned issuer,” which allows us to file shelf registration statements to register an unspecified amount of securities that are effective upon filing. On May 29, 2020,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expire in May 2023. We may file another shelf registration statement to maintain the availability of this financing option.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On April 5, 2023 we terminated the Senior Secured Credit Facilities Credit Agreement, as amended (the “Credit Agreement”), with Silicon Valley Bank that we entered into on July 31, 2020. The Credit Agreement provided for a revolving credit facility covering borrowings and letters of credit in an aggregate principal amount not to exceed $40.0 million. Our obligations under the Credit Agreement were secured by a security interest, senior to any current and future debts and to any security interest, in all of our rights, title, and interest in, to and under substantially all of our assets, subject to limited exceptions, including permitted liens. Upon termination, these liens and all other obligations under the credit agreement, were released. A letter of credit remained at Silicon Valley Bank, a division of First-Citizens Bank &amp; Trust Company (successor by purchase to the Federal Deposit Insurance Corporation as Receiver for Silicon Valley Bridge Bank, N.A.) as successor to Silicon Valley Bank, in the amount of $5.9 million, securing our lease on our corporate headquarters. This letter of credit was transitioned to a cash collateral arrangment on March 30, 2023, and is classified as long-term restricted cash on our balance sheet at March 31, 2023. </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believe that based on our current market, revenue, expense and cash flow forecasts, our existing cash and cash equivalents will be sufficient to satisfy our anticipated cash requirements for the short- and long-term.</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Commitments and Contingencies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Significant commitments and contingencies at March 31, 2023 are consistent with those discussed in Item 7, “Management’s Discussion and Analysis of Financial Condition and Results of Operations,” and Note 16 to the consolidated financial statements included in our Annual Report on Form 10-K for the fiscal year ended December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898" w:name="Item3QuantitativeandQualitativeDisclosur"/>
      <w:bookmarkStart w:id="899" w:name="_9ee52e75_d842_4bac_b499_725bc789610c"/>
      <w:bookmarkEnd w:id="898"/>
      <w:bookmarkEnd w:id="899"/>
      <w:r>
        <w:rPr>
          <w:rFonts w:ascii="Times New Roman;Times;serif" w:hAnsi="Times New Roman;Times;serif"/>
          <w:b/>
          <w:sz w:val="20"/>
        </w:rPr>
        <w:t>Item 3.  Quantitative and Qualitative Disclosures about Market Risk.</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March 31, 2023, there have been no material changes to the quantitative information about market risk disclosed in Item 7A, “Quantitative and Qualitative Disclosures about Market Risk” included in our Annual Report on Form 10-K for the year ended December 31, 2022.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00" w:name="Item4ControlsandProcedures_773908"/>
      <w:bookmarkStart w:id="901" w:name="_c412fe72_e2bc_460e_8e20_5684d75f3a6e"/>
      <w:bookmarkEnd w:id="900"/>
      <w:bookmarkEnd w:id="901"/>
      <w:r>
        <w:rPr>
          <w:rFonts w:ascii="Times New Roman;Times;serif" w:hAnsi="Times New Roman;Times;serif"/>
          <w:b/>
          <w:sz w:val="20"/>
        </w:rPr>
        <w:t>Item 4.  Controls and Procedures.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There was no change in our internal control over financial reporting (as defined in Rule 13a-15(f) under the Exchange Act) identified in connection with the evaluation of our internal control that occurred during the three months ended March 31, 2023 that has materially affected, or is reasonably likely to materially affect, our internal control over financial reporting.</w:t>
      </w:r>
    </w:p>
    <w:p>
      <w:pPr>
        <w:pStyle w:val="TextBody"/>
        <w:spacing w:lineRule="auto" w:line="328" w:before="0" w:after="20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902" w:name="PARTIIOTHERINFORMATION_940705"/>
      <w:bookmarkStart w:id="903" w:name="_a4a8d72f_a7a2_45ce_9324_449f20f690a1"/>
      <w:bookmarkEnd w:id="902"/>
      <w:bookmarkEnd w:id="903"/>
      <w:r>
        <w:rPr>
          <w:rFonts w:ascii="Times New Roman;Times;serif" w:hAnsi="Times New Roman;Times;serif"/>
          <w:b/>
          <w:sz w:val="20"/>
        </w:rPr>
        <w:t>PART II—OTHER INFORMATION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04" w:name="Item1LegalProceedings_163018"/>
      <w:bookmarkEnd w:id="904"/>
      <w:r>
        <w:rPr>
          <w:rFonts w:ascii="Times New Roman;Times;serif" w:hAnsi="Times New Roman;Times;serif"/>
          <w:b/>
          <w:sz w:val="20"/>
        </w:rPr>
        <w:t>Item 1.  Legal Proceedings.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are, from time to time, a party to litigation that arises in the normal course of our business operations. We are not presently a party to any litigation that we believe might have a material adverse effect on our business operations.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05" w:name="Item1ARiskFactors_163682"/>
      <w:bookmarkStart w:id="906" w:name="_518e44b5_b68b_4473_a7ff_4980d4f7da3b"/>
      <w:bookmarkEnd w:id="905"/>
      <w:bookmarkEnd w:id="906"/>
      <w:r>
        <w:rPr>
          <w:rFonts w:ascii="Times New Roman;Times;serif" w:hAnsi="Times New Roman;Times;serif"/>
          <w:b/>
          <w:sz w:val="20"/>
        </w:rPr>
        <w:t>Item 1A.  Risk Factors.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As of March 31, 2023, there have been no material changes to the risk factors described in Item 1A, “Risk Factors” included in our Annual Report on Form 10-K for the year ended December 31, 2022.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07" w:name="Item2UnregisteredSalesofEquitySecurities"/>
      <w:bookmarkStart w:id="908" w:name="_contentSection_2ae4ce42_1c83_49d0_9f35_"/>
      <w:bookmarkStart w:id="909" w:name="_ec3b5208_69b5_4bce_8771_c1a91ac828ca"/>
      <w:bookmarkEnd w:id="907"/>
      <w:bookmarkEnd w:id="908"/>
      <w:bookmarkEnd w:id="909"/>
      <w:r>
        <w:rPr>
          <w:rFonts w:ascii="Times New Roman;Times;serif" w:hAnsi="Times New Roman;Times;serif"/>
          <w:b/>
          <w:sz w:val="20"/>
        </w:rPr>
        <w:t>Item 2.  Unregistered Sales of Equity Securities and Use of Proceeds.</w:t>
      </w:r>
    </w:p>
    <w:p>
      <w:pPr>
        <w:pStyle w:val="TextBody"/>
        <w:spacing w:before="0" w:after="0"/>
        <w:ind w:left="0" w:right="0" w:hanging="0"/>
        <w:rPr/>
      </w:pPr>
      <w:r>
        <w:rPr/>
        <w:t>​</w:t>
      </w:r>
    </w:p>
    <w:p>
      <w:pPr>
        <w:pStyle w:val="TextBody"/>
        <w:spacing w:before="90" w:after="0"/>
        <w:ind w:left="0" w:right="0" w:firstLine="720"/>
        <w:rPr>
          <w:rFonts w:ascii="Times New Roman;Times;serif" w:hAnsi="Times New Roman;Times;serif"/>
          <w:sz w:val="20"/>
        </w:rPr>
      </w:pPr>
      <w:r>
        <w:rPr>
          <w:rFonts w:ascii="Times New Roman;Times;serif" w:hAnsi="Times New Roman;Times;serif"/>
          <w:sz w:val="20"/>
        </w:rPr>
        <w:t xml:space="preserve">In February 2022, our Board of Directors authorized a share repurchase program for up to $100 million of the Company's common stock. </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following table summarizes the stock repurchase activity, based upon settlement date, for the three months ended March 31, 2023 as well as the approximate dollar value of shares that may yet be purchased pursuant to our stock repurchase program: </w:t>
      </w:r>
    </w:p>
    <w:p>
      <w:pPr>
        <w:pStyle w:val="TextBody"/>
        <w:spacing w:before="0" w:after="0"/>
        <w:ind w:left="0" w:right="0" w:firstLine="720"/>
        <w:rPr/>
      </w:pPr>
      <w:r>
        <w:rPr/>
        <w:t>​</w:t>
      </w:r>
    </w:p>
    <w:tbl>
      <w:tblPr>
        <w:tblW w:w="10205" w:type="dxa"/>
        <w:jc w:val="left"/>
        <w:tblInd w:w="0" w:type="dxa"/>
        <w:tblCellMar>
          <w:top w:w="0" w:type="dxa"/>
          <w:left w:w="0" w:type="dxa"/>
          <w:bottom w:w="0" w:type="dxa"/>
          <w:right w:w="0" w:type="dxa"/>
        </w:tblCellMar>
      </w:tblPr>
      <w:tblGrid>
        <w:gridCol w:w="1335"/>
        <w:gridCol w:w="109"/>
        <w:gridCol w:w="1493"/>
        <w:gridCol w:w="109"/>
        <w:gridCol w:w="1272"/>
        <w:gridCol w:w="109"/>
        <w:gridCol w:w="2587"/>
        <w:gridCol w:w="109"/>
        <w:gridCol w:w="718"/>
        <w:gridCol w:w="2206"/>
        <w:gridCol w:w="158"/>
      </w:tblGrid>
      <w:tr>
        <w:trPr/>
        <w:tc>
          <w:tcPr>
            <w:tcW w:w="1335"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948055" cy="175260"/>
                      <wp:effectExtent l="0" t="0" r="0" b="0"/>
                      <wp:wrapNone/>
                      <wp:docPr id="332" name="Frame332"/>
                      <a:graphic xmlns:a="http://schemas.openxmlformats.org/drawingml/2006/main">
                        <a:graphicData uri="http://schemas.microsoft.com/office/word/2010/wordprocessingShape">
                          <wps:wsp>
                            <wps:cNvSpPr txBox="1"/>
                            <wps:spPr>
                              <a:xfrm>
                                <a:off x="0" y="0"/>
                                <a:ext cx="948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9215" cy="175260"/>
                      <wp:effectExtent l="0" t="0" r="0" b="0"/>
                      <wp:wrapNone/>
                      <wp:docPr id="333" name="Frame3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807720" cy="175260"/>
                      <wp:effectExtent l="0" t="0" r="0" b="0"/>
                      <wp:wrapNone/>
                      <wp:docPr id="334" name="Frame334"/>
                      <a:graphic xmlns:a="http://schemas.openxmlformats.org/drawingml/2006/main">
                        <a:graphicData uri="http://schemas.microsoft.com/office/word/2010/wordprocessingShape">
                          <wps:wsp>
                            <wps:cNvSpPr txBox="1"/>
                            <wps:spPr>
                              <a:xfrm>
                                <a:off x="0" y="0"/>
                                <a:ext cx="807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9215" cy="175260"/>
                      <wp:effectExtent l="0" t="0" r="0" b="0"/>
                      <wp:wrapNone/>
                      <wp:docPr id="335" name="Frame3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642745" cy="175260"/>
                      <wp:effectExtent l="0" t="0" r="0" b="0"/>
                      <wp:wrapNone/>
                      <wp:docPr id="336" name="Frame336"/>
                      <a:graphic xmlns:a="http://schemas.openxmlformats.org/drawingml/2006/main">
                        <a:graphicData uri="http://schemas.microsoft.com/office/word/2010/wordprocessingShape">
                          <wps:wsp>
                            <wps:cNvSpPr txBox="1"/>
                            <wps:spPr>
                              <a:xfrm>
                                <a:off x="0" y="0"/>
                                <a:ext cx="16427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7" name="Frame33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55930" cy="175260"/>
                      <wp:effectExtent l="0" t="0" r="0" b="0"/>
                      <wp:wrapNone/>
                      <wp:docPr id="338" name="Frame338"/>
                      <a:graphic xmlns:a="http://schemas.openxmlformats.org/drawingml/2006/main">
                        <a:graphicData uri="http://schemas.microsoft.com/office/word/2010/wordprocessingShape">
                          <wps:wsp>
                            <wps:cNvSpPr txBox="1"/>
                            <wps:spPr>
                              <a:xfrm>
                                <a:off x="0" y="0"/>
                                <a:ext cx="455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400810" cy="175260"/>
                      <wp:effectExtent l="0" t="0" r="0" b="0"/>
                      <wp:wrapNone/>
                      <wp:docPr id="339" name="Frame339"/>
                      <a:graphic xmlns:a="http://schemas.openxmlformats.org/drawingml/2006/main">
                        <a:graphicData uri="http://schemas.microsoft.com/office/word/2010/wordprocessingShape">
                          <wps:wsp>
                            <wps:cNvSpPr txBox="1"/>
                            <wps:spPr>
                              <a:xfrm>
                                <a:off x="0" y="0"/>
                                <a:ext cx="140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00330" cy="175260"/>
                      <wp:effectExtent l="0" t="0" r="0" b="0"/>
                      <wp:wrapNone/>
                      <wp:docPr id="340" name="Frame340"/>
                      <a:graphic xmlns:a="http://schemas.openxmlformats.org/drawingml/2006/main">
                        <a:graphicData uri="http://schemas.microsoft.com/office/word/2010/wordprocessingShape">
                          <wps:wsp>
                            <wps:cNvSpPr txBox="1"/>
                            <wps:spPr>
                              <a:xfrm>
                                <a:off x="0" y="0"/>
                                <a:ext cx="1003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9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w:t>
            </w:r>
          </w:p>
        </w:tc>
        <w:tc>
          <w:tcPr>
            <w:tcW w:w="109" w:type="dxa"/>
            <w:tcBorders/>
            <w:shd w:fill="auto" w:val="clear"/>
            <w:vAlign w:val="center"/>
          </w:tcPr>
          <w:p>
            <w:pPr>
              <w:pStyle w:val="TableContents"/>
              <w:spacing w:before="0" w:after="0"/>
              <w:ind w:left="0" w:right="0" w:hanging="0"/>
              <w:rPr/>
            </w:pPr>
            <w:r>
              <w:rPr/>
              <w:t>​</w:t>
            </w:r>
          </w:p>
        </w:tc>
        <w:tc>
          <w:tcPr>
            <w:tcW w:w="127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Paid per Share</w:t>
            </w:r>
          </w:p>
        </w:tc>
        <w:tc>
          <w:tcPr>
            <w:tcW w:w="109" w:type="dxa"/>
            <w:tcBorders/>
            <w:shd w:fill="auto" w:val="clear"/>
            <w:vAlign w:val="center"/>
          </w:tcPr>
          <w:p>
            <w:pPr>
              <w:pStyle w:val="TableContents"/>
              <w:spacing w:before="0" w:after="0"/>
              <w:ind w:left="0" w:right="0" w:hanging="0"/>
              <w:rPr/>
            </w:pPr>
            <w:r>
              <w:rPr/>
              <w:t>​</w:t>
            </w:r>
          </w:p>
        </w:tc>
        <w:tc>
          <w:tcPr>
            <w:tcW w:w="258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 as Part of Publicly Announced Program</w:t>
            </w:r>
          </w:p>
        </w:tc>
        <w:tc>
          <w:tcPr>
            <w:tcW w:w="109" w:type="dxa"/>
            <w:tcBorders/>
            <w:shd w:fill="auto" w:val="clear"/>
            <w:vAlign w:val="center"/>
          </w:tcPr>
          <w:p>
            <w:pPr>
              <w:pStyle w:val="TableContents"/>
              <w:spacing w:before="0" w:after="0"/>
              <w:ind w:left="0" w:right="0" w:hanging="0"/>
              <w:jc w:val="center"/>
              <w:rPr/>
            </w:pPr>
            <w:r>
              <w:rPr/>
              <w:t>​</w:t>
            </w:r>
          </w:p>
        </w:tc>
        <w:tc>
          <w:tcPr>
            <w:tcW w:w="292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 Dollar Value of Shares that May Yet Be Purchased Under the Program</w:t>
            </w:r>
          </w:p>
        </w:tc>
        <w:tc>
          <w:tcPr>
            <w:tcW w:w="158" w:type="dxa"/>
            <w:tcBorders/>
            <w:shd w:fill="auto" w:val="clear"/>
            <w:vAlign w:val="center"/>
          </w:tcPr>
          <w:p>
            <w:pPr>
              <w:pStyle w:val="TableContents"/>
              <w:spacing w:before="0" w:after="0"/>
              <w:ind w:left="0" w:right="0" w:hanging="0"/>
              <w:rPr/>
            </w:pPr>
            <w:r>
              <w:rPr/>
              <w:t>​</w:t>
            </w:r>
          </w:p>
        </w:tc>
      </w:tr>
      <w:tr>
        <w:trPr/>
        <w:tc>
          <w:tcPr>
            <w:tcW w:w="10205" w:type="dxa"/>
            <w:gridSpan w:val="11"/>
            <w:tcBorders/>
            <w:shd w:fill="auto" w:val="clear"/>
            <w:vAlign w:val="center"/>
          </w:tcPr>
          <w:p>
            <w:pPr>
              <w:pStyle w:val="TableContents"/>
              <w:spacing w:before="0" w:after="283"/>
              <w:ind w:left="0" w:right="0" w:hanging="0"/>
              <w:rPr>
                <w:sz w:val="4"/>
                <w:szCs w:val="4"/>
              </w:rPr>
            </w:pPr>
            <w:r>
              <w:rPr>
                <w:sz w:val="4"/>
                <w:szCs w:val="4"/>
              </w:rPr>
            </w:r>
          </w:p>
        </w:tc>
      </w:tr>
      <w:tr>
        <w:trPr/>
        <w:tc>
          <w:tcPr>
            <w:tcW w:w="1335"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8603"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c>
          <w:tcPr>
            <w:tcW w:w="158" w:type="dxa"/>
            <w:tcBorders/>
            <w:shd w:fill="auto" w:val="clear"/>
            <w:vAlign w:val="center"/>
          </w:tcPr>
          <w:p>
            <w:pPr>
              <w:pStyle w:val="TableContents"/>
              <w:spacing w:before="0" w:after="0"/>
              <w:ind w:left="0" w:right="0" w:hanging="0"/>
              <w:rPr/>
            </w:pPr>
            <w:r>
              <w:rPr/>
              <w:t>​</w:t>
            </w:r>
          </w:p>
        </w:tc>
      </w:tr>
      <w:tr>
        <w:trPr/>
        <w:tc>
          <w:tcPr>
            <w:tcW w:w="13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 xml:space="preserve">January 1 through January 31 </w:t>
            </w:r>
          </w:p>
        </w:tc>
        <w:tc>
          <w:tcPr>
            <w:tcW w:w="109" w:type="dxa"/>
            <w:tcBorders/>
            <w:shd w:fill="CCEEFF" w:val="clear"/>
            <w:vAlign w:val="center"/>
          </w:tcPr>
          <w:p>
            <w:pPr>
              <w:pStyle w:val="TableContents"/>
              <w:spacing w:before="0" w:after="0"/>
              <w:ind w:left="0" w:right="0" w:hanging="0"/>
              <w:rPr/>
            </w:pPr>
            <w:r>
              <w:rPr/>
              <w:t>​</w:t>
            </w:r>
          </w:p>
        </w:tc>
        <w:tc>
          <w:tcPr>
            <w:tcW w:w="149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109" w:type="dxa"/>
            <w:tcBorders/>
            <w:shd w:fill="CCEEFF" w:val="clear"/>
            <w:vAlign w:val="center"/>
          </w:tcPr>
          <w:p>
            <w:pPr>
              <w:pStyle w:val="TableContents"/>
              <w:spacing w:before="0" w:after="0"/>
              <w:ind w:left="0" w:right="0" w:hanging="0"/>
              <w:jc w:val="center"/>
              <w:rPr/>
            </w:pPr>
            <w:r>
              <w:rPr/>
              <w:t>​</w:t>
            </w:r>
          </w:p>
        </w:tc>
        <w:tc>
          <w:tcPr>
            <w:tcW w:w="1272"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$102.49</w:t>
            </w:r>
          </w:p>
        </w:tc>
        <w:tc>
          <w:tcPr>
            <w:tcW w:w="109" w:type="dxa"/>
            <w:tcBorders/>
            <w:shd w:fill="CCEEFF" w:val="clear"/>
            <w:vAlign w:val="center"/>
          </w:tcPr>
          <w:p>
            <w:pPr>
              <w:pStyle w:val="TableContents"/>
              <w:spacing w:before="0" w:after="0"/>
              <w:ind w:left="0" w:right="0" w:hanging="0"/>
              <w:jc w:val="center"/>
              <w:rPr/>
            </w:pPr>
            <w:r>
              <w:rPr/>
              <w:t>​</w:t>
            </w:r>
          </w:p>
        </w:tc>
        <w:tc>
          <w:tcPr>
            <w:tcW w:w="258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109" w:type="dxa"/>
            <w:tcBorders/>
            <w:shd w:fill="CCEEFF" w:val="clear"/>
            <w:vAlign w:val="center"/>
          </w:tcPr>
          <w:p>
            <w:pPr>
              <w:pStyle w:val="TableContents"/>
              <w:spacing w:before="0" w:after="0"/>
              <w:ind w:left="0" w:right="0" w:hanging="0"/>
              <w:jc w:val="center"/>
              <w:rPr/>
            </w:pPr>
            <w:r>
              <w:rPr/>
              <w:t>​</w:t>
            </w:r>
          </w:p>
        </w:tc>
        <w:tc>
          <w:tcPr>
            <w:tcW w:w="718"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2206"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39,174</w:t>
            </w:r>
          </w:p>
        </w:tc>
        <w:tc>
          <w:tcPr>
            <w:tcW w:w="158" w:type="dxa"/>
            <w:tcBorders/>
            <w:shd w:fill="CCEEFF" w:val="clear"/>
            <w:vAlign w:val="center"/>
          </w:tcPr>
          <w:p>
            <w:pPr>
              <w:pStyle w:val="TableContents"/>
              <w:spacing w:before="0" w:after="0"/>
              <w:ind w:left="0" w:right="0" w:hanging="0"/>
              <w:rPr/>
            </w:pPr>
            <w:r>
              <w:rPr/>
              <w:t>​</w:t>
            </w:r>
          </w:p>
        </w:tc>
      </w:tr>
      <w:tr>
        <w:trPr/>
        <w:tc>
          <w:tcPr>
            <w:tcW w:w="133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February 1 through February 28</w:t>
            </w:r>
          </w:p>
        </w:tc>
        <w:tc>
          <w:tcPr>
            <w:tcW w:w="109" w:type="dxa"/>
            <w:tcBorders/>
            <w:shd w:fill="auto" w:val="clear"/>
            <w:vAlign w:val="center"/>
          </w:tcPr>
          <w:p>
            <w:pPr>
              <w:pStyle w:val="TableContents"/>
              <w:spacing w:before="0" w:after="0"/>
              <w:ind w:left="0" w:right="0" w:hanging="0"/>
              <w:rPr/>
            </w:pPr>
            <w:r>
              <w:rPr/>
              <w:t>​</w:t>
            </w:r>
          </w:p>
        </w:tc>
        <w:tc>
          <w:tcPr>
            <w:tcW w:w="149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09" w:type="dxa"/>
            <w:tcBorders/>
            <w:shd w:fill="auto" w:val="clear"/>
            <w:vAlign w:val="center"/>
          </w:tcPr>
          <w:p>
            <w:pPr>
              <w:pStyle w:val="TableContents"/>
              <w:spacing w:before="0" w:after="0"/>
              <w:ind w:left="0" w:right="0" w:hanging="0"/>
              <w:jc w:val="center"/>
              <w:rPr/>
            </w:pPr>
            <w:r>
              <w:rPr/>
              <w:t>​</w:t>
            </w:r>
          </w:p>
        </w:tc>
        <w:tc>
          <w:tcPr>
            <w:tcW w:w="1272"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$120.31</w:t>
            </w:r>
          </w:p>
        </w:tc>
        <w:tc>
          <w:tcPr>
            <w:tcW w:w="109" w:type="dxa"/>
            <w:tcBorders/>
            <w:shd w:fill="auto" w:val="clear"/>
            <w:vAlign w:val="center"/>
          </w:tcPr>
          <w:p>
            <w:pPr>
              <w:pStyle w:val="TableContents"/>
              <w:spacing w:before="0" w:after="0"/>
              <w:ind w:left="0" w:right="0" w:hanging="0"/>
              <w:jc w:val="center"/>
              <w:rPr/>
            </w:pPr>
            <w:r>
              <w:rPr/>
              <w:t>​</w:t>
            </w:r>
          </w:p>
        </w:tc>
        <w:tc>
          <w:tcPr>
            <w:tcW w:w="258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09" w:type="dxa"/>
            <w:tcBorders/>
            <w:shd w:fill="auto" w:val="clear"/>
            <w:vAlign w:val="center"/>
          </w:tcPr>
          <w:p>
            <w:pPr>
              <w:pStyle w:val="TableContents"/>
              <w:spacing w:before="0" w:after="0"/>
              <w:ind w:left="0" w:right="0" w:hanging="0"/>
              <w:jc w:val="center"/>
              <w:rPr/>
            </w:pPr>
            <w:r>
              <w:rPr/>
              <w:t>​</w:t>
            </w:r>
          </w:p>
        </w:tc>
        <w:tc>
          <w:tcPr>
            <w:tcW w:w="718" w:type="dxa"/>
            <w:tcBorders/>
            <w:shd w:fill="auto" w:val="clear"/>
            <w:vAlign w:val="center"/>
          </w:tcPr>
          <w:p>
            <w:pPr>
              <w:pStyle w:val="TableContents"/>
              <w:spacing w:before="0" w:after="0"/>
              <w:ind w:left="0" w:right="0" w:hanging="0"/>
              <w:rPr/>
            </w:pPr>
            <w:r>
              <w:rPr/>
              <w:t>​</w:t>
            </w:r>
          </w:p>
        </w:tc>
        <w:tc>
          <w:tcPr>
            <w:tcW w:w="220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33,459</w:t>
            </w:r>
          </w:p>
        </w:tc>
        <w:tc>
          <w:tcPr>
            <w:tcW w:w="158" w:type="dxa"/>
            <w:tcBorders/>
            <w:shd w:fill="auto" w:val="clear"/>
            <w:vAlign w:val="center"/>
          </w:tcPr>
          <w:p>
            <w:pPr>
              <w:pStyle w:val="TableContents"/>
              <w:spacing w:before="0" w:after="0"/>
              <w:ind w:left="0" w:right="0" w:hanging="0"/>
              <w:rPr/>
            </w:pPr>
            <w:r>
              <w:rPr/>
              <w:t>​</w:t>
            </w:r>
          </w:p>
        </w:tc>
      </w:tr>
      <w:tr>
        <w:trPr/>
        <w:tc>
          <w:tcPr>
            <w:tcW w:w="13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March 1 through March 31</w:t>
            </w:r>
          </w:p>
        </w:tc>
        <w:tc>
          <w:tcPr>
            <w:tcW w:w="109" w:type="dxa"/>
            <w:tcBorders/>
            <w:shd w:fill="CCEEFF" w:val="clear"/>
            <w:vAlign w:val="center"/>
          </w:tcPr>
          <w:p>
            <w:pPr>
              <w:pStyle w:val="TableContents"/>
              <w:spacing w:before="0" w:after="0"/>
              <w:ind w:left="0" w:right="0" w:hanging="0"/>
              <w:rPr/>
            </w:pPr>
            <w:r>
              <w:rPr/>
              <w:t>​</w:t>
            </w:r>
          </w:p>
        </w:tc>
        <w:tc>
          <w:tcPr>
            <w:tcW w:w="14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109" w:type="dxa"/>
            <w:tcBorders/>
            <w:shd w:fill="CCEEFF" w:val="clear"/>
            <w:vAlign w:val="center"/>
          </w:tcPr>
          <w:p>
            <w:pPr>
              <w:pStyle w:val="TableContents"/>
              <w:spacing w:before="0" w:after="0"/>
              <w:ind w:left="0" w:right="0" w:hanging="0"/>
              <w:jc w:val="center"/>
              <w:rPr/>
            </w:pPr>
            <w:r>
              <w:rPr/>
              <w:t>​</w:t>
            </w:r>
          </w:p>
        </w:tc>
        <w:tc>
          <w:tcPr>
            <w:tcW w:w="1272"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$129.74</w:t>
            </w:r>
          </w:p>
        </w:tc>
        <w:tc>
          <w:tcPr>
            <w:tcW w:w="109" w:type="dxa"/>
            <w:tcBorders/>
            <w:shd w:fill="CCEEFF" w:val="clear"/>
            <w:vAlign w:val="center"/>
          </w:tcPr>
          <w:p>
            <w:pPr>
              <w:pStyle w:val="TableContents"/>
              <w:spacing w:before="0" w:after="0"/>
              <w:ind w:left="0" w:right="0" w:hanging="0"/>
              <w:jc w:val="center"/>
              <w:rPr/>
            </w:pPr>
            <w:r>
              <w:rPr/>
              <w:t>​</w:t>
            </w:r>
          </w:p>
        </w:tc>
        <w:tc>
          <w:tcPr>
            <w:tcW w:w="25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109" w:type="dxa"/>
            <w:tcBorders/>
            <w:shd w:fill="CCEEFF" w:val="clear"/>
            <w:vAlign w:val="center"/>
          </w:tcPr>
          <w:p>
            <w:pPr>
              <w:pStyle w:val="TableContents"/>
              <w:spacing w:before="0" w:after="0"/>
              <w:ind w:left="0" w:right="0" w:hanging="0"/>
              <w:jc w:val="center"/>
              <w:rPr/>
            </w:pPr>
            <w:r>
              <w:rPr/>
              <w:t>​</w:t>
            </w:r>
          </w:p>
        </w:tc>
        <w:tc>
          <w:tcPr>
            <w:tcW w:w="718" w:type="dxa"/>
            <w:tcBorders/>
            <w:shd w:fill="CCEEFF" w:val="clear"/>
            <w:vAlign w:val="center"/>
          </w:tcPr>
          <w:p>
            <w:pPr>
              <w:pStyle w:val="TableContents"/>
              <w:spacing w:before="0" w:after="0"/>
              <w:ind w:left="0" w:right="0" w:hanging="0"/>
              <w:rPr/>
            </w:pPr>
            <w:r>
              <w:rPr/>
              <w:t>​</w:t>
            </w:r>
          </w:p>
        </w:tc>
        <w:tc>
          <w:tcPr>
            <w:tcW w:w="2206"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30,006</w:t>
            </w:r>
          </w:p>
        </w:tc>
        <w:tc>
          <w:tcPr>
            <w:tcW w:w="158" w:type="dxa"/>
            <w:tcBorders/>
            <w:shd w:fill="CCEEFF" w:val="clear"/>
            <w:vAlign w:val="center"/>
          </w:tcPr>
          <w:p>
            <w:pPr>
              <w:pStyle w:val="TableContents"/>
              <w:spacing w:before="0" w:after="0"/>
              <w:ind w:left="0" w:right="0" w:hanging="0"/>
              <w:rPr/>
            </w:pPr>
            <w:r>
              <w:rPr/>
              <w:t>​</w:t>
            </w:r>
          </w:p>
        </w:tc>
      </w:tr>
      <w:tr>
        <w:trPr/>
        <w:tc>
          <w:tcPr>
            <w:tcW w:w="133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shd w:fill="auto" w:val="clear"/>
            <w:vAlign w:val="center"/>
          </w:tcPr>
          <w:p>
            <w:pPr>
              <w:pStyle w:val="TableContents"/>
              <w:spacing w:before="0" w:after="0"/>
              <w:ind w:left="0" w:right="0" w:hanging="0"/>
              <w:rPr/>
            </w:pPr>
            <w:r>
              <w:rPr/>
              <w:t>​</w:t>
            </w:r>
          </w:p>
        </w:tc>
        <w:tc>
          <w:tcPr>
            <w:tcW w:w="14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shd w:fill="auto" w:val="clear"/>
            <w:vAlign w:val="center"/>
          </w:tcPr>
          <w:p>
            <w:pPr>
              <w:pStyle w:val="TableContents"/>
              <w:spacing w:before="0" w:after="0"/>
              <w:ind w:left="0" w:right="0" w:hanging="0"/>
              <w:rPr/>
            </w:pPr>
            <w:r>
              <w:rPr/>
              <w:t>​</w:t>
            </w:r>
          </w:p>
        </w:tc>
        <w:tc>
          <w:tcPr>
            <w:tcW w:w="1272"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8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shd w:fill="auto" w:val="clear"/>
            <w:vAlign w:val="center"/>
          </w:tcPr>
          <w:p>
            <w:pPr>
              <w:pStyle w:val="TableContents"/>
              <w:spacing w:before="0" w:after="0"/>
              <w:ind w:left="0" w:right="0" w:hanging="0"/>
              <w:rPr/>
            </w:pPr>
            <w:r>
              <w:rPr/>
              <w:t>​</w:t>
            </w:r>
          </w:p>
        </w:tc>
        <w:tc>
          <w:tcPr>
            <w:tcW w:w="718" w:type="dxa"/>
            <w:tcBorders/>
            <w:shd w:fill="auto" w:val="clear"/>
            <w:vAlign w:val="center"/>
          </w:tcPr>
          <w:p>
            <w:pPr>
              <w:pStyle w:val="TableContents"/>
              <w:spacing w:before="0" w:after="0"/>
              <w:ind w:left="0" w:right="0" w:hanging="0"/>
              <w:rPr/>
            </w:pPr>
            <w:r>
              <w:rPr/>
              <w:t>​</w:t>
            </w:r>
          </w:p>
        </w:tc>
        <w:tc>
          <w:tcPr>
            <w:tcW w:w="2206" w:type="dxa"/>
            <w:tcBorders/>
            <w:shd w:fill="auto" w:val="clear"/>
            <w:vAlign w:val="center"/>
          </w:tcPr>
          <w:p>
            <w:pPr>
              <w:pStyle w:val="TableContents"/>
              <w:spacing w:before="0" w:after="0"/>
              <w:ind w:left="0" w:right="0" w:hanging="0"/>
              <w:rPr/>
            </w:pPr>
            <w:r>
              <w:rPr/>
              <w:t>​</w:t>
            </w:r>
          </w:p>
        </w:tc>
        <w:tc>
          <w:tcPr>
            <w:tcW w:w="158" w:type="dxa"/>
            <w:tcBorders/>
            <w:shd w:fill="auto" w:val="clear"/>
            <w:vAlign w:val="center"/>
          </w:tcPr>
          <w:p>
            <w:pPr>
              <w:pStyle w:val="TableContents"/>
              <w:spacing w:before="0" w:after="0"/>
              <w:ind w:left="0" w:right="0" w:hanging="0"/>
              <w:rPr/>
            </w:pPr>
            <w:r>
              <w:rPr/>
              <w:t>​</w:t>
            </w:r>
          </w:p>
        </w:tc>
      </w:tr>
      <w:tr>
        <w:trPr/>
        <w:tc>
          <w:tcPr>
            <w:tcW w:w="10047" w:type="dxa"/>
            <w:gridSpan w:val="10"/>
            <w:tcBorders/>
            <w:shd w:fill="auto" w:val="clear"/>
            <w:vAlign w:val="center"/>
          </w:tcPr>
          <w:p>
            <w:pPr>
              <w:pStyle w:val="TableContents"/>
              <w:spacing w:before="0" w:after="0"/>
              <w:ind w:left="0" w:right="0" w:hanging="0"/>
              <w:rPr/>
            </w:pPr>
            <w:r>
              <w:rPr/>
              <w:t>​</w:t>
            </w:r>
          </w:p>
        </w:tc>
        <w:tc>
          <w:tcPr>
            <w:tcW w:w="158"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10" w:name="Item3DefaultsUponSeniorSecurities_689958"/>
      <w:bookmarkStart w:id="911" w:name="_adcbf7df_1644_45cb_bddf_9cd1c2de6445"/>
      <w:bookmarkEnd w:id="910"/>
      <w:bookmarkEnd w:id="911"/>
      <w:r>
        <w:rPr>
          <w:rFonts w:ascii="Times New Roman;Times;serif" w:hAnsi="Times New Roman;Times;serif"/>
          <w:b/>
          <w:sz w:val="20"/>
        </w:rPr>
        <w:t>Item 3.  Defaults Upon Senior Securities.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12" w:name="Item4MineSafetyDisclosures_365895"/>
      <w:bookmarkStart w:id="913" w:name="_0a6c6311_8fd6_4444_ba0b_f79282573047"/>
      <w:bookmarkEnd w:id="912"/>
      <w:bookmarkEnd w:id="913"/>
      <w:r>
        <w:rPr>
          <w:rFonts w:ascii="Times New Roman;Times;serif" w:hAnsi="Times New Roman;Times;serif"/>
          <w:b/>
          <w:sz w:val="20"/>
        </w:rPr>
        <w:t>Item 4.  Mine Safety Disclosures.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914" w:name="Item5OtherInformation_535580"/>
      <w:bookmarkStart w:id="915" w:name="_3d306c60_77da_4b88_a09d_00541147f45a"/>
      <w:bookmarkEnd w:id="914"/>
      <w:bookmarkEnd w:id="915"/>
      <w:r>
        <w:rPr>
          <w:rFonts w:ascii="Times New Roman;Times;serif" w:hAnsi="Times New Roman;Times;serif"/>
          <w:b/>
          <w:sz w:val="20"/>
        </w:rPr>
        <w:t>Item 5.  Other Information.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b/>
          <w:sz w:val="20"/>
        </w:rPr>
      </w:pPr>
      <w:bookmarkStart w:id="916" w:name="Item6Exhibits_453635"/>
      <w:bookmarkStart w:id="917" w:name="_4a496ded_61f4_481c_92d9_f06601a295a9"/>
      <w:bookmarkEnd w:id="916"/>
      <w:bookmarkEnd w:id="917"/>
      <w:r>
        <w:rPr>
          <w:rFonts w:ascii="Times New Roman;Times;serif" w:hAnsi="Times New Roman;Times;serif"/>
          <w:b/>
          <w:sz w:val="20"/>
        </w:rPr>
        <w:t>Item 6.  Exhibits.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exhibits are filed herewith:</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56"/>
        <w:gridCol w:w="326"/>
        <w:gridCol w:w="9223"/>
      </w:tblGrid>
      <w:tr>
        <w:trPr/>
        <w:tc>
          <w:tcPr>
            <w:tcW w:w="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16560" cy="29210"/>
                      <wp:effectExtent l="0" t="0" r="0" b="0"/>
                      <wp:wrapNone/>
                      <wp:docPr id="341" name="Frame341"/>
                      <a:graphic xmlns:a="http://schemas.openxmlformats.org/drawingml/2006/main">
                        <a:graphicData uri="http://schemas.microsoft.com/office/word/2010/wordprocessingShape">
                          <wps:wsp>
                            <wps:cNvSpPr txBox="1"/>
                            <wps:spPr>
                              <a:xfrm>
                                <a:off x="0" y="0"/>
                                <a:ext cx="4165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29210"/>
                      <wp:effectExtent l="0" t="0" r="0" b="0"/>
                      <wp:wrapNone/>
                      <wp:docPr id="342" name="Frame342"/>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9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856605" cy="29210"/>
                      <wp:effectExtent l="0" t="0" r="0" b="0"/>
                      <wp:wrapNone/>
                      <wp:docPr id="343" name="Frame343"/>
                      <a:graphic xmlns:a="http://schemas.openxmlformats.org/drawingml/2006/main">
                        <a:graphicData uri="http://schemas.microsoft.com/office/word/2010/wordprocessingShape">
                          <wps:wsp>
                            <wps:cNvSpPr txBox="1"/>
                            <wps:spPr>
                              <a:xfrm>
                                <a:off x="0" y="0"/>
                                <a:ext cx="585660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656" w:type="dxa"/>
            <w:tcBorders>
              <w:bottom w:val="single" w:sz="2" w:space="0" w:color="000000"/>
            </w:tcBorders>
            <w:shd w:fill="auto" w:val="clear"/>
            <w:tcMar>
              <w:bottom w:w="28" w:type="dxa"/>
            </w:tcMar>
            <w:vAlign w:val="center"/>
          </w:tcPr>
          <w:p>
            <w:pPr>
              <w:pStyle w:val="TableContents"/>
              <w:spacing w:lineRule="atLeast" w:line="180" w:before="0" w:after="0"/>
              <w:ind w:left="0" w:right="0" w:hanging="0"/>
              <w:rPr>
                <w:rFonts w:ascii="Times New Roman;Times;serif" w:hAnsi="Times New Roman;Times;serif"/>
                <w:b/>
                <w:sz w:val="16"/>
              </w:rPr>
            </w:pPr>
            <w:r>
              <w:rPr>
                <w:rFonts w:ascii="Times New Roman;Times;serif" w:hAnsi="Times New Roman;Times;serif"/>
                <w:b/>
                <w:sz w:val="16"/>
              </w:rPr>
              <w:t>Exhibit</w:t>
              <w:br/>
              <w:t>No</w:t>
            </w:r>
          </w:p>
        </w:tc>
        <w:tc>
          <w:tcPr>
            <w:tcW w:w="326" w:type="dxa"/>
            <w:tcBorders>
              <w:bottom w:val="single" w:sz="2" w:space="0" w:color="000000"/>
            </w:tcBorders>
            <w:shd w:fill="auto" w:val="clear"/>
            <w:tcMar>
              <w:bottom w:w="28" w:type="dxa"/>
            </w:tcMar>
            <w:vAlign w:val="center"/>
          </w:tcPr>
          <w:p>
            <w:pPr>
              <w:pStyle w:val="TableContents"/>
              <w:spacing w:lineRule="atLeast" w:line="180" w:before="0" w:after="0"/>
              <w:ind w:left="0" w:right="0" w:hanging="0"/>
              <w:jc w:val="center"/>
              <w:rPr/>
            </w:pPr>
            <w:r>
              <w:rPr/>
              <w:t>    </w:t>
            </w:r>
          </w:p>
        </w:tc>
        <w:tc>
          <w:tcPr>
            <w:tcW w:w="9223" w:type="dxa"/>
            <w:tcBorders>
              <w:bottom w:val="single" w:sz="2" w:space="0" w:color="000000"/>
            </w:tcBorders>
            <w:shd w:fill="auto" w:val="clear"/>
            <w:tcMar>
              <w:bottom w:w="28" w:type="dxa"/>
            </w:tcMar>
            <w:vAlign w:val="center"/>
          </w:tcPr>
          <w:p>
            <w:pPr>
              <w:pStyle w:val="TableContents"/>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56" w:type="dxa"/>
            <w:tcBorders/>
            <w:shd w:fill="auto" w:val="clear"/>
            <w:vAlign w:val="center"/>
          </w:tcPr>
          <w:p>
            <w:pPr>
              <w:pStyle w:val="TableContents"/>
              <w:spacing w:lineRule="atLeast" w:line="180" w:before="0" w:after="0"/>
              <w:ind w:left="0" w:right="0" w:hanging="0"/>
              <w:rPr/>
            </w:pPr>
            <w:r>
              <w:rPr/>
              <w:t>​</w:t>
            </w:r>
          </w:p>
        </w:tc>
        <w:tc>
          <w:tcPr>
            <w:tcW w:w="326" w:type="dxa"/>
            <w:tcBorders/>
            <w:shd w:fill="auto" w:val="clear"/>
            <w:vAlign w:val="center"/>
          </w:tcPr>
          <w:p>
            <w:pPr>
              <w:pStyle w:val="TableContents"/>
              <w:spacing w:lineRule="atLeast" w:line="180" w:before="0" w:after="0"/>
              <w:ind w:left="0" w:right="0" w:hanging="0"/>
              <w:rPr/>
            </w:pPr>
            <w:r>
              <w:rPr/>
              <w:t>​</w:t>
            </w:r>
          </w:p>
        </w:tc>
        <w:tc>
          <w:tcPr>
            <w:tcW w:w="9223" w:type="dxa"/>
            <w:tcBorders/>
            <w:shd w:fill="auto" w:val="clear"/>
            <w:vAlign w:val="center"/>
          </w:tcPr>
          <w:p>
            <w:pPr>
              <w:pStyle w:val="TableContents"/>
              <w:spacing w:lineRule="atLeast" w:line="180" w:before="0" w:after="0"/>
              <w:ind w:left="0" w:right="0" w:hanging="0"/>
              <w:rPr/>
            </w:pPr>
            <w:r>
              <w:rPr/>
              <w:t>​</w:t>
            </w:r>
          </w:p>
        </w:tc>
      </w:tr>
      <w:tr>
        <w:trPr/>
        <w:tc>
          <w:tcPr>
            <w:tcW w:w="6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Restated Certificate of Incorporation of the Company filed November 2, 2017. Incorporated by reference to Exhibit 3.1 of the Company’s Form 10-Q filed with the Commission on November 3, 2017.</w:t>
              </w:r>
            </w:hyperlink>
          </w:p>
        </w:tc>
      </w:tr>
      <w:tr>
        <w:trPr/>
        <w:tc>
          <w:tcPr>
            <w:tcW w:w="6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r>
              <w:rPr/>
              <w:t>​</w:t>
            </w:r>
          </w:p>
        </w:tc>
      </w:tr>
      <w:tr>
        <w:trPr/>
        <w:tc>
          <w:tcPr>
            <w:tcW w:w="6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Bylaws of the Company, as amended as of May 11, 2022. Incorporated by reference to Exhibit 3.2 of the Company’s Form 8-K filed with the SEC on May 11, 2022.</w:t>
              </w:r>
            </w:hyperlink>
          </w:p>
        </w:tc>
      </w:tr>
      <w:tr>
        <w:trPr/>
        <w:tc>
          <w:tcPr>
            <w:tcW w:w="6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r>
              <w:rPr/>
              <w:t>​</w:t>
            </w:r>
          </w:p>
        </w:tc>
      </w:tr>
      <w:tr>
        <w:trPr/>
        <w:tc>
          <w:tcPr>
            <w:tcW w:w="6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Amended and Restated Employment Agreement between Axcelis Technologies, Inc. and Mary G. Puma dated as of February 24, 2023. Incorporated by reference to Exhibit 10.1 of the Company’s Form 8-K filed with the SEC on April 18, 2023</w:t>
              </w:r>
            </w:hyperlink>
            <w:r>
              <w:rPr>
                <w:rFonts w:ascii="Times New Roman;Times;serif" w:hAnsi="Times New Roman;Times;serif"/>
                <w:sz w:val="20"/>
              </w:rPr>
              <w:t>.</w:t>
            </w:r>
          </w:p>
        </w:tc>
      </w:tr>
      <w:tr>
        <w:trPr/>
        <w:tc>
          <w:tcPr>
            <w:tcW w:w="6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r>
              <w:rPr/>
              <w:t>​</w:t>
            </w:r>
          </w:p>
        </w:tc>
      </w:tr>
      <w:tr>
        <w:trPr/>
        <w:tc>
          <w:tcPr>
            <w:tcW w:w="6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hyperlink w:anchor="acls-20230331xex31d1.htm">
              <w:r>
                <w:rPr>
                  <w:rStyle w:val="InternetLink"/>
                  <w:rFonts w:ascii="Times New Roman;Times;serif" w:hAnsi="Times New Roman;Times;serif"/>
                  <w:b w:val="false"/>
                  <w:i w:val="false"/>
                  <w:caps w:val="false"/>
                  <w:smallCaps w:val="false"/>
                  <w:sz w:val="20"/>
                </w:rPr>
                <w:t>Certification of the Principal Executive Officer under Exchange Act Rule 13a-14(a)/15d-14(a) (Section 302 of the Sarbanes-Oxley Act), dated May 5, 2023.</w:t>
              </w:r>
            </w:hyperlink>
          </w:p>
        </w:tc>
      </w:tr>
      <w:tr>
        <w:trPr/>
        <w:tc>
          <w:tcPr>
            <w:tcW w:w="6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r>
              <w:rPr/>
              <w:t>​</w:t>
            </w:r>
          </w:p>
        </w:tc>
      </w:tr>
      <w:tr>
        <w:trPr/>
        <w:tc>
          <w:tcPr>
            <w:tcW w:w="6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hyperlink w:anchor="acls-20230331xex31d2.htm">
              <w:r>
                <w:rPr>
                  <w:rStyle w:val="InternetLink"/>
                  <w:rFonts w:ascii="Times New Roman;Times;serif" w:hAnsi="Times New Roman;Times;serif"/>
                  <w:b w:val="false"/>
                  <w:i w:val="false"/>
                  <w:caps w:val="false"/>
                  <w:smallCaps w:val="false"/>
                  <w:sz w:val="20"/>
                </w:rPr>
                <w:t xml:space="preserve">Certification of the Principal Financial Officer under Exchange Act Rule 13a-14(a)/15d-14(a) (Section 302 of the Sarbanes-Oxley Act), dated May 5, 2023. </w:t>
              </w:r>
            </w:hyperlink>
          </w:p>
        </w:tc>
      </w:tr>
      <w:tr>
        <w:trPr/>
        <w:tc>
          <w:tcPr>
            <w:tcW w:w="6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r>
              <w:rPr/>
              <w:t>​</w:t>
            </w:r>
          </w:p>
        </w:tc>
      </w:tr>
      <w:tr>
        <w:trPr/>
        <w:tc>
          <w:tcPr>
            <w:tcW w:w="6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hyperlink w:anchor="acls-20230331xex32d1.htm">
              <w:r>
                <w:rPr>
                  <w:rStyle w:val="InternetLink"/>
                  <w:rFonts w:ascii="Times New Roman;Times;serif" w:hAnsi="Times New Roman;Times;serif"/>
                  <w:b w:val="false"/>
                  <w:i w:val="false"/>
                  <w:caps w:val="false"/>
                  <w:smallCaps w:val="false"/>
                  <w:sz w:val="20"/>
                </w:rPr>
                <w:t>Certification of the Principal Executive Officer pursuant to Section 1350 of Chapter 63 of title 18 of the United States Code (Section 906 of the Sarbanes-Oxley Act), dated May 5, 2023.</w:t>
              </w:r>
            </w:hyperlink>
          </w:p>
        </w:tc>
      </w:tr>
      <w:tr>
        <w:trPr/>
        <w:tc>
          <w:tcPr>
            <w:tcW w:w="6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r>
              <w:rPr/>
              <w:t>​</w:t>
            </w:r>
          </w:p>
        </w:tc>
      </w:tr>
      <w:tr>
        <w:trPr/>
        <w:tc>
          <w:tcPr>
            <w:tcW w:w="6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hyperlink w:anchor="acls-20230331xex32d2.htm">
              <w:r>
                <w:rPr>
                  <w:rStyle w:val="InternetLink"/>
                  <w:rFonts w:ascii="Times New Roman;Times;serif" w:hAnsi="Times New Roman;Times;serif"/>
                  <w:b w:val="false"/>
                  <w:i w:val="false"/>
                  <w:caps w:val="false"/>
                  <w:smallCaps w:val="false"/>
                  <w:sz w:val="20"/>
                </w:rPr>
                <w:t xml:space="preserve">Certification of the Principal Financial Officer pursuant to Section 1350 of Chapter 63 of title 18 of the United States Code (Section 906 of the Sarbanes-Oxley Act), dated May 5, 2023. </w:t>
              </w:r>
            </w:hyperlink>
          </w:p>
        </w:tc>
      </w:tr>
      <w:tr>
        <w:trPr/>
        <w:tc>
          <w:tcPr>
            <w:tcW w:w="6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r>
              <w:rPr/>
              <w:t>​</w:t>
            </w:r>
          </w:p>
        </w:tc>
      </w:tr>
      <w:tr>
        <w:trPr/>
        <w:tc>
          <w:tcPr>
            <w:tcW w:w="6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following materials from the Company’s Form 10-Q for the quarter ended March 31, 2023, formatted in inline eXtensible Business Reporting Language (iXBRL): (i) Consolidated Statements of Operations, (ii) Consolidated Statements of Comprehensive Income, (iii) Consolidated Balance Sheets, (iv) Consolidated Statements of Cash Flows and (v) Notes to Consolidated Financial Statements (Unaudited). Filed herewith.</w:t>
            </w:r>
          </w:p>
        </w:tc>
      </w:tr>
      <w:tr>
        <w:trPr/>
        <w:tc>
          <w:tcPr>
            <w:tcW w:w="6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r>
              <w:rPr/>
              <w:t>​</w:t>
            </w:r>
          </w:p>
        </w:tc>
      </w:tr>
      <w:tr>
        <w:trPr/>
        <w:tc>
          <w:tcPr>
            <w:tcW w:w="6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(formatted as iXBRL and contained in Exhibit 101).</w:t>
            </w:r>
          </w:p>
        </w:tc>
      </w:tr>
      <w:tr>
        <w:trPr/>
        <w:tc>
          <w:tcPr>
            <w:tcW w:w="6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223" w:type="dxa"/>
            <w:tcBorders/>
            <w:shd w:fill="auto" w:val="clear"/>
            <w:vAlign w:val="center"/>
          </w:tcPr>
          <w:p>
            <w:pPr>
              <w:pStyle w:val="TableContents"/>
              <w:spacing w:before="0" w:after="0"/>
              <w:ind w:left="0" w:right="0" w:hanging="0"/>
              <w:rPr/>
            </w:pPr>
            <w:r>
              <w:rPr/>
              <w:t>​</w:t>
            </w:r>
          </w:p>
        </w:tc>
      </w:tr>
      <w:tr>
        <w:trPr/>
        <w:tc>
          <w:tcPr>
            <w:tcW w:w="10205" w:type="dxa"/>
            <w:gridSpan w:val="3"/>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Filed herewith</w:t>
            </w:r>
          </w:p>
        </w:tc>
      </w:tr>
      <w:tr>
        <w:trPr/>
        <w:tc>
          <w:tcPr>
            <w:tcW w:w="10205" w:type="dxa"/>
            <w:gridSpan w:val="3"/>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This exhibit is being furnished rather than filed, and shall not be deemed incorporated by reference into any filing, in accordance with Item 601 of Regulation S-K.</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lineRule="auto" w:line="328" w:before="0" w:after="20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918" w:name="SIGNATURES_211783"/>
      <w:bookmarkStart w:id="919" w:name="_14438d82_0241_48eb_b070_70ecc67c2310"/>
      <w:bookmarkEnd w:id="918"/>
      <w:bookmarkEnd w:id="919"/>
      <w:r>
        <w:rPr>
          <w:rFonts w:ascii="Times New Roman;Times;serif" w:hAnsi="Times New Roman;Times;serif"/>
          <w:b/>
          <w:sz w:val="20"/>
        </w:rPr>
        <w:t>SIGNATURES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w:t>
      </w:r>
    </w:p>
    <w:tbl>
      <w:tblPr>
        <w:tblW w:w="7068" w:type="dxa"/>
        <w:jc w:val="left"/>
        <w:tblInd w:w="0" w:type="dxa"/>
        <w:tblCellMar>
          <w:top w:w="0" w:type="dxa"/>
          <w:left w:w="0" w:type="dxa"/>
          <w:bottom w:w="0" w:type="dxa"/>
          <w:right w:w="0" w:type="dxa"/>
        </w:tblCellMar>
      </w:tblPr>
      <w:tblGrid>
        <w:gridCol w:w="1906"/>
        <w:gridCol w:w="406"/>
        <w:gridCol w:w="4756"/>
      </w:tblGrid>
      <w:tr>
        <w:trPr/>
        <w:tc>
          <w:tcPr>
            <w:tcW w:w="190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4756" w:type="dxa"/>
            <w:tcBorders/>
            <w:shd w:fill="auto" w:val="clear"/>
            <w:vAlign w:val="center"/>
          </w:tcPr>
          <w:p>
            <w:pPr>
              <w:pStyle w:val="TableContents"/>
              <w:spacing w:before="0" w:after="283"/>
              <w:ind w:left="0" w:right="0" w:hanging="0"/>
              <w:rPr>
                <w:sz w:val="4"/>
                <w:szCs w:val="4"/>
              </w:rPr>
            </w:pPr>
            <w:r>
              <w:rPr>
                <w:sz w:val="4"/>
                <w:szCs w:val="4"/>
              </w:rPr>
            </w:r>
          </w:p>
        </w:tc>
      </w:tr>
      <w:tr>
        <w:trPr/>
        <w:tc>
          <w:tcPr>
            <w:tcW w:w="1906" w:type="dxa"/>
            <w:tcBorders/>
            <w:shd w:fill="auto" w:val="clear"/>
            <w:vAlign w:val="center"/>
          </w:tcPr>
          <w:p>
            <w:pPr>
              <w:pStyle w:val="TableContents"/>
              <w:spacing w:lineRule="auto" w:line="328" w:before="0" w:after="0"/>
              <w:ind w:left="0" w:right="0" w:hanging="0"/>
              <w:rPr/>
            </w:pPr>
            <w:r>
              <w:rPr/>
              <w:t>​</w:t>
            </w:r>
          </w:p>
        </w:tc>
        <w:tc>
          <w:tcPr>
            <w:tcW w:w="5162" w:type="dxa"/>
            <w:gridSpan w:val="2"/>
            <w:tcBorders/>
            <w:shd w:fill="auto" w:val="clear"/>
            <w:vAlign w:val="center"/>
          </w:tcPr>
          <w:p>
            <w:pPr>
              <w:pStyle w:val="TableContents"/>
              <w:spacing w:lineRule="auto" w:line="328" w:before="0" w:after="0"/>
              <w:ind w:left="0" w:right="0" w:hanging="0"/>
              <w:rPr>
                <w:rFonts w:ascii="Times New Roman;Times;serif" w:hAnsi="Times New Roman;Times;serif"/>
                <w:sz w:val="20"/>
              </w:rPr>
            </w:pPr>
            <w:r>
              <w:rPr>
                <w:rFonts w:ascii="Times New Roman;Times;serif" w:hAnsi="Times New Roman;Times;serif"/>
                <w:sz w:val="20"/>
              </w:rPr>
              <w:t>AXCELIS TECHNOLOGIES, INC.</w:t>
            </w:r>
          </w:p>
        </w:tc>
      </w:tr>
      <w:tr>
        <w:trPr/>
        <w:tc>
          <w:tcPr>
            <w:tcW w:w="1906" w:type="dxa"/>
            <w:tcBorders/>
            <w:shd w:fill="auto" w:val="clear"/>
            <w:vAlign w:val="center"/>
          </w:tcPr>
          <w:p>
            <w:pPr>
              <w:pStyle w:val="TableContents"/>
              <w:spacing w:lineRule="auto" w:line="328" w:before="0" w:after="0"/>
              <w:ind w:left="0" w:right="0" w:hanging="0"/>
              <w:rPr>
                <w:rFonts w:ascii="Times New Roman;Times;serif" w:hAnsi="Times New Roman;Times;serif"/>
                <w:sz w:val="20"/>
              </w:rPr>
            </w:pPr>
            <w:r>
              <w:rPr>
                <w:rFonts w:ascii="Times New Roman;Times;serif" w:hAnsi="Times New Roman;Times;serif"/>
                <w:sz w:val="20"/>
              </w:rPr>
              <w:t>DATED: May 5, 2023</w:t>
            </w:r>
          </w:p>
        </w:tc>
        <w:tc>
          <w:tcPr>
            <w:tcW w:w="406" w:type="dxa"/>
            <w:tcBorders/>
            <w:shd w:fill="auto" w:val="clear"/>
            <w:vAlign w:val="center"/>
          </w:tcPr>
          <w:p>
            <w:pPr>
              <w:pStyle w:val="TableContents"/>
              <w:spacing w:lineRule="auto" w:line="328" w:before="0" w:after="0"/>
              <w:ind w:left="0" w:right="0" w:hanging="0"/>
              <w:rPr>
                <w:rFonts w:ascii="Times New Roman;Times;serif" w:hAnsi="Times New Roman;Times;serif"/>
                <w:sz w:val="20"/>
              </w:rPr>
            </w:pPr>
            <w:r>
              <w:rPr>
                <w:rFonts w:ascii="Times New Roman;Times;serif" w:hAnsi="Times New Roman;Times;serif"/>
                <w:sz w:val="20"/>
              </w:rPr>
              <w:t>By:</w:t>
            </w:r>
          </w:p>
        </w:tc>
        <w:tc>
          <w:tcPr>
            <w:tcW w:w="4756" w:type="dxa"/>
            <w:tcBorders>
              <w:bottom w:val="single" w:sz="2" w:space="0" w:color="000000"/>
            </w:tcBorders>
            <w:shd w:fill="auto" w:val="clear"/>
            <w:tcMar>
              <w:bottom w:w="28" w:type="dxa"/>
            </w:tcMar>
            <w:vAlign w:val="center"/>
          </w:tcPr>
          <w:p>
            <w:pPr>
              <w:pStyle w:val="TableContents"/>
              <w:spacing w:lineRule="auto" w:line="328" w:before="0" w:after="0"/>
              <w:ind w:left="0" w:right="0" w:hanging="0"/>
              <w:rPr>
                <w:rFonts w:ascii="Times New Roman;Times;serif" w:hAnsi="Times New Roman;Times;serif"/>
                <w:sz w:val="20"/>
              </w:rPr>
            </w:pPr>
            <w:r>
              <w:rPr>
                <w:rFonts w:ascii="Times New Roman;Times;serif" w:hAnsi="Times New Roman;Times;serif"/>
                <w:sz w:val="20"/>
              </w:rPr>
              <w:t>/s/ KEVIN J. BREWER</w:t>
            </w:r>
          </w:p>
        </w:tc>
      </w:tr>
      <w:tr>
        <w:trPr/>
        <w:tc>
          <w:tcPr>
            <w:tcW w:w="1906" w:type="dxa"/>
            <w:tcBorders/>
            <w:shd w:fill="auto" w:val="clear"/>
            <w:vAlign w:val="center"/>
          </w:tcPr>
          <w:p>
            <w:pPr>
              <w:pStyle w:val="TableContents"/>
              <w:spacing w:lineRule="auto" w:line="328" w:before="0" w:after="0"/>
              <w:ind w:left="0" w:right="0" w:hanging="0"/>
              <w:rPr/>
            </w:pPr>
            <w:r>
              <w:rPr/>
              <w:t>​</w:t>
            </w:r>
          </w:p>
        </w:tc>
        <w:tc>
          <w:tcPr>
            <w:tcW w:w="406" w:type="dxa"/>
            <w:tcBorders/>
            <w:shd w:fill="auto" w:val="clear"/>
            <w:vAlign w:val="center"/>
          </w:tcPr>
          <w:p>
            <w:pPr>
              <w:pStyle w:val="TableContents"/>
              <w:spacing w:lineRule="auto" w:line="328" w:before="0" w:after="0"/>
              <w:ind w:left="0" w:right="0" w:hanging="0"/>
              <w:rPr/>
            </w:pPr>
            <w:r>
              <w:rPr/>
              <w:t>​</w:t>
            </w:r>
          </w:p>
        </w:tc>
        <w:tc>
          <w:tcPr>
            <w:tcW w:w="4756" w:type="dxa"/>
            <w:tcBorders/>
            <w:shd w:fill="auto" w:val="clear"/>
            <w:vAlign w:val="center"/>
          </w:tcPr>
          <w:p>
            <w:pPr>
              <w:pStyle w:val="TableContents"/>
              <w:spacing w:lineRule="auto" w:line="328" w:before="0" w:after="0"/>
              <w:ind w:left="0" w:right="0" w:hanging="0"/>
              <w:rPr/>
            </w:pPr>
            <w:r>
              <w:rPr/>
              <w:t>​</w:t>
            </w:r>
          </w:p>
        </w:tc>
      </w:tr>
      <w:tr>
        <w:trPr/>
        <w:tc>
          <w:tcPr>
            <w:tcW w:w="1906" w:type="dxa"/>
            <w:tcBorders/>
            <w:shd w:fill="auto" w:val="clear"/>
            <w:vAlign w:val="center"/>
          </w:tcPr>
          <w:p>
            <w:pPr>
              <w:pStyle w:val="TableContents"/>
              <w:spacing w:lineRule="auto" w:line="328" w:before="0" w:after="0"/>
              <w:ind w:left="0" w:right="0" w:hanging="0"/>
              <w:rPr/>
            </w:pPr>
            <w:r>
              <w:rPr/>
              <w:t>​</w:t>
            </w:r>
          </w:p>
        </w:tc>
        <w:tc>
          <w:tcPr>
            <w:tcW w:w="406" w:type="dxa"/>
            <w:tcBorders/>
            <w:shd w:fill="auto" w:val="clear"/>
            <w:vAlign w:val="center"/>
          </w:tcPr>
          <w:p>
            <w:pPr>
              <w:pStyle w:val="TableContents"/>
              <w:spacing w:lineRule="auto" w:line="328" w:before="0" w:after="0"/>
              <w:ind w:left="0" w:right="0" w:hanging="0"/>
              <w:rPr/>
            </w:pPr>
            <w:r>
              <w:rPr/>
              <w:t>​</w:t>
            </w:r>
          </w:p>
        </w:tc>
        <w:tc>
          <w:tcPr>
            <w:tcW w:w="4756" w:type="dxa"/>
            <w:tcBorders/>
            <w:shd w:fill="auto" w:val="clear"/>
            <w:vAlign w:val="center"/>
          </w:tcPr>
          <w:p>
            <w:pPr>
              <w:pStyle w:val="TableContents"/>
              <w:spacing w:lineRule="auto" w:line="328" w:before="0" w:after="0"/>
              <w:ind w:left="0" w:right="0" w:hanging="0"/>
              <w:rPr>
                <w:rFonts w:ascii="Times New Roman;Times;serif" w:hAnsi="Times New Roman;Times;serif"/>
                <w:sz w:val="20"/>
              </w:rPr>
            </w:pPr>
            <w:r>
              <w:rPr>
                <w:rFonts w:ascii="Times New Roman;Times;serif" w:hAnsi="Times New Roman;Times;serif"/>
                <w:sz w:val="20"/>
              </w:rPr>
              <w:t>Kevin J. Brewer</w:t>
            </w:r>
          </w:p>
        </w:tc>
      </w:tr>
      <w:tr>
        <w:trPr/>
        <w:tc>
          <w:tcPr>
            <w:tcW w:w="1906" w:type="dxa"/>
            <w:tcBorders/>
            <w:shd w:fill="auto" w:val="clear"/>
            <w:vAlign w:val="center"/>
          </w:tcPr>
          <w:p>
            <w:pPr>
              <w:pStyle w:val="TableContents"/>
              <w:spacing w:lineRule="auto" w:line="328" w:before="0" w:after="0"/>
              <w:ind w:left="0" w:right="0" w:hanging="0"/>
              <w:rPr/>
            </w:pPr>
            <w:r>
              <w:rPr/>
              <w:t>​</w:t>
            </w:r>
          </w:p>
        </w:tc>
        <w:tc>
          <w:tcPr>
            <w:tcW w:w="406" w:type="dxa"/>
            <w:tcBorders/>
            <w:shd w:fill="auto" w:val="clear"/>
            <w:vAlign w:val="center"/>
          </w:tcPr>
          <w:p>
            <w:pPr>
              <w:pStyle w:val="TableContents"/>
              <w:spacing w:lineRule="auto" w:line="328" w:before="0" w:after="0"/>
              <w:ind w:left="0" w:right="0" w:hanging="0"/>
              <w:rPr/>
            </w:pPr>
            <w:r>
              <w:rPr/>
              <w:t>​</w:t>
            </w:r>
          </w:p>
        </w:tc>
        <w:tc>
          <w:tcPr>
            <w:tcW w:w="4756" w:type="dxa"/>
            <w:tcBorders/>
            <w:shd w:fill="auto" w:val="clear"/>
            <w:vAlign w:val="center"/>
          </w:tcPr>
          <w:p>
            <w:pPr>
              <w:pStyle w:val="TableContents"/>
              <w:spacing w:lineRule="auto" w:line="328" w:before="0" w:after="0"/>
              <w:ind w:left="0" w:right="0" w:hanging="0"/>
              <w:rPr>
                <w:rFonts w:ascii="Times New Roman;Times;serif" w:hAnsi="Times New Roman;Times;serif"/>
                <w:i/>
                <w:sz w:val="20"/>
              </w:rPr>
            </w:pPr>
            <w:r>
              <w:rPr>
                <w:rFonts w:ascii="Times New Roman;Times;serif" w:hAnsi="Times New Roman;Times;serif"/>
                <w:i/>
                <w:sz w:val="20"/>
              </w:rPr>
              <w:t>Executive Vice President and Chief Financial Officer</w:t>
            </w:r>
          </w:p>
        </w:tc>
      </w:tr>
      <w:tr>
        <w:trPr/>
        <w:tc>
          <w:tcPr>
            <w:tcW w:w="1906" w:type="dxa"/>
            <w:tcBorders/>
            <w:shd w:fill="auto" w:val="clear"/>
            <w:vAlign w:val="center"/>
          </w:tcPr>
          <w:p>
            <w:pPr>
              <w:pStyle w:val="TableContents"/>
              <w:spacing w:lineRule="auto" w:line="328" w:before="0" w:after="0"/>
              <w:ind w:left="0" w:right="0" w:hanging="0"/>
              <w:rPr/>
            </w:pPr>
            <w:r>
              <w:rPr/>
              <w:t>​</w:t>
            </w:r>
          </w:p>
        </w:tc>
        <w:tc>
          <w:tcPr>
            <w:tcW w:w="406" w:type="dxa"/>
            <w:tcBorders/>
            <w:shd w:fill="auto" w:val="clear"/>
            <w:vAlign w:val="center"/>
          </w:tcPr>
          <w:p>
            <w:pPr>
              <w:pStyle w:val="TableContents"/>
              <w:spacing w:lineRule="auto" w:line="328" w:before="0" w:after="0"/>
              <w:ind w:left="0" w:right="0" w:hanging="0"/>
              <w:rPr/>
            </w:pPr>
            <w:r>
              <w:rPr/>
              <w:t>​</w:t>
            </w:r>
          </w:p>
        </w:tc>
        <w:tc>
          <w:tcPr>
            <w:tcW w:w="4756" w:type="dxa"/>
            <w:tcBorders/>
            <w:shd w:fill="auto" w:val="clear"/>
            <w:vAlign w:val="center"/>
          </w:tcPr>
          <w:p>
            <w:pPr>
              <w:pStyle w:val="TableContents"/>
              <w:spacing w:lineRule="auto" w:line="328" w:before="0" w:after="0"/>
              <w:ind w:left="0" w:right="0" w:hanging="0"/>
              <w:rPr>
                <w:rFonts w:ascii="Times New Roman;Times;serif" w:hAnsi="Times New Roman;Times;serif"/>
                <w:i/>
                <w:sz w:val="20"/>
              </w:rPr>
            </w:pPr>
            <w:r>
              <w:rPr>
                <w:rFonts w:ascii="Times New Roman;Times;serif" w:hAnsi="Times New Roman;Times;serif"/>
                <w:i/>
                <w:sz w:val="20"/>
              </w:rPr>
              <w:t>Duly Authorized Officer and Principal Financial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r>
        <w:br w:type="page"/>
      </w:r>
    </w:p>
    <w:p>
      <w:pPr>
        <w:pStyle w:val="TextBody"/>
        <w:spacing w:lineRule="auto" w:line="285" w:before="0" w:after="0"/>
        <w:ind w:left="0" w:right="0" w:hanging="0"/>
        <w:jc w:val="right"/>
        <w:rPr>
          <w:rFonts w:ascii="Times New Roman;Times;serif" w:hAnsi="Times New Roman;Times;serif"/>
          <w:b/>
          <w:sz w:val="20"/>
        </w:rPr>
      </w:pPr>
      <w:bookmarkStart w:id="920" w:name="acls-20230331xex31d1.htm"/>
      <w:bookmarkStart w:id="921" w:name="ksacls20230331xex31d1"/>
      <w:bookmarkEnd w:id="920"/>
      <w:bookmarkEnd w:id="921"/>
      <w:r>
        <w:rPr>
          <w:rFonts w:ascii="Times New Roman;Times;serif" w:hAnsi="Times New Roman;Times;serif"/>
          <w:b/>
          <w:sz w:val="20"/>
        </w:rPr>
        <w:t>Exhibit 31.1</w:t>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of the Principal Executive Officer</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(implementing Section 302 of the Sarbanes-Oxley Act)</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I, Mary G. Puma, certify that:</w:t>
      </w:r>
    </w:p>
    <w:p>
      <w:pPr>
        <w:pStyle w:val="TextBody"/>
        <w:spacing w:lineRule="auto" w:line="285" w:before="0" w:after="0"/>
        <w:ind w:left="0" w:right="0" w:hanging="0"/>
        <w:rPr/>
      </w:pPr>
      <w:r>
        <w:rPr/>
        <w:t>​</w:t>
      </w:r>
    </w:p>
    <w:p>
      <w:pPr>
        <w:pStyle w:val="TextBody"/>
        <w:pBdr/>
        <w:spacing w:lineRule="auto" w:line="285" w:before="0" w:after="0"/>
        <w:ind w:left="0" w:right="0" w:hanging="550"/>
        <w:rPr>
          <w:rFonts w:ascii="Times New Roman;Times;serif" w:hAnsi="Times New Roman;Times;serif"/>
          <w:sz w:val="20"/>
        </w:rPr>
      </w:pPr>
      <w:r>
        <w:rPr>
          <w:rFonts w:ascii="Times New Roman;Times;serif" w:hAnsi="Times New Roman;Times;serif"/>
          <w:sz w:val="20"/>
        </w:rPr>
        <w:t>1.        I have reviewed this quarterly report on Form 10-Q of Axcelis Technologies, Inc.;</w:t>
      </w:r>
    </w:p>
    <w:p>
      <w:pPr>
        <w:pStyle w:val="TextBody"/>
        <w:spacing w:lineRule="auto" w:line="285" w:before="0" w:after="0"/>
        <w:ind w:left="0" w:right="0" w:hanging="0"/>
        <w:rPr/>
      </w:pPr>
      <w:r>
        <w:rPr/>
        <w:t>​</w:t>
      </w:r>
    </w:p>
    <w:p>
      <w:pPr>
        <w:pStyle w:val="TextBody"/>
        <w:pBdr/>
        <w:spacing w:lineRule="auto" w:line="285" w:before="0" w:after="0"/>
        <w:ind w:left="0" w:right="0" w:hanging="55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5" w:before="0" w:after="0"/>
        <w:ind w:left="0" w:right="0" w:hanging="0"/>
        <w:rPr/>
      </w:pPr>
      <w:r>
        <w:rPr/>
        <w:t>​</w:t>
      </w:r>
    </w:p>
    <w:p>
      <w:pPr>
        <w:pStyle w:val="TextBody"/>
        <w:pBdr/>
        <w:spacing w:lineRule="auto" w:line="285" w:before="0" w:after="0"/>
        <w:ind w:left="0" w:right="0" w:hanging="55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5" w:before="0" w:after="0"/>
        <w:ind w:left="0" w:right="0" w:hanging="0"/>
        <w:rPr/>
      </w:pPr>
      <w:r>
        <w:rPr/>
        <w:t>​</w:t>
      </w:r>
    </w:p>
    <w:p>
      <w:pPr>
        <w:pStyle w:val="TextBody"/>
        <w:pBdr/>
        <w:spacing w:lineRule="auto" w:line="285" w:before="0" w:after="0"/>
        <w:ind w:left="0" w:right="0" w:hanging="550"/>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5" w:before="0" w:after="0"/>
        <w:ind w:left="0" w:right="0" w:hanging="0"/>
        <w:rPr/>
      </w:pPr>
      <w:r>
        <w:rPr/>
        <w:t>​</w:t>
      </w:r>
    </w:p>
    <w:p>
      <w:pPr>
        <w:pStyle w:val="TextBody"/>
        <w:pBdr/>
        <w:spacing w:lineRule="auto" w:line="285" w:before="0" w:after="0"/>
        <w:ind w:left="572" w:right="0" w:hanging="550"/>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5" w:before="0" w:after="0"/>
        <w:ind w:left="0" w:right="0" w:hanging="0"/>
        <w:rPr/>
      </w:pPr>
      <w:r>
        <w:rPr/>
        <w:t>​</w:t>
      </w:r>
    </w:p>
    <w:p>
      <w:pPr>
        <w:pStyle w:val="TextBody"/>
        <w:pBdr/>
        <w:spacing w:lineRule="auto" w:line="285" w:before="0" w:after="0"/>
        <w:ind w:left="572" w:right="0" w:hanging="550"/>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5" w:before="0" w:after="0"/>
        <w:ind w:left="0" w:right="0" w:hanging="0"/>
        <w:rPr/>
      </w:pPr>
      <w:r>
        <w:rPr/>
        <w:t>​</w:t>
      </w:r>
    </w:p>
    <w:p>
      <w:pPr>
        <w:pStyle w:val="TextBody"/>
        <w:pBdr/>
        <w:spacing w:lineRule="auto" w:line="285" w:before="0" w:after="0"/>
        <w:ind w:left="572" w:right="0" w:hanging="550"/>
        <w:rPr>
          <w:rFonts w:ascii="Times New Roman;Times;serif" w:hAnsi="Times New Roman;Times;serif"/>
          <w:sz w:val="10"/>
        </w:rPr>
      </w:pPr>
      <w:r>
        <w:rPr>
          <w:rFonts w:ascii="Times New Roman;Times;serif" w:hAnsi="Times New Roman;Times;serif"/>
          <w:sz w:val="20"/>
        </w:rPr>
        <w:t>(c)      </w:t>
      </w:r>
      <w:r>
        <w:rPr>
          <w:rFonts w:ascii="Times New Roman;Times;serif" w:hAnsi="Times New Roman;Times;serif"/>
          <w:sz w:val="10"/>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5" w:before="0" w:after="0"/>
        <w:ind w:left="0" w:right="0" w:hanging="0"/>
        <w:rPr/>
      </w:pPr>
      <w:r>
        <w:rPr/>
        <w:t>​</w:t>
      </w:r>
    </w:p>
    <w:p>
      <w:pPr>
        <w:pStyle w:val="TextBody"/>
        <w:pBdr/>
        <w:spacing w:lineRule="auto" w:line="285" w:before="0" w:after="0"/>
        <w:ind w:left="572" w:right="0" w:hanging="550"/>
        <w:rPr>
          <w:rFonts w:ascii="Times New Roman;Times;serif" w:hAnsi="Times New Roman;Times;serif"/>
          <w:sz w:val="10"/>
        </w:rPr>
      </w:pPr>
      <w:r>
        <w:rPr>
          <w:rFonts w:ascii="Times New Roman;Times;serif" w:hAnsi="Times New Roman;Times;serif"/>
          <w:sz w:val="20"/>
        </w:rPr>
        <w:t>(d)      </w:t>
      </w:r>
      <w:r>
        <w:rPr>
          <w:rFonts w:ascii="Times New Roman;Times;serif" w:hAnsi="Times New Roman;Times;serif"/>
          <w:sz w:val="10"/>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5" w:before="0" w:after="0"/>
        <w:ind w:left="0" w:right="0" w:hanging="0"/>
        <w:rPr/>
      </w:pPr>
      <w:r>
        <w:rPr/>
        <w:t>​</w:t>
      </w:r>
    </w:p>
    <w:p>
      <w:pPr>
        <w:pStyle w:val="TextBody"/>
        <w:pBdr/>
        <w:spacing w:lineRule="auto" w:line="285" w:before="0" w:after="0"/>
        <w:ind w:left="0" w:right="0" w:hanging="550"/>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5" w:before="0" w:after="0"/>
        <w:ind w:left="0" w:right="0" w:hanging="0"/>
        <w:rPr/>
      </w:pPr>
      <w:r>
        <w:rPr/>
        <w:t>​</w:t>
      </w:r>
    </w:p>
    <w:p>
      <w:pPr>
        <w:pStyle w:val="TextBody"/>
        <w:pBdr/>
        <w:spacing w:lineRule="auto" w:line="285" w:before="0" w:after="0"/>
        <w:ind w:left="572" w:right="0" w:hanging="550"/>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5" w:before="0" w:after="0"/>
        <w:ind w:left="0" w:right="0" w:hanging="0"/>
        <w:rPr/>
      </w:pPr>
      <w:r>
        <w:rPr/>
        <w:t>​</w:t>
      </w:r>
    </w:p>
    <w:p>
      <w:pPr>
        <w:pStyle w:val="TextBody"/>
        <w:pBdr/>
        <w:spacing w:lineRule="auto" w:line="285" w:before="0" w:after="0"/>
        <w:ind w:left="572" w:right="0" w:hanging="550"/>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spacing w:lineRule="auto" w:line="285" w:before="0" w:after="0"/>
        <w:ind w:left="0" w:right="0" w:hanging="0"/>
        <w:rPr/>
      </w:pPr>
      <w:r>
        <w:rPr/>
        <w:t>​</w:t>
      </w:r>
    </w:p>
    <w:tbl>
      <w:tblPr>
        <w:tblW w:w="4877" w:type="dxa"/>
        <w:jc w:val="left"/>
        <w:tblInd w:w="0" w:type="dxa"/>
        <w:tblCellMar>
          <w:top w:w="0" w:type="dxa"/>
          <w:left w:w="0" w:type="dxa"/>
          <w:bottom w:w="0" w:type="dxa"/>
          <w:right w:w="0" w:type="dxa"/>
        </w:tblCellMar>
      </w:tblPr>
      <w:tblGrid>
        <w:gridCol w:w="1636"/>
        <w:gridCol w:w="3241"/>
      </w:tblGrid>
      <w:tr>
        <w:trPr/>
        <w:tc>
          <w:tcPr>
            <w:tcW w:w="1636" w:type="dxa"/>
            <w:tcBorders/>
            <w:shd w:fill="auto" w:val="clear"/>
            <w:vAlign w:val="center"/>
          </w:tcPr>
          <w:p>
            <w:pPr>
              <w:pStyle w:val="TableContents"/>
              <w:spacing w:lineRule="auto" w:line="285" w:before="0" w:after="0"/>
              <w:ind w:left="0" w:right="0" w:hanging="0"/>
              <w:rPr/>
            </w:pPr>
            <w:r>
              <w:rPr/>
              <w:t>​</w:t>
            </w:r>
          </w:p>
        </w:tc>
        <w:tc>
          <w:tcPr>
            <w:tcW w:w="3241" w:type="dxa"/>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5, 2023</w:t>
            </w:r>
          </w:p>
        </w:tc>
        <w:tc>
          <w:tcPr>
            <w:tcW w:w="324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MARY G. PUMA</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3241" w:type="dxa"/>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32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Mary G. Puma,</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3241" w:type="dxa"/>
            <w:tcBorders/>
            <w:shd w:fill="auto" w:val="clear"/>
            <w:vAlign w:val="center"/>
          </w:tcPr>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spacing w:lineRule="auto" w:line="285" w:before="0" w:after="0"/>
        <w:ind w:left="0" w:right="0" w:hanging="0"/>
        <w:rPr/>
      </w:pPr>
      <w:r>
        <w:rPr/>
        <w:t>​</w:t>
      </w:r>
    </w:p>
    <w:p>
      <w:pPr>
        <w:pStyle w:val="HorizontalLine"/>
        <w:rPr/>
      </w:pPr>
      <w:r>
        <w:rPr/>
      </w:r>
      <w:r>
        <w:br w:type="page"/>
      </w:r>
    </w:p>
    <w:p>
      <w:pPr>
        <w:pStyle w:val="TextBody"/>
        <w:spacing w:lineRule="auto" w:line="285" w:before="0" w:after="0"/>
        <w:ind w:left="0" w:right="0" w:hanging="0"/>
        <w:rPr/>
      </w:pPr>
      <w:bookmarkStart w:id="922" w:name="acls-20230331xex31d2.htm"/>
      <w:bookmarkStart w:id="923" w:name="ksacls20230331xex31d2"/>
      <w:bookmarkEnd w:id="922"/>
      <w:bookmarkEnd w:id="923"/>
      <w:r>
        <w:rPr/>
        <w:t>​</w:t>
      </w:r>
    </w:p>
    <w:p>
      <w:pPr>
        <w:pStyle w:val="TextBody"/>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of the Principal Financial Officer</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(implementing Section 302 of the Sarbanes-Oxley Act)</w:t>
      </w:r>
    </w:p>
    <w:p>
      <w:pPr>
        <w:pStyle w:val="TextBody"/>
        <w:spacing w:lineRule="auto" w:line="285" w:before="0" w:after="0"/>
        <w:ind w:left="0" w:right="0" w:hanging="0"/>
        <w:rPr/>
      </w:pPr>
      <w:r>
        <w:rPr/>
        <w:t>​</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I, Kevin J. Brewer, certify that:</w:t>
      </w:r>
    </w:p>
    <w:p>
      <w:pPr>
        <w:pStyle w:val="TextBody"/>
        <w:spacing w:lineRule="auto" w:line="285" w:before="0" w:after="0"/>
        <w:ind w:left="0" w:right="0" w:hanging="0"/>
        <w:rPr/>
      </w:pPr>
      <w:r>
        <w:rPr/>
        <w:t>​</w:t>
      </w:r>
    </w:p>
    <w:p>
      <w:pPr>
        <w:pStyle w:val="TextBody"/>
        <w:pBdr/>
        <w:spacing w:lineRule="auto" w:line="285" w:before="0" w:after="0"/>
        <w:ind w:left="0" w:right="0" w:hanging="550"/>
        <w:rPr>
          <w:rFonts w:ascii="Times New Roman;Times;serif" w:hAnsi="Times New Roman;Times;serif"/>
          <w:sz w:val="20"/>
        </w:rPr>
      </w:pPr>
      <w:r>
        <w:rPr>
          <w:rFonts w:ascii="Times New Roman;Times;serif" w:hAnsi="Times New Roman;Times;serif"/>
          <w:sz w:val="20"/>
        </w:rPr>
        <w:t>1.        I have reviewed this quarterly report on Form 10-Q of Axcelis Technologies, Inc.;</w:t>
      </w:r>
    </w:p>
    <w:p>
      <w:pPr>
        <w:pStyle w:val="TextBody"/>
        <w:spacing w:lineRule="auto" w:line="285" w:before="0" w:after="0"/>
        <w:ind w:left="0" w:right="0" w:hanging="0"/>
        <w:rPr/>
      </w:pPr>
      <w:r>
        <w:rPr/>
        <w:t>​</w:t>
      </w:r>
    </w:p>
    <w:p>
      <w:pPr>
        <w:pStyle w:val="TextBody"/>
        <w:pBdr/>
        <w:spacing w:lineRule="auto" w:line="285" w:before="0" w:after="0"/>
        <w:ind w:left="0" w:right="0" w:hanging="55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5" w:before="0" w:after="0"/>
        <w:ind w:left="0" w:right="0" w:hanging="0"/>
        <w:rPr/>
      </w:pPr>
      <w:r>
        <w:rPr/>
        <w:t>​</w:t>
      </w:r>
    </w:p>
    <w:p>
      <w:pPr>
        <w:pStyle w:val="TextBody"/>
        <w:pBdr/>
        <w:spacing w:lineRule="auto" w:line="285" w:before="0" w:after="0"/>
        <w:ind w:left="0" w:right="0" w:hanging="55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5" w:before="0" w:after="0"/>
        <w:ind w:left="0" w:right="0" w:hanging="0"/>
        <w:rPr/>
      </w:pPr>
      <w:r>
        <w:rPr/>
        <w:t>​</w:t>
      </w:r>
    </w:p>
    <w:p>
      <w:pPr>
        <w:pStyle w:val="TextBody"/>
        <w:pBdr/>
        <w:spacing w:lineRule="auto" w:line="285" w:before="0" w:after="0"/>
        <w:ind w:left="0" w:right="0" w:hanging="550"/>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5" w:before="0" w:after="0"/>
        <w:ind w:left="0" w:right="0" w:hanging="0"/>
        <w:rPr/>
      </w:pPr>
      <w:r>
        <w:rPr/>
        <w:t>​</w:t>
      </w:r>
    </w:p>
    <w:p>
      <w:pPr>
        <w:pStyle w:val="TextBody"/>
        <w:pBdr/>
        <w:spacing w:lineRule="auto" w:line="285" w:before="0" w:after="0"/>
        <w:ind w:left="572" w:right="0" w:hanging="550"/>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5" w:before="0" w:after="0"/>
        <w:ind w:left="0" w:right="0" w:hanging="0"/>
        <w:rPr/>
      </w:pPr>
      <w:r>
        <w:rPr/>
        <w:t>​</w:t>
      </w:r>
    </w:p>
    <w:p>
      <w:pPr>
        <w:pStyle w:val="TextBody"/>
        <w:pBdr/>
        <w:spacing w:lineRule="auto" w:line="285" w:before="0" w:after="0"/>
        <w:ind w:left="572" w:right="0" w:hanging="550"/>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5" w:before="0" w:after="0"/>
        <w:ind w:left="0" w:right="0" w:hanging="0"/>
        <w:rPr/>
      </w:pPr>
      <w:r>
        <w:rPr/>
        <w:t>​</w:t>
      </w:r>
    </w:p>
    <w:p>
      <w:pPr>
        <w:pStyle w:val="TextBody"/>
        <w:pBdr/>
        <w:spacing w:lineRule="auto" w:line="285" w:before="0" w:after="0"/>
        <w:ind w:left="572" w:right="0" w:hanging="550"/>
        <w:rPr>
          <w:rFonts w:ascii="Times New Roman;Times;serif" w:hAnsi="Times New Roman;Times;serif"/>
          <w:sz w:val="10"/>
        </w:rPr>
      </w:pPr>
      <w:r>
        <w:rPr>
          <w:rFonts w:ascii="Times New Roman;Times;serif" w:hAnsi="Times New Roman;Times;serif"/>
          <w:sz w:val="20"/>
        </w:rPr>
        <w:t>(c)      </w:t>
      </w:r>
      <w:r>
        <w:rPr>
          <w:rFonts w:ascii="Times New Roman;Times;serif" w:hAnsi="Times New Roman;Times;serif"/>
          <w:sz w:val="10"/>
        </w:rPr>
        <w:t> </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5" w:before="0" w:after="0"/>
        <w:ind w:left="0" w:right="0" w:hanging="0"/>
        <w:rPr/>
      </w:pPr>
      <w:r>
        <w:rPr/>
        <w:t>​</w:t>
      </w:r>
    </w:p>
    <w:p>
      <w:pPr>
        <w:pStyle w:val="TextBody"/>
        <w:pBdr/>
        <w:spacing w:lineRule="auto" w:line="285" w:before="0" w:after="0"/>
        <w:ind w:left="572" w:right="0" w:hanging="550"/>
        <w:rPr>
          <w:rFonts w:ascii="Times New Roman;Times;serif" w:hAnsi="Times New Roman;Times;serif"/>
          <w:sz w:val="10"/>
        </w:rPr>
      </w:pPr>
      <w:r>
        <w:rPr>
          <w:rFonts w:ascii="Times New Roman;Times;serif" w:hAnsi="Times New Roman;Times;serif"/>
          <w:sz w:val="20"/>
        </w:rPr>
        <w:t>(d)      </w:t>
      </w:r>
      <w:r>
        <w:rPr>
          <w:rFonts w:ascii="Times New Roman;Times;serif" w:hAnsi="Times New Roman;Times;serif"/>
          <w:sz w:val="10"/>
        </w:rPr>
        <w:t> </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5" w:before="0" w:after="0"/>
        <w:ind w:left="0" w:right="0" w:hanging="0"/>
        <w:rPr/>
      </w:pPr>
      <w:r>
        <w:rPr/>
        <w:t>​</w:t>
      </w:r>
    </w:p>
    <w:p>
      <w:pPr>
        <w:pStyle w:val="TextBody"/>
        <w:pBdr/>
        <w:spacing w:lineRule="auto" w:line="285" w:before="0" w:after="0"/>
        <w:ind w:left="0" w:right="0" w:hanging="550"/>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5" w:before="0" w:after="0"/>
        <w:ind w:left="0" w:right="0" w:hanging="0"/>
        <w:rPr/>
      </w:pPr>
      <w:r>
        <w:rPr/>
        <w:t>​</w:t>
      </w:r>
    </w:p>
    <w:p>
      <w:pPr>
        <w:pStyle w:val="TextBody"/>
        <w:pBdr/>
        <w:spacing w:lineRule="auto" w:line="285" w:before="0" w:after="0"/>
        <w:ind w:left="572" w:right="0" w:hanging="550"/>
        <w:rPr>
          <w:rFonts w:ascii="Times New Roman;Times;serif" w:hAnsi="Times New Roman;Times;serif"/>
          <w:sz w:val="10"/>
        </w:rPr>
      </w:pPr>
      <w:r>
        <w:rPr>
          <w:rFonts w:ascii="Times New Roman;Times;serif" w:hAnsi="Times New Roman;Times;serif"/>
          <w:sz w:val="20"/>
        </w:rPr>
        <w:t>(a)      </w:t>
      </w:r>
      <w:r>
        <w:rPr>
          <w:rFonts w:ascii="Times New Roman;Times;serif" w:hAnsi="Times New Roman;Times;serif"/>
          <w:sz w:val="10"/>
        </w:rPr>
        <w:t> </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5" w:before="0" w:after="0"/>
        <w:ind w:left="0" w:right="0" w:hanging="0"/>
        <w:rPr/>
      </w:pPr>
      <w:r>
        <w:rPr/>
        <w:t>​</w:t>
      </w:r>
    </w:p>
    <w:p>
      <w:pPr>
        <w:pStyle w:val="TextBody"/>
        <w:pBdr/>
        <w:spacing w:lineRule="auto" w:line="285" w:before="0" w:after="0"/>
        <w:ind w:left="572" w:right="0" w:hanging="550"/>
        <w:rPr>
          <w:rFonts w:ascii="Times New Roman;Times;serif" w:hAnsi="Times New Roman;Times;serif"/>
          <w:sz w:val="10"/>
        </w:rPr>
      </w:pPr>
      <w:r>
        <w:rPr>
          <w:rFonts w:ascii="Times New Roman;Times;serif" w:hAnsi="Times New Roman;Times;serif"/>
          <w:sz w:val="20"/>
        </w:rPr>
        <w:t>(b)      </w:t>
      </w:r>
      <w:r>
        <w:rPr>
          <w:rFonts w:ascii="Times New Roman;Times;serif" w:hAnsi="Times New Roman;Times;serif"/>
          <w:sz w:val="10"/>
        </w:rPr>
        <w:t> </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spacing w:lineRule="auto" w:line="285" w:before="0" w:after="0"/>
        <w:ind w:left="0" w:right="0" w:hanging="0"/>
        <w:rPr/>
      </w:pPr>
      <w:r>
        <w:rPr/>
        <w:t>​</w:t>
      </w:r>
    </w:p>
    <w:tbl>
      <w:tblPr>
        <w:tblW w:w="6137" w:type="dxa"/>
        <w:jc w:val="left"/>
        <w:tblInd w:w="0" w:type="dxa"/>
        <w:tblCellMar>
          <w:top w:w="0" w:type="dxa"/>
          <w:left w:w="0" w:type="dxa"/>
          <w:bottom w:w="0" w:type="dxa"/>
          <w:right w:w="0" w:type="dxa"/>
        </w:tblCellMar>
      </w:tblPr>
      <w:tblGrid>
        <w:gridCol w:w="1636"/>
        <w:gridCol w:w="4501"/>
      </w:tblGrid>
      <w:tr>
        <w:trPr/>
        <w:tc>
          <w:tcPr>
            <w:tcW w:w="1636" w:type="dxa"/>
            <w:tcBorders/>
            <w:shd w:fill="auto" w:val="clear"/>
            <w:vAlign w:val="center"/>
          </w:tcPr>
          <w:p>
            <w:pPr>
              <w:pStyle w:val="TableContents"/>
              <w:spacing w:lineRule="auto" w:line="285" w:before="0" w:after="0"/>
              <w:ind w:left="0" w:right="0" w:hanging="0"/>
              <w:rPr/>
            </w:pPr>
            <w:r>
              <w:rPr/>
              <w:t>​</w:t>
            </w:r>
          </w:p>
        </w:tc>
        <w:tc>
          <w:tcPr>
            <w:tcW w:w="4501" w:type="dxa"/>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5, 2023</w:t>
            </w:r>
          </w:p>
        </w:tc>
        <w:tc>
          <w:tcPr>
            <w:tcW w:w="450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KEVIN J. BREWER</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4501" w:type="dxa"/>
            <w:tcBorders/>
            <w:shd w:fill="auto" w:val="clear"/>
            <w:vAlign w:val="center"/>
          </w:tcPr>
          <w:p>
            <w:pPr>
              <w:pStyle w:val="TableContents"/>
              <w:spacing w:lineRule="auto" w:line="285" w:before="0" w:after="0"/>
              <w:ind w:left="0" w:right="0" w:hanging="0"/>
              <w:rPr/>
            </w:pPr>
            <w:r>
              <w:rPr/>
              <w:t>​</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450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Kevin J. Brewer,</w:t>
            </w:r>
          </w:p>
        </w:tc>
      </w:tr>
      <w:tr>
        <w:trPr/>
        <w:tc>
          <w:tcPr>
            <w:tcW w:w="1636" w:type="dxa"/>
            <w:tcBorders/>
            <w:shd w:fill="auto" w:val="clear"/>
            <w:vAlign w:val="center"/>
          </w:tcPr>
          <w:p>
            <w:pPr>
              <w:pStyle w:val="TableContents"/>
              <w:spacing w:lineRule="auto" w:line="285" w:before="0" w:after="0"/>
              <w:ind w:left="0" w:right="0" w:hanging="0"/>
              <w:rPr/>
            </w:pPr>
            <w:r>
              <w:rPr/>
              <w:t>​</w:t>
            </w:r>
          </w:p>
        </w:tc>
        <w:tc>
          <w:tcPr>
            <w:tcW w:w="4501" w:type="dxa"/>
            <w:tcBorders/>
            <w:shd w:fill="auto" w:val="clear"/>
            <w:vAlign w:val="center"/>
          </w:tcPr>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HorizontalLine"/>
        <w:rPr/>
      </w:pPr>
      <w:r>
        <w:rPr/>
      </w:r>
      <w:r>
        <w:br w:type="page"/>
      </w:r>
    </w:p>
    <w:p>
      <w:pPr>
        <w:pStyle w:val="TextBody"/>
        <w:spacing w:lineRule="auto" w:line="285" w:before="0" w:after="0"/>
        <w:ind w:left="0" w:right="0" w:hanging="0"/>
        <w:rPr/>
      </w:pPr>
      <w:bookmarkStart w:id="924" w:name="acls-20230331xex32d1.htm"/>
      <w:bookmarkStart w:id="925" w:name="ksacls20230331xex32d1"/>
      <w:bookmarkEnd w:id="924"/>
      <w:bookmarkEnd w:id="925"/>
      <w:r>
        <w:rPr/>
        <w:t>​</w:t>
      </w:r>
    </w:p>
    <w:p>
      <w:pPr>
        <w:pStyle w:val="TextBody"/>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1350 of Chapter 63 of title 18 of the United States Code</w:t>
      </w:r>
    </w:p>
    <w:p>
      <w:pPr>
        <w:pStyle w:val="TextBody"/>
        <w:spacing w:lineRule="auto" w:line="285" w:before="0" w:after="0"/>
        <w:ind w:left="0" w:right="0" w:hanging="0"/>
        <w:rPr/>
      </w:pPr>
      <w:r>
        <w:rPr/>
        <w:t>​</w:t>
      </w:r>
    </w:p>
    <w:p>
      <w:pPr>
        <w:pStyle w:val="TextBody"/>
        <w:spacing w:lineRule="auto" w:line="285" w:before="0" w:after="0"/>
        <w:ind w:left="0" w:right="0" w:firstLine="550"/>
        <w:rPr>
          <w:rFonts w:ascii="Times New Roman;Times;serif" w:hAnsi="Times New Roman;Times;serif"/>
          <w:sz w:val="20"/>
        </w:rPr>
      </w:pPr>
      <w:r>
        <w:rPr>
          <w:rFonts w:ascii="Times New Roman;Times;serif" w:hAnsi="Times New Roman;Times;serif"/>
          <w:sz w:val="20"/>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pStyle w:val="TextBody"/>
        <w:spacing w:lineRule="auto" w:line="285" w:before="0" w:after="0"/>
        <w:ind w:left="0" w:right="0" w:hanging="0"/>
        <w:rPr/>
      </w:pPr>
      <w:r>
        <w:rPr/>
        <w:t>​</w:t>
      </w:r>
    </w:p>
    <w:p>
      <w:pPr>
        <w:pStyle w:val="TextBody"/>
        <w:spacing w:lineRule="auto" w:line="285" w:before="0" w:after="0"/>
        <w:ind w:left="0" w:right="0" w:firstLine="550"/>
        <w:rPr>
          <w:rFonts w:ascii="Times New Roman;Times;serif" w:hAnsi="Times New Roman;Times;serif"/>
          <w:sz w:val="20"/>
        </w:rPr>
      </w:pPr>
      <w:r>
        <w:rPr>
          <w:rFonts w:ascii="Times New Roman;Times;serif" w:hAnsi="Times New Roman;Times;serif"/>
          <w:sz w:val="20"/>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pStyle w:val="TextBody"/>
        <w:spacing w:lineRule="auto" w:line="285" w:before="0" w:after="0"/>
        <w:ind w:left="0" w:right="0" w:hanging="0"/>
        <w:rPr/>
      </w:pPr>
      <w:r>
        <w:rPr/>
        <w:t>​</w:t>
      </w:r>
    </w:p>
    <w:p>
      <w:pPr>
        <w:pStyle w:val="TextBody"/>
        <w:spacing w:lineRule="auto" w:line="285" w:before="0" w:after="0"/>
        <w:ind w:left="0" w:right="0" w:firstLine="550"/>
        <w:rPr>
          <w:rFonts w:ascii="Times New Roman;Times;serif" w:hAnsi="Times New Roman;Times;serif"/>
          <w:sz w:val="20"/>
        </w:rPr>
      </w:pPr>
      <w:r>
        <w:rPr>
          <w:rFonts w:ascii="Times New Roman;Times;serif" w:hAnsi="Times New Roman;Times;serif"/>
          <w:sz w:val="20"/>
        </w:rPr>
        <w:t>IN WITNESS WHEREOF, the undersigned has executed this Certification as of May 5, 2023.</w:t>
      </w:r>
    </w:p>
    <w:p>
      <w:pPr>
        <w:pStyle w:val="TextBody"/>
        <w:spacing w:lineRule="auto" w:line="285" w:before="0" w:after="0"/>
        <w:ind w:left="0" w:right="0" w:hanging="0"/>
        <w:rPr/>
      </w:pPr>
      <w:r>
        <w:rPr/>
        <w:t>​</w:t>
      </w:r>
    </w:p>
    <w:tbl>
      <w:tblPr>
        <w:tblW w:w="5735" w:type="dxa"/>
        <w:jc w:val="left"/>
        <w:tblInd w:w="0" w:type="dxa"/>
        <w:tblCellMar>
          <w:top w:w="0" w:type="dxa"/>
          <w:left w:w="0" w:type="dxa"/>
          <w:bottom w:w="0" w:type="dxa"/>
          <w:right w:w="0" w:type="dxa"/>
        </w:tblCellMar>
      </w:tblPr>
      <w:tblGrid>
        <w:gridCol w:w="124"/>
        <w:gridCol w:w="5611"/>
      </w:tblGrid>
      <w:tr>
        <w:trPr/>
        <w:tc>
          <w:tcPr>
            <w:tcW w:w="124" w:type="dxa"/>
            <w:tcBorders/>
            <w:shd w:fill="auto" w:val="clear"/>
            <w:vAlign w:val="center"/>
          </w:tcPr>
          <w:p>
            <w:pPr>
              <w:pStyle w:val="TableContents"/>
              <w:spacing w:lineRule="auto" w:line="285" w:before="0" w:after="0"/>
              <w:ind w:left="0" w:right="0" w:hanging="0"/>
              <w:rPr/>
            </w:pPr>
            <w:r>
              <w:rPr/>
              <w:t>​</w:t>
            </w:r>
          </w:p>
        </w:tc>
        <w:tc>
          <w:tcPr>
            <w:tcW w:w="5611" w:type="dxa"/>
            <w:tcBorders/>
            <w:shd w:fill="auto" w:val="clear"/>
            <w:vAlign w:val="center"/>
          </w:tcPr>
          <w:p>
            <w:pPr>
              <w:pStyle w:val="TableContents"/>
              <w:spacing w:lineRule="auto" w:line="285" w:before="0" w:after="0"/>
              <w:ind w:left="0" w:right="0" w:hanging="0"/>
              <w:rPr/>
            </w:pPr>
            <w:r>
              <w:rPr/>
              <w:t>​</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561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MARY G. PUMA</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5611" w:type="dxa"/>
            <w:tcBorders/>
            <w:shd w:fill="auto" w:val="clear"/>
            <w:vAlign w:val="center"/>
          </w:tcPr>
          <w:p>
            <w:pPr>
              <w:pStyle w:val="TableContents"/>
              <w:spacing w:lineRule="auto" w:line="285" w:before="0" w:after="0"/>
              <w:ind w:left="0" w:right="0" w:hanging="0"/>
              <w:rPr/>
            </w:pPr>
            <w:r>
              <w:rPr/>
              <w:t>​</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56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Mary G. Puma</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5611" w:type="dxa"/>
            <w:tcBorders/>
            <w:shd w:fill="auto" w:val="clear"/>
            <w:vAlign w:val="center"/>
          </w:tcPr>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President and Chief Executive Officer of Axcelis Technologies, Inc.</w:t>
            </w:r>
          </w:p>
        </w:tc>
      </w:tr>
    </w:tbl>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HorizontalLine"/>
        <w:rPr/>
      </w:pPr>
      <w:r>
        <w:rPr/>
      </w:r>
      <w:r>
        <w:br w:type="page"/>
      </w:r>
    </w:p>
    <w:p>
      <w:pPr>
        <w:pStyle w:val="TextBody"/>
        <w:spacing w:lineRule="auto" w:line="285" w:before="0" w:after="0"/>
        <w:ind w:left="0" w:right="0" w:hanging="0"/>
        <w:rPr/>
      </w:pPr>
      <w:bookmarkStart w:id="926" w:name="acls-20230331xex32d2.htm"/>
      <w:bookmarkStart w:id="927" w:name="ksacls20230331xex32d2"/>
      <w:bookmarkEnd w:id="926"/>
      <w:bookmarkEnd w:id="927"/>
      <w:r>
        <w:rPr/>
        <w:t>​</w:t>
      </w:r>
    </w:p>
    <w:p>
      <w:pPr>
        <w:pStyle w:val="TextBody"/>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spacing w:lineRule="auto" w:line="285" w:before="0" w:after="0"/>
        <w:ind w:left="0" w:right="0" w:hanging="0"/>
        <w:rPr/>
      </w:pPr>
      <w:r>
        <w:rPr/>
        <w:t>​</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1350 of Chapter 63 of title 18 of the United States Code</w:t>
      </w:r>
    </w:p>
    <w:p>
      <w:pPr>
        <w:pStyle w:val="TextBody"/>
        <w:spacing w:lineRule="auto" w:line="285" w:before="0" w:after="0"/>
        <w:ind w:left="0" w:right="0" w:hanging="0"/>
        <w:rPr/>
      </w:pPr>
      <w:r>
        <w:rPr/>
        <w:t>​</w:t>
      </w:r>
    </w:p>
    <w:p>
      <w:pPr>
        <w:pStyle w:val="TextBody"/>
        <w:spacing w:lineRule="auto" w:line="285" w:before="0" w:after="0"/>
        <w:ind w:left="0" w:right="0" w:firstLine="550"/>
        <w:rPr>
          <w:rFonts w:ascii="Times New Roman;Times;serif" w:hAnsi="Times New Roman;Times;serif"/>
          <w:sz w:val="20"/>
        </w:rPr>
      </w:pPr>
      <w:r>
        <w:rPr>
          <w:rFonts w:ascii="Times New Roman;Times;serif" w:hAnsi="Times New Roman;Times;serif"/>
          <w:sz w:val="20"/>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pStyle w:val="TextBody"/>
        <w:spacing w:lineRule="auto" w:line="285" w:before="0" w:after="0"/>
        <w:ind w:left="0" w:right="0" w:hanging="0"/>
        <w:rPr/>
      </w:pPr>
      <w:r>
        <w:rPr/>
        <w:t>​</w:t>
      </w:r>
    </w:p>
    <w:p>
      <w:pPr>
        <w:pStyle w:val="TextBody"/>
        <w:spacing w:lineRule="auto" w:line="285" w:before="0" w:after="0"/>
        <w:ind w:left="0" w:right="0" w:firstLine="550"/>
        <w:rPr>
          <w:rFonts w:ascii="Times New Roman;Times;serif" w:hAnsi="Times New Roman;Times;serif"/>
          <w:sz w:val="20"/>
        </w:rPr>
      </w:pPr>
      <w:r>
        <w:rPr>
          <w:rFonts w:ascii="Times New Roman;Times;serif" w:hAnsi="Times New Roman;Times;serif"/>
          <w:sz w:val="20"/>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pStyle w:val="TextBody"/>
        <w:spacing w:lineRule="auto" w:line="285" w:before="0" w:after="0"/>
        <w:ind w:left="0" w:right="0" w:hanging="0"/>
        <w:rPr/>
      </w:pPr>
      <w:r>
        <w:rPr/>
        <w:t>​</w:t>
      </w:r>
    </w:p>
    <w:p>
      <w:pPr>
        <w:pStyle w:val="TextBody"/>
        <w:spacing w:lineRule="auto" w:line="285" w:before="0" w:after="0"/>
        <w:ind w:left="0" w:right="0" w:firstLine="550"/>
        <w:rPr>
          <w:rFonts w:ascii="Times New Roman;Times;serif" w:hAnsi="Times New Roman;Times;serif"/>
          <w:sz w:val="20"/>
        </w:rPr>
      </w:pPr>
      <w:r>
        <w:rPr>
          <w:rFonts w:ascii="Times New Roman;Times;serif" w:hAnsi="Times New Roman;Times;serif"/>
          <w:sz w:val="20"/>
        </w:rPr>
        <w:t>IN WITNESS WHEREOF, the undersigned has executed this Certification as of May 5, 2023.</w:t>
      </w:r>
    </w:p>
    <w:p>
      <w:pPr>
        <w:pStyle w:val="TextBody"/>
        <w:spacing w:lineRule="auto" w:line="285" w:before="0" w:after="0"/>
        <w:ind w:left="0" w:right="0" w:hanging="0"/>
        <w:rPr/>
      </w:pPr>
      <w:r>
        <w:rPr/>
        <w:t>​</w:t>
      </w:r>
    </w:p>
    <w:tbl>
      <w:tblPr>
        <w:tblW w:w="6995" w:type="dxa"/>
        <w:jc w:val="left"/>
        <w:tblInd w:w="0" w:type="dxa"/>
        <w:tblCellMar>
          <w:top w:w="0" w:type="dxa"/>
          <w:left w:w="0" w:type="dxa"/>
          <w:bottom w:w="0" w:type="dxa"/>
          <w:right w:w="0" w:type="dxa"/>
        </w:tblCellMar>
      </w:tblPr>
      <w:tblGrid>
        <w:gridCol w:w="124"/>
        <w:gridCol w:w="6871"/>
      </w:tblGrid>
      <w:tr>
        <w:trPr/>
        <w:tc>
          <w:tcPr>
            <w:tcW w:w="124" w:type="dxa"/>
            <w:tcBorders/>
            <w:shd w:fill="auto" w:val="clear"/>
            <w:vAlign w:val="center"/>
          </w:tcPr>
          <w:p>
            <w:pPr>
              <w:pStyle w:val="TableContents"/>
              <w:spacing w:lineRule="auto" w:line="285" w:before="0" w:after="0"/>
              <w:ind w:left="0" w:right="0" w:hanging="0"/>
              <w:rPr/>
            </w:pPr>
            <w:r>
              <w:rPr/>
              <w:t>​</w:t>
            </w:r>
          </w:p>
        </w:tc>
        <w:tc>
          <w:tcPr>
            <w:tcW w:w="6871" w:type="dxa"/>
            <w:tcBorders>
              <w:bottom w:val="single" w:sz="2"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KEVIN J. BREWER</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6871" w:type="dxa"/>
            <w:tcBorders/>
            <w:shd w:fill="auto" w:val="clear"/>
            <w:vAlign w:val="center"/>
          </w:tcPr>
          <w:p>
            <w:pPr>
              <w:pStyle w:val="TableContents"/>
              <w:spacing w:lineRule="auto" w:line="285" w:before="0" w:after="0"/>
              <w:ind w:left="0" w:right="0" w:hanging="0"/>
              <w:rPr/>
            </w:pPr>
            <w:r>
              <w:rPr/>
              <w:t>​</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687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Kevin J. Brewer</w:t>
            </w:r>
          </w:p>
        </w:tc>
      </w:tr>
      <w:tr>
        <w:trPr/>
        <w:tc>
          <w:tcPr>
            <w:tcW w:w="124" w:type="dxa"/>
            <w:tcBorders/>
            <w:shd w:fill="auto" w:val="clear"/>
            <w:vAlign w:val="center"/>
          </w:tcPr>
          <w:p>
            <w:pPr>
              <w:pStyle w:val="TableContents"/>
              <w:spacing w:lineRule="auto" w:line="285" w:before="0" w:after="0"/>
              <w:ind w:left="0" w:right="0" w:hanging="0"/>
              <w:rPr/>
            </w:pPr>
            <w:r>
              <w:rPr/>
              <w:t>​</w:t>
            </w:r>
          </w:p>
        </w:tc>
        <w:tc>
          <w:tcPr>
            <w:tcW w:w="6871" w:type="dxa"/>
            <w:tcBorders/>
            <w:shd w:fill="auto" w:val="clear"/>
            <w:vAlign w:val="center"/>
          </w:tcPr>
          <w:p>
            <w:pPr>
              <w:pStyle w:val="TableContents"/>
              <w:spacing w:lineRule="auto" w:line="285" w:before="0" w:after="0"/>
              <w:ind w:left="0" w:right="0" w:hanging="0"/>
              <w:rPr>
                <w:rFonts w:ascii="Times New Roman;Times;serif" w:hAnsi="Times New Roman;Times;serif"/>
                <w:i/>
                <w:sz w:val="20"/>
              </w:rPr>
            </w:pPr>
            <w:r>
              <w:rPr>
                <w:rFonts w:ascii="Times New Roman;Times;serif" w:hAnsi="Times New Roman;Times;serif"/>
                <w:i/>
                <w:sz w:val="20"/>
              </w:rPr>
              <w:t>Executive Vice President and Chief Financial Officer of Axcelis Technologies, Inc.</w:t>
            </w:r>
          </w:p>
        </w:tc>
      </w:tr>
    </w:tbl>
    <w:p>
      <w:pPr>
        <w:pStyle w:val="TextBody"/>
        <w:spacing w:lineRule="auto" w:line="285" w:before="0" w:after="0"/>
        <w:ind w:left="0" w:right="0" w:hanging="0"/>
        <w:rPr/>
      </w:pPr>
      <w:r>
        <w:rPr/>
        <w:t>​</w:t>
      </w:r>
    </w:p>
    <w:p>
      <w:pPr>
        <w:pStyle w:val="TextBody"/>
        <w:spacing w:lineRule="auto" w:line="285"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113232/000155837023002006/acls-20221231x10k.htm" TargetMode="External"/><Relationship Id="rId3" Type="http://schemas.openxmlformats.org/officeDocument/2006/relationships/hyperlink" Target="http://www.sec.gov/Archives/edgar/data/1113232/000155837017008078/acls-20170930ex31a83feb6.htm" TargetMode="External"/><Relationship Id="rId4" Type="http://schemas.openxmlformats.org/officeDocument/2006/relationships/hyperlink" Target="https://www.sec.gov/Archives/edgar/data/1113232/000110465922058781/tm2213765d1_ex3-2.htm" TargetMode="External"/><Relationship Id="rId5" Type="http://schemas.openxmlformats.org/officeDocument/2006/relationships/hyperlink" Target="https://www.sec.gov/Archives/edgar/data/1113232/000110465923046426/tm2313052d1_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11630</Words>
  <CharactersWithSpaces>77841</CharactersWithSpaces>
  <Paragraphs>4861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