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left"/>
        <w:rPr>
          <w:bdr w:val="single" w:sz="24" w:space="1" w:color="000000"/>
        </w:rPr>
      </w:pPr>
      <w:bookmarkStart w:id="0" w:name="acls-20231231x10k.htm"/>
      <w:bookmarkStart w:id="1" w:name="ksacls20231231x10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2"/>
        </w:rPr>
      </w:pPr>
      <w:bookmarkStart w:id="2" w:name="_44c312a0_592b_4c8f_a11e_566691be4fb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10-K</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TabmrkCUUk2PbxB3m6MTYg_3_1"/>
      <w:bookmarkStart w:id="4" w:name="Tc_VvSYgh35-UmItKku1-hW_Q_2_0"/>
      <w:bookmarkStart w:id="5" w:name="Tc_lEJtXz-tKU-GUvDyfOYM9Q_1_1"/>
      <w:bookmarkStart w:id="6" w:name="Tc_0TKg7E1J40aqOtvY1vmjXg_0_0"/>
      <w:bookmarkStart w:id="7" w:name="_437c6420_b144_4704_a5a9_e9b7c97ba649"/>
      <w:bookmarkStart w:id="8" w:name="Tc_TabmrkCUUk2PbxB3m6MTYg_3_1"/>
      <w:bookmarkStart w:id="9" w:name="Tc_VvSYgh35-UmItKku1-hW_Q_2_0"/>
      <w:bookmarkStart w:id="10" w:name="Tc_lEJtXz-tKU-GUvDyfOYM9Q_1_1"/>
      <w:bookmarkStart w:id="11" w:name="Tc_0TKg7E1J40aqOtvY1vmjXg_0_0"/>
      <w:bookmarkStart w:id="12" w:name="_437c6420_b144_4704_a5a9_e9b7c97ba649"/>
      <w:bookmarkEnd w:id="8"/>
      <w:bookmarkEnd w:id="9"/>
      <w:bookmarkEnd w:id="10"/>
      <w:bookmarkEnd w:id="11"/>
      <w:bookmarkEnd w:id="12"/>
    </w:p>
    <w:tbl>
      <w:tblPr>
        <w:tblW w:w="10205" w:type="dxa"/>
        <w:jc w:val="left"/>
        <w:tblInd w:w="0" w:type="dxa"/>
        <w:tblLayout w:type="fixed"/>
        <w:tblCellMar>
          <w:top w:w="0" w:type="dxa"/>
          <w:left w:w="0" w:type="dxa"/>
          <w:bottom w:w="0" w:type="dxa"/>
          <w:right w:w="0" w:type="dxa"/>
        </w:tblCellMar>
      </w:tblPr>
      <w:tblGrid>
        <w:gridCol w:w="809"/>
        <w:gridCol w:w="9396"/>
      </w:tblGrid>
      <w:tr>
        <w:trPr/>
        <w:tc>
          <w:tcPr>
            <w:tcW w:w="809" w:type="dxa"/>
            <w:tcBorders/>
            <w:vAlign w:val="center"/>
          </w:tcPr>
          <w:p>
            <w:pPr>
              <w:pStyle w:val="TableContents"/>
              <w:pBdr/>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(Mark One)</w:t>
            </w:r>
          </w:p>
        </w:tc>
        <w:tc>
          <w:tcPr>
            <w:tcW w:w="9396" w:type="dxa"/>
            <w:tcBorders/>
            <w:vAlign w:val="center"/>
          </w:tcPr>
          <w:p>
            <w:pPr>
              <w:pStyle w:val="TableContents"/>
              <w:bidi w:val="0"/>
              <w:spacing w:before="0" w:after="0"/>
              <w:ind w:left="0" w:right="0" w:hanging="0"/>
              <w:jc w:val="left"/>
              <w:rPr/>
            </w:pPr>
            <w:r>
              <w:rPr/>
              <w:t>​</w:t>
            </w:r>
          </w:p>
        </w:tc>
      </w:tr>
      <w:tr>
        <w:trPr/>
        <w:tc>
          <w:tcPr>
            <w:tcW w:w="809" w:type="dxa"/>
            <w:tcBorders/>
            <w:vAlign w:val="center"/>
          </w:tcPr>
          <w:p>
            <w:pPr>
              <w:pStyle w:val="TableContents"/>
              <w:pBdr/>
              <w:bidi w:val="0"/>
              <w:spacing w:before="0" w:after="0"/>
              <w:ind w:left="0" w:right="0" w:hanging="0"/>
              <w:jc w:val="center"/>
              <w:rPr/>
            </w:pPr>
            <w:r>
              <w:rPr/>
              <w:t>☒</w:t>
            </w:r>
          </w:p>
        </w:tc>
        <w:tc>
          <w:tcPr>
            <w:tcW w:w="93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ANNUAL REPORT PURSUANT TO SECTION 13 OR 15(d) OF THE SECURITIES EXCHANGE ACT OF 1934</w:t>
            </w:r>
          </w:p>
        </w:tc>
      </w:tr>
      <w:tr>
        <w:trPr/>
        <w:tc>
          <w:tcPr>
            <w:tcW w:w="10205" w:type="dxa"/>
            <w:gridSpan w:val="2"/>
            <w:tcBorders/>
            <w:vAlign w:val="center"/>
          </w:tcPr>
          <w:p>
            <w:pPr>
              <w:pStyle w:val="TableContents"/>
              <w:pBdr/>
              <w:bidi w:val="0"/>
              <w:spacing w:before="60" w:after="60"/>
              <w:ind w:left="0" w:right="0" w:hanging="0"/>
              <w:jc w:val="center"/>
              <w:rPr>
                <w:rFonts w:ascii="Times New Roman;Times;serif" w:hAnsi="Times New Roman;Times;serif"/>
                <w:b/>
                <w:sz w:val="18"/>
              </w:rPr>
            </w:pPr>
            <w:r>
              <w:rPr>
                <w:rFonts w:ascii="Times New Roman;Times;serif" w:hAnsi="Times New Roman;Times;serif"/>
                <w:b/>
                <w:sz w:val="18"/>
              </w:rPr>
              <w:t>For the fiscal year ended December 31, 2023</w:t>
            </w:r>
          </w:p>
        </w:tc>
      </w:tr>
      <w:tr>
        <w:trPr/>
        <w:tc>
          <w:tcPr>
            <w:tcW w:w="809" w:type="dxa"/>
            <w:tcBorders/>
            <w:vAlign w:val="center"/>
          </w:tcPr>
          <w:p>
            <w:pPr>
              <w:pStyle w:val="TableContents"/>
              <w:pBdr/>
              <w:bidi w:val="0"/>
              <w:spacing w:before="0" w:after="0"/>
              <w:ind w:left="0" w:right="0" w:hanging="0"/>
              <w:jc w:val="center"/>
              <w:rPr/>
            </w:pPr>
            <w:r>
              <w:rPr/>
              <w:t>☐</w:t>
            </w:r>
          </w:p>
        </w:tc>
        <w:tc>
          <w:tcPr>
            <w:tcW w:w="93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000-30941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AXCELIS TECHNOLOGIES,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center"/>
        <w:rPr/>
      </w:pPr>
      <w:r>
        <w:rPr/>
        <w:t>​</w:t>
      </w:r>
    </w:p>
    <w:tbl>
      <w:tblPr>
        <w:tblW w:w="4967" w:type="dxa"/>
        <w:jc w:val="left"/>
        <w:tblInd w:w="0" w:type="dxa"/>
        <w:tblLayout w:type="fixed"/>
        <w:tblCellMar>
          <w:top w:w="0" w:type="dxa"/>
          <w:left w:w="0" w:type="dxa"/>
          <w:bottom w:w="0" w:type="dxa"/>
          <w:right w:w="0" w:type="dxa"/>
        </w:tblCellMar>
      </w:tblPr>
      <w:tblGrid>
        <w:gridCol w:w="2431"/>
        <w:gridCol w:w="2536"/>
      </w:tblGrid>
      <w:tr>
        <w:trPr/>
        <w:tc>
          <w:tcPr>
            <w:tcW w:w="243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b/>
                <w:sz w:val="16"/>
              </w:rPr>
              <w:br/>
            </w:r>
            <w:r>
              <w:rPr>
                <w:rFonts w:ascii="Times New Roman;Times;serif" w:hAnsi="Times New Roman;Times;serif"/>
                <w:sz w:val="16"/>
              </w:rPr>
              <w:t>(State or other jurisdiction</w:t>
              <w:br/>
              <w:t>of incorporation or organization)</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34-1818596</w:t>
            </w:r>
            <w:r>
              <w:rPr>
                <w:rFonts w:ascii="Times New Roman;Times;serif" w:hAnsi="Times New Roman;Times;serif"/>
                <w:b/>
                <w:sz w:val="16"/>
              </w:rPr>
              <w:br/>
            </w: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108 Cherry Hill Drive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Beverly, Massachusetts</w:t>
      </w:r>
      <w:r>
        <w:rPr>
          <w:rFonts w:ascii="Times New Roman;Times;serif" w:hAnsi="Times New Roman;Times;serif"/>
          <w:sz w:val="20"/>
        </w:rPr>
        <w:t xml:space="preserve"> </w:t>
      </w:r>
      <w:r>
        <w:rPr>
          <w:rFonts w:ascii="Times New Roman;Times;serif" w:hAnsi="Times New Roman;Times;serif"/>
          <w:b/>
          <w:sz w:val="18"/>
        </w:rPr>
        <w:t>01915</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(978) 787-4000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3" w:name="Tc_0vqrlmxTfkWh_1cb96TrLQ_1_2"/>
      <w:bookmarkStart w:id="14" w:name="Tc_pgkwnG9tjUKz9_Ii-AI8NA_1_1"/>
      <w:bookmarkStart w:id="15" w:name="Tc_w3Ug5ST5f0-J45lRpbbMyQ_1_0"/>
      <w:bookmarkStart w:id="16" w:name="_010442d4_bb85_4191_a541_112c13e74428"/>
      <w:bookmarkStart w:id="17" w:name="Tc_0vqrlmxTfkWh_1cb96TrLQ_1_2"/>
      <w:bookmarkStart w:id="18" w:name="Tc_pgkwnG9tjUKz9_Ii-AI8NA_1_1"/>
      <w:bookmarkStart w:id="19" w:name="Tc_w3Ug5ST5f0-J45lRpbbMyQ_1_0"/>
      <w:bookmarkStart w:id="20" w:name="_010442d4_bb85_4191_a541_112c13e74428"/>
      <w:bookmarkEnd w:id="17"/>
      <w:bookmarkEnd w:id="18"/>
      <w:bookmarkEnd w:id="19"/>
      <w:bookmarkEnd w:id="20"/>
    </w:p>
    <w:tbl>
      <w:tblPr>
        <w:tblW w:w="6918" w:type="dxa"/>
        <w:jc w:val="left"/>
        <w:tblInd w:w="0" w:type="dxa"/>
        <w:tblLayout w:type="fixed"/>
        <w:tblCellMar>
          <w:top w:w="0" w:type="dxa"/>
          <w:left w:w="0" w:type="dxa"/>
          <w:bottom w:w="0" w:type="dxa"/>
          <w:right w:w="0" w:type="dxa"/>
        </w:tblCellMar>
      </w:tblPr>
      <w:tblGrid>
        <w:gridCol w:w="2416"/>
        <w:gridCol w:w="1231"/>
        <w:gridCol w:w="3271"/>
      </w:tblGrid>
      <w:tr>
        <w:trPr/>
        <w:tc>
          <w:tcPr>
            <w:tcW w:w="241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2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w:t>
            </w:r>
          </w:p>
        </w:tc>
        <w:tc>
          <w:tcPr>
            <w:tcW w:w="32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4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$.001 par value</w:t>
            </w:r>
          </w:p>
        </w:tc>
        <w:tc>
          <w:tcPr>
            <w:tcW w:w="12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ACLS</w:t>
            </w:r>
          </w:p>
        </w:tc>
        <w:tc>
          <w:tcPr>
            <w:tcW w:w="32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12(g) of the Act: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if the registrant is a well-known seasoned issuer, as defined in Rule 405 of the Securities Act.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left"/>
        <w:rPr/>
      </w:pPr>
      <w:r>
        <w:rPr/>
        <w:t>​</w:t>
      </w:r>
    </w:p>
    <w:tbl>
      <w:tblPr>
        <w:tblW w:w="9575" w:type="dxa"/>
        <w:jc w:val="left"/>
        <w:tblInd w:w="0" w:type="dxa"/>
        <w:tblLayout w:type="fixed"/>
        <w:tblCellMar>
          <w:top w:w="0" w:type="dxa"/>
          <w:left w:w="0" w:type="dxa"/>
          <w:bottom w:w="0" w:type="dxa"/>
          <w:right w:w="0" w:type="dxa"/>
        </w:tblCellMar>
      </w:tblPr>
      <w:tblGrid>
        <w:gridCol w:w="1846"/>
        <w:gridCol w:w="1441"/>
        <w:gridCol w:w="1756"/>
        <w:gridCol w:w="2236"/>
        <w:gridCol w:w="2296"/>
      </w:tblGrid>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c>
          <w:tcPr>
            <w:tcW w:w="22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Aggregate market value of the voting stock held by non-affiliates of the registrant as of June 30, 2023: $5,962,466,683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Number of shares outstanding of the registrant’s Common Stock, $0.001 par value, as of February 20, 2024: 32,625,760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Portions of the definitive Proxy Statement for Axcelis Technologies, Inc.’s Annual Meeting of Stockholders to be held on May 9, 2024 are incorporated by reference into Part III of this Form 10-K.</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1" w:name="_f32ef951_933b_41cd_934f_77c4f59d60a0"/>
      <w:bookmarkEnd w:id="21"/>
      <w:r>
        <w:rPr>
          <w:rFonts w:ascii="Times New Roman;Times;serif" w:hAnsi="Times New Roman;Times;serif"/>
          <w:b/>
          <w:sz w:val="20"/>
        </w:rPr>
        <w:t>PART I</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 of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Technologies, Inc. (“Axcelis,” the “Company,” “we,” “us,” or “our”) designs, manufactures and services ion implantation and other processing equipment used in the fabrication of semiconductor chips. We believe that our Purion family of products offers the most innovative implanters available on the market today. We sell to leading semiconductor chip manufacturers worldwide. The ion implantation business represented 98.3% of our revenue in 2023, with the remaining 1.7% of revenue derived from aftermarket sales associated with other legacy processing systems. In addition to equipment, we provide extensive aftermarket lifecycle products and services, including used tools, spare parts, equipment upgrades, maintenance services and customer training.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business commenced in 1978 and its current corporate entity was incorporated in Delaware in 1995. We are headquartered in Beverly, Massachusetts and maintain an internet site at www.axcelis.com. On or through our website, investors may access, free of charge,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Our website and the information contained therein or connected thereto shall not be deemed to be incorporated into this Annual Report on Form 10-K.</w:t>
      </w:r>
    </w:p>
    <w:p>
      <w:pPr>
        <w:pStyle w:val="TextBody"/>
        <w:bidi w:val="0"/>
        <w:spacing w:before="0" w:after="0"/>
        <w:ind w:left="0" w:right="0" w:firstLine="72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 xml:space="preserve">2023 was an exceptional year for Axcelis during an industry downturn. As a result of the demand for the Company’s products and aftermarket support, we delivered record full year revenue and operating profit since our first full year as a public company in 2001. Revenue for 2023 was $1,130.6 million, an increase of 22.9% from 2022 revenue of $920.0 million. Systems revenue for 2023 was $883.6 million, compared to $692.1 million in 2022. Gross margin percent for the year was 43.5% compared to 43.7% in 2022. Operating profit was $265.8 million in 2023, compared to $212.4 million in 2022. Net income for the year was $246.3 million, an increase of 34.5% from 2022, following an 85.6% increase in net income from 2021.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bookmarkStart w:id="22" w:name="_Hlk126825001"/>
      <w:bookmarkStart w:id="23" w:name="_Hlk126224963"/>
      <w:bookmarkEnd w:id="22"/>
      <w:bookmarkEnd w:id="23"/>
      <w:r>
        <w:rPr>
          <w:rFonts w:ascii="Times New Roman;Times;serif" w:hAnsi="Times New Roman;Times;serif"/>
          <w:sz w:val="20"/>
        </w:rPr>
        <w:t>The Company is in a strong competitive position. A focused strategy on ion implant, combined with the hard work and dedication of our employees and the support of our customers and suppliers, enabled us to achieve numerous critical milestones in our drive to market leadership. Axcelis had a number of important accomplishments in 2023:</w:t>
        <w:b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Axcelis delivered record revenue of $1.130.6 million dollars in 2023, and record earnings per share of $7.43. Our 23% revenue growth over 2022 was achieved despite a significant industry downturn and was enabled by the mature process technology segment, which represented 88% of the value of our 2023 system shipments.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Axcelis is considered a technology leader and supplier of choice in the implant-intensive power device segment, which accounted for 59% of the value of our 2023 system shipments.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working to expand our footprint with existing and new customers, and currently have eight Purion evaluation systems in the field at strategic customer sites in key market segments.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opened the Axcelis Logistics Center in Beverly, Massachusetts in the third quarter of 2023, providing significant efficiencies to US manufacturing.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continued our investment in our Customer Solutions &amp; Innovation (“CS&amp;I”) aftermarket business to drive financial growth and increased customer satisfaction levels, including the “Digital Tool Box,” an innovative service offering with online training, remote diagnosis and install, and automated troubleshooting guide.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Axcelis received nine customer satisfaction awards in 2023. In addition, Axcelis was named to both the 2023 and 2024 editions of Forbes’ List of America’s Best Mid-Cap Companies and to Fortune’s 2023 Top 100 Fastest Growing Companies.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continue to work diligently to ensure that manufacturing and operating expense levels remain well aligned to business conditions. We believe that the most fundamental interest of our stockholders is consistent, profitable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which we expect to continue to deliver in 2024. Our performance is subject to risks and uncertainties discussed below under Item 1A, Risk Factors.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Industry 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Semiconductor chips, also known as integrated circuits, are used in a continuously evolving range of consumer and industrial products, including for example, personal computers, mobile devices, automobiles, sensors and controllers for the “internet of things” and data storage servers. Types of semiconductor chips include dynamic random-access memory (“DRAM”) and “Not AND” (“NAND”) Flash memory; logic devices to process information; and “system on chip” devices (which have both logic and memory features). The demand for chips continues to increase, as a result of the electrification of vehicles, the evolution of digital communications (including the introduction of 5G mobile networks), artificial intelligence, large language models (ChatGPT), data analytics and visualization, and the growth in the Internet of Things, and the increasing complexity of device features. These chips are used in power management, data input, such as image sensors, which are often manufactured using mature processing technologies, as well as for memory to support the storage of data, internet streaming and “cloud computing” data analytics.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Most semiconductor chips are built on silicon or silicon carbide (“SiC”) wafers of 150mm (6 inches), 200mm (8 inches) or 300mm (12 inches) in diameter. Each semiconductor chip is made up of millions of tiny transistors or “switches” to control the functions of the device. Transistors are created in the wafer by introducing various precisely placed dopants into the silicon or SiC in specific patterns.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Semiconductor chip manufacturers own or manage wafer fabrication facilities (often referred to as “fabs”), which utilize many different types of equipment in the making of integrated circuits. Over 300 process steps utilizing over 50 different types of process tools are required to make a single device like a microprocessor. Semiconductor chip manufacturers seek device performance benefits through new products and technology enhancements and productivity improvements through increased throughput, equipment utilization and higher manufacturing yields. Capacity is added by increasing the amount of manufacturing equipment in existing fabrication facilities and by constructing new fabrication facilities.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different types of customers, which impacts the timing of purchases and technology requirements. Some customers are integrated electronics manufacturers, making semiconductor chips for their own devices. These same companies may also act as foundries, manufacturing semiconductor chips for other electronic manufacturers or chip design companies. Some customers only function as foundries. A few companies design and manufacture branded chips that are sold to device manufacturers. In addition, some customers have partnerships or joint ventures with two or more semiconductor chip manufacturers to share the technology development and capital investment. The timing of purchases by foundry customers will depend on their success in securing manufacturing contracts. Also, foundry customers will look for equipment that can deliver the broadest capabilities in order to be prepared to manufacture all chip types, while integrated electronics manufacturers may invest in processing equipment dedicated to a specific application they require for their products.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semiconductor capital equipment industry has historically been cyclical as global chip production capacities successively exceed, then lag behind, global chip demand. When chip demand is high, and inventories are low, chip manufacturers add capacity through capital equipment purchases. Given the difficulties of forecasting and calibrating chip demand and production capacity, the industry periodically experiences excess chip inventories and softening chip prices. Device manufacturers react with muted capital spending, lowering the demand for capital equipment. Changes in consumer and business demand for products in which chips are used also affect the industry. A successful semiconductor capital equipment manufacturer must not only provide some of the most technically complex products manufactured in the world but also must manage its business to thrive during low points in the cycle.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Axcelis’ Strategy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Axcelis’ 2024 strategic goals are to:</w:t>
      </w:r>
    </w:p>
    <w:p>
      <w:pPr>
        <w:pStyle w:val="TextBody"/>
        <w:bidi w:val="0"/>
        <w:spacing w:before="0" w:after="0"/>
        <w:ind w:left="0" w:right="0" w:firstLine="720"/>
        <w:jc w:val="left"/>
        <w:rPr/>
      </w:pPr>
      <w:r>
        <w:rPr/>
        <w:t>​</w:t>
      </w:r>
    </w:p>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Drive profitable growth by focusing on key customers and targeted market/geographic segments</w:t>
            </w:r>
            <w:r>
              <w:rPr>
                <w:caps w:val="false"/>
                <w:smallCaps w:val="false"/>
              </w:rPr>
              <w:t>​</w:t>
            </w:r>
          </w:p>
        </w:tc>
      </w:tr>
    </w:tbl>
    <w:tbl>
      <w:tblPr>
        <w:tblW w:w="5166" w:type="dxa"/>
        <w:jc w:val="left"/>
        <w:tblInd w:w="0" w:type="dxa"/>
        <w:tblLayout w:type="fixed"/>
        <w:tblCellMar>
          <w:top w:w="28" w:type="dxa"/>
          <w:left w:w="28" w:type="dxa"/>
          <w:bottom w:w="28" w:type="dxa"/>
          <w:right w:w="28" w:type="dxa"/>
        </w:tblCellMar>
      </w:tblPr>
      <w:tblGrid>
        <w:gridCol w:w="124"/>
        <w:gridCol w:w="22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81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Achieve market share leadership across all served markets</w:t>
            </w:r>
            <w:r>
              <w:rPr>
                <w:caps w:val="false"/>
                <w:smallCaps w:val="false"/>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tbl>
      <w:tblPr>
        <w:tblW w:w="8271" w:type="dxa"/>
        <w:jc w:val="left"/>
        <w:tblInd w:w="0" w:type="dxa"/>
        <w:tblLayout w:type="fixed"/>
        <w:tblCellMar>
          <w:top w:w="28" w:type="dxa"/>
          <w:left w:w="28" w:type="dxa"/>
          <w:bottom w:w="28" w:type="dxa"/>
          <w:right w:w="28" w:type="dxa"/>
        </w:tblCellMar>
      </w:tblPr>
      <w:tblGrid>
        <w:gridCol w:w="124"/>
        <w:gridCol w:w="22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9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Deliver attractive earnings per share and cash generation as defined in targeted business models </w:t>
            </w:r>
            <w:r>
              <w:rPr>
                <w:caps w:val="false"/>
                <w:smallCaps w:val="false"/>
              </w:rPr>
              <w:t>​</w:t>
            </w:r>
          </w:p>
        </w:tc>
      </w:tr>
    </w:tbl>
    <w:tbl>
      <w:tblPr>
        <w:tblW w:w="6081" w:type="dxa"/>
        <w:jc w:val="left"/>
        <w:tblInd w:w="0" w:type="dxa"/>
        <w:tblLayout w:type="fixed"/>
        <w:tblCellMar>
          <w:top w:w="28" w:type="dxa"/>
          <w:left w:w="28" w:type="dxa"/>
          <w:bottom w:w="28" w:type="dxa"/>
          <w:right w:w="28" w:type="dxa"/>
        </w:tblCellMar>
      </w:tblPr>
      <w:tblGrid>
        <w:gridCol w:w="124"/>
        <w:gridCol w:w="22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57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Monitor spending in line with growth initiatives and industry trends </w:t>
            </w:r>
            <w:r>
              <w:rPr>
                <w:caps w:val="false"/>
                <w:smallCaps w:val="false"/>
              </w:rPr>
              <w:t>​</w:t>
            </w:r>
          </w:p>
        </w:tc>
      </w:tr>
    </w:tbl>
    <w:tbl>
      <w:tblPr>
        <w:tblW w:w="9441" w:type="dxa"/>
        <w:jc w:val="left"/>
        <w:tblInd w:w="0" w:type="dxa"/>
        <w:tblLayout w:type="fixed"/>
        <w:tblCellMar>
          <w:top w:w="28" w:type="dxa"/>
          <w:left w:w="28" w:type="dxa"/>
          <w:bottom w:w="28" w:type="dxa"/>
          <w:right w:w="28" w:type="dxa"/>
        </w:tblCellMar>
      </w:tblPr>
      <w:tblGrid>
        <w:gridCol w:w="124"/>
        <w:gridCol w:w="22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capital strategy that allows for appropriate business investments while returning value to shareholders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Continue to build the foundation to achieve our $1.3 billion implant-only business model in 2025</w:t>
            </w:r>
            <w:r>
              <w:rPr>
                <w:caps w:val="false"/>
                <w:smallCaps w:val="false"/>
              </w:rPr>
              <w:t>​</w:t>
            </w:r>
          </w:p>
        </w:tc>
      </w:tr>
    </w:tbl>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Win with Purion</w:t>
            </w:r>
            <w:r>
              <w:rPr>
                <w:caps w:val="false"/>
                <w:smallCaps w:val="false"/>
              </w:rPr>
              <w:t> </w:t>
            </w:r>
            <w:r>
              <w:rPr>
                <w:rFonts w:ascii="Times New Roman;Times;serif" w:hAnsi="Times New Roman;Times;serif"/>
                <w:b w:val="false"/>
                <w:i w:val="false"/>
                <w:caps w:val="false"/>
                <w:smallCaps w:val="false"/>
                <w:sz w:val="20"/>
              </w:rPr>
              <w:t>products and aftermarket offerings that solve high value customer challenges with differentiated, valuable, and sustainable (referred to as “DVS”) solutions</w:t>
            </w:r>
          </w:p>
        </w:tc>
      </w:tr>
    </w:tbl>
    <w:tbl>
      <w:tblPr>
        <w:tblW w:w="4881" w:type="dxa"/>
        <w:jc w:val="left"/>
        <w:tblInd w:w="0" w:type="dxa"/>
        <w:tblLayout w:type="fixed"/>
        <w:tblCellMar>
          <w:top w:w="28" w:type="dxa"/>
          <w:left w:w="28" w:type="dxa"/>
          <w:bottom w:w="28" w:type="dxa"/>
          <w:right w:w="28" w:type="dxa"/>
        </w:tblCellMar>
      </w:tblPr>
      <w:tblGrid>
        <w:gridCol w:w="124"/>
        <w:gridCol w:w="22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45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Improve customer satisfaction to drive repeat business</w:t>
            </w:r>
          </w:p>
        </w:tc>
      </w:tr>
    </w:tbl>
    <w:tbl>
      <w:tblPr>
        <w:tblW w:w="6366" w:type="dxa"/>
        <w:jc w:val="left"/>
        <w:tblInd w:w="0" w:type="dxa"/>
        <w:tblLayout w:type="fixed"/>
        <w:tblCellMar>
          <w:top w:w="28" w:type="dxa"/>
          <w:left w:w="28" w:type="dxa"/>
          <w:bottom w:w="28" w:type="dxa"/>
          <w:right w:w="28" w:type="dxa"/>
        </w:tblCellMar>
      </w:tblPr>
      <w:tblGrid>
        <w:gridCol w:w="124"/>
        <w:gridCol w:w="22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on identified growth opportunities in Japan and advanced logic</w:t>
            </w:r>
          </w:p>
        </w:tc>
      </w:tr>
    </w:tbl>
    <w:tbl>
      <w:tblPr>
        <w:tblW w:w="9516" w:type="dxa"/>
        <w:jc w:val="left"/>
        <w:tblInd w:w="0" w:type="dxa"/>
        <w:tblLayout w:type="fixed"/>
        <w:tblCellMar>
          <w:top w:w="28" w:type="dxa"/>
          <w:left w:w="28" w:type="dxa"/>
          <w:bottom w:w="28" w:type="dxa"/>
          <w:right w:w="28" w:type="dxa"/>
        </w:tblCellMar>
      </w:tblPr>
      <w:tblGrid>
        <w:gridCol w:w="124"/>
        <w:gridCol w:w="22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CS&amp;I target business model revenues of approximately 25% of total revenues, in line with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Increase gross margins by deriving maximum value from enabling upgrades, system specials and product extensions while lowering cost through use of “Design for X” (“DFx”)</w:t>
            </w:r>
            <w:r>
              <w:rPr>
                <w:caps w:val="false"/>
                <w:smallCaps w:val="false"/>
              </w:rPr>
              <w:t> </w:t>
            </w:r>
            <w:r>
              <w:rPr>
                <w:rFonts w:ascii="Times New Roman;Times;serif" w:hAnsi="Times New Roman;Times;serif"/>
                <w:b w:val="false"/>
                <w:i w:val="false"/>
                <w:caps w:val="false"/>
                <w:smallCaps w:val="false"/>
                <w:sz w:val="20"/>
              </w:rPr>
              <w:t>principles, right sourcing, and providing the industry’s best products and services</w:t>
            </w:r>
            <w:r>
              <w:rPr>
                <w:caps w:val="false"/>
                <w:smallCaps w:val="false"/>
              </w:rPr>
              <w:t>​</w:t>
            </w:r>
          </w:p>
        </w:tc>
      </w:tr>
    </w:tbl>
    <w:p>
      <w:pPr>
        <w:pStyle w:val="Normal"/>
        <w:bidi w:val="0"/>
        <w:spacing w:before="0" w:after="0"/>
        <w:jc w:val="left"/>
        <w:rPr>
          <w:sz w:val="4"/>
          <w:szCs w:val="4"/>
        </w:rPr>
      </w:pPr>
      <w:r>
        <w:rPr>
          <w:sz w:val="4"/>
          <w:szCs w:val="4"/>
        </w:rPr>
      </w:r>
      <w:bookmarkStart w:id="24" w:name="_Hlk158301572"/>
      <w:bookmarkStart w:id="25" w:name="_Hlk158301572"/>
      <w:bookmarkEnd w:id="25"/>
    </w:p>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Expand beyond ion implant by launching identified corporate development growth initiatives</w:t>
            </w:r>
            <w:r>
              <w:rPr>
                <w:caps w:val="false"/>
                <w:smallCaps w:val="false"/>
              </w:rPr>
              <w:t xml:space="preserve"> </w:t>
            </w:r>
          </w:p>
        </w:tc>
      </w:tr>
    </w:tbl>
    <w:p>
      <w:pPr>
        <w:pStyle w:val="TextBody"/>
        <w:bidi w:val="0"/>
        <w:spacing w:before="0" w:after="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continue to invest in research and development to ensure our products meet the needs of our customers. We take pride in our scientists and engineers who are adding to our portfolio of patents and unpatented proprietary technology to ensure that our investment in technology leadership translates into unique product advantages. We strive for operational excellence by focusing on ways to lower our product, manufacturing, and design costs and to improve our delivery times to our customers. Global customer teams and a focused account management structure maintain and strengthen our customer relationships and increase customer satisfaction. Finally, we endeavor to generate strong cash flows from operations and maintain a sufficient cash balance to ensure we continue to have the necessary capital to fund business growth.</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Ion Implantation Systems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Ion implantation is a principal step in the transistor formation cycle of the semiconductor chip manufacturing process. Ion implantation is also used to change the material characteristics of the silicon or silicon carbide for reasons other than electrical doping, a process known as “material modification.” An ion implanter is a large, technically advanced system that injects dopants such as arsenic, boron or phosphorus into a wafer. These dopants are ionized and therefore have an electrical charge state. This electric charge state allows the dopants to be accelerated, focused and filtered with electric and magnetic fields. Ion implanters use these fields to create a beam of ions with a precisely defined energy level (ranging between several hundred and eight million electron-volts) and with a precisely defined beam current level (ranging from microamps to milliamps). Certain areas of the silicon wafer are blocked off by a polymer material known as photoresist, which acts as a “stencil” to pattern devices so that the dopants will only enter the wafer where needed. Typical process flows require twenty implant steps, with the most advanced processes requiring substantially more steps. Each implant step is characterized by four key parameters: dopant type, dose (amount of dopant), energy (depth into the silicon) and tilt/twist (angle of wafer relative to the ion beam).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order to efficiently cover the wide range of implant steps, three different broad categories of implanters have been developed, each targeted at a specific range of applications, primarily defined by dose and energy. The three traditional implanter categories are referred to as high current, high energy and medium current:</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current implanters were the second type of implanter to emerge, having low energy capability and high dose range.</w:t>
            </w:r>
          </w:p>
        </w:tc>
      </w:tr>
    </w:tbl>
    <w:p>
      <w:pPr>
        <w:pStyle w:val="TextBody"/>
        <w:bidi w:val="0"/>
        <w:spacing w:before="0" w:after="0"/>
        <w:ind w:left="1080" w:right="0" w:hanging="0"/>
        <w:jc w:val="left"/>
        <w:rPr/>
      </w:pPr>
      <w:r>
        <w:rPr/>
        <w:t>​</w:t>
      </w:r>
    </w:p>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energy implanters emerged to address the need for deeper implants with a high energy range and low dose.</w:t>
            </w:r>
          </w:p>
        </w:tc>
      </w:tr>
    </w:tbl>
    <w:p>
      <w:pPr>
        <w:pStyle w:val="TextBody"/>
        <w:bidi w:val="0"/>
        <w:spacing w:before="0" w:after="0"/>
        <w:ind w:left="1080" w:right="0" w:hanging="0"/>
        <w:jc w:val="left"/>
        <w:rPr/>
      </w:pPr>
      <w:r>
        <w:rPr/>
        <w:t>​</w:t>
      </w:r>
    </w:p>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 current implanters are the original model of ion implanter, with mid to low-range energy and dose capability.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Axcelis Ion Implanters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offers a complete line of high energy, high current, and medium current implanters for all application requirements. Our Purion flagship systems are all based on a common platform which enables a unique combination of implant purity, precision, and productivity. Combining a state-of-the-art single wafer end station, with advanced spot beam architectures (that ensures all points across the wafer see the same beam condition at the same beam angle), Purion products enable exceptional process control to optimize device performance and yield, at high productivity.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Purion family of ion implanters, the Company offers the Ovation™ family of multi-wafer, or “batch” implanters. These systems extend Axcelis’ industry benchmark GSD platform into the future, delivering the highest reliability, serviceability, and lowest cost of operations The Ovation configuration is designed to seamlessly integrate with the existing fleet of Axcelis batch implanters, while providing incremental performance improvements with updated components for long-term sustainability.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Beyond the traditional categories of implanters, Axcelis has developed systems designed for specific applications. For example, the Axcelis </w:t>
      </w:r>
      <w:r>
        <w:rPr>
          <w:rFonts w:ascii="Times New Roman;Times;serif" w:hAnsi="Times New Roman;Times;serif"/>
          <w:i/>
          <w:sz w:val="20"/>
        </w:rPr>
        <w:t>Purion Power Series</w:t>
      </w:r>
      <w:r>
        <w:rPr>
          <w:rFonts w:ascii="Times New Roman;Times;serif" w:hAnsi="Times New Roman;Times;serif"/>
          <w:sz w:val="20"/>
        </w:rPr>
        <w:t xml:space="preserve">, which provides full recipe coverage for power device applications critical to electric vehicles and industrial applications. The Purion Power Series is comprised of a group of high current, medium current and high energy implanters that optimize semiconductor devices created on SiC wafers, which are advantageous for certain power devices.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 overview of specific Axcelis ion implantation products is below:</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High Current Implant. </w:t>
            </w:r>
            <w:r>
              <w:rPr>
                <w:rFonts w:ascii="Times New Roman;Times;serif" w:hAnsi="Times New Roman;Times;serif"/>
                <w:b w:val="false"/>
                <w:i w:val="false"/>
                <w:caps w:val="false"/>
                <w:smallCaps w:val="false"/>
                <w:sz w:val="20"/>
              </w:rPr>
              <w:t>Our Purion H, Purion Dragon, Purion H200, and GSD/E2 Ovation spot beam, high current systems cover all traditional high current requirements as well as those associated with emerging and future devices. Our Purion high current capabilities extend beyond traditional high current energy and dose ranges, in order to cover new device fabrication requirements as well as to maximize capital utilization and flexibility. In addition, Axcelis’ Purion systems provide advantages for material modification applications, including those requiring hot and cold implant capabilities.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High Energy Implant</w:t>
            </w:r>
            <w:r>
              <w:rPr>
                <w:rFonts w:ascii="Times New Roman;Times;serif" w:hAnsi="Times New Roman;Times;serif"/>
                <w:b w:val="false"/>
                <w:i w:val="false"/>
                <w:caps w:val="false"/>
                <w:smallCaps w:val="false"/>
                <w:sz w:val="20"/>
              </w:rPr>
              <w:t>. Axcelis has been a market leader in high energy ion implanters for many years, and offers a range of new Purion systems which have differentiated capabilities for specialty applications as well as legacy high energy systems. Our Purion XE, EXE, and other Purion high energy systems combine Axcelis’ production-proven RF Linac high energy, spot beam technology with the Purion platform wafer handling system. The Purion XE Power Series implanters includes Purion XE and EXE models for high volume power devices aluminum implantation, available with 150mm SiC wafer handling or 200mm thin Si wafer handling. Our batch high energy systems include the GSD/HE Ovation implanter, a 10 stage Linac with energies up to 3 MeV and the GSD/VHE Ovation system, a 14 stage Linac with energies up to 4.9 MeV.</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Medium Current Implant. </w:t>
            </w:r>
            <w:r>
              <w:rPr>
                <w:rFonts w:ascii="Times New Roman;Times;serif" w:hAnsi="Times New Roman;Times;serif"/>
                <w:b w:val="false"/>
                <w:i w:val="false"/>
                <w:caps w:val="false"/>
                <w:smallCaps w:val="false"/>
                <w:sz w:val="20"/>
              </w:rPr>
              <w:t>Our Purion M Si and SiC medium current systems offer higher productivity and lower electrical energy consumption compared to competitive offerings, in addition to other advantages. With high energy capability far beyond competitive implanters, the Purion M is ideal for fabs at higher elevations or those dealing with heavy mass species. The Purion M is 20% more energy efficient than competing platforms, representing the industry’s lowest cost of ownership.</w:t>
            </w:r>
          </w:p>
        </w:tc>
      </w:tr>
    </w:tbl>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our ion implant products will continue to meet customer demand for advantages in productivity, process performance and technical extendibility.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Aftermarket Support and 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Through our CS&amp;I business, we offer our customers extensive aftermarket service and support throughout the lifecycle of the equipment we manufacture. We believe that approximately 3,200 of our products are in use in 28 countries worldwide. The service and support that we provide includes used tools, spare parts, equipment upgrades, and maintenance services. We offer varying levels of sales, service and application support out of our field offices. Revenue generated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 our CS&amp;I business of $247.0 million, $227.9 million, and $207.8 million represents 21.8%, 24.8% and 31.4% of total revenue in 2023, 2022 and 2021,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support our aftermarket business, we have sales and marketing personnel, field service engineers, and spare parts and applications engineers, as well as employees located at our manufacturing facilities who work with our customers to provide customer training and documentation, and product, process, and applications support.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Most of our customers maintain spare parts inventories for our machines. In addition to our web-based spare parts management and replenishment tracking program, we offer a number of Business-to-Business options to support our customers’ parts management requirements. Our Axcelis Managed Inventory service offering provides the customer with full spare parts support through a parts consignment arrangement in which Axcelis retains responsibility for the complete supply chain. These services provide ease of use alternatives that reduce order fulfillment costs and improve cycle time, resulting in an expanded customer base for this service offering.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primarily sell our equipment and services through our direct sales force. We conduct sales and marketing activities from our sales offices located in the United States, Taiwan, South Korea, China, Singapore, Japan, Germany and Italy.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International revenue, including export sales from our U.S. manufacturing facilities to foreign customers and sales by foreign subsidiaries and branches, accounted for 84.1%, 84.4% and 92.6% of total revenue in 2023, 2022 and 2021, respectively. In 2023, approximately 94.2% of our sales were denominated in U.S. dollars. See Note 17 to our Consolidated Financial Statements contained in Item 15 of this Annual Report on Form 10-K for a breakdown of our revenue and long-lived assets in the United States, Europe and Asia. See also Item 1A, “Risk Factors,” for information about risks attendant to our foreign operations.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2023, according to Gartner Inc., the top 20 semiconductor chip manufacturers accounted for approximately 92.0% of total semiconductor capital equipment spending, which increased from 89.0% in 2022. These manufacturers are from the largest semiconductor chip manufacturing regions in the world: the United States, Asia Pacific (Taiwan, South Korea, Singapore, Japan and China) and Europe.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Information on net sales to unaffiliated customers is included in Note 2 of Notes to Consolidated Financial Statements. For the year ended December 31, 2023, no customer represented 10% or more of our consolidated revenues.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U.S. export controls impact our ability to sell to certain customers in China, a country that has represented a significant portion of our sales in recent years. One of our major Chinese customers, Semiconductor Manufacturing International Corporation (“SMIC”), is on the U.S. Entity List, but is subject to a 2020 licensing policy that allows shipments to certain mature process SMIC fabs, which to date, we have been able to obtain. Other Chinese chipmakers are on the U.S. Entity List, without a similar policy allowing licensed shipments. In October 2022 (with modifications in October 2023), the U.S. Commerce Department established an export controls regulatory framework for U.S. exports of semiconductor equipment to China. This framework limits all semiconductor equipment shipments to Chinese customers who are producing or developing logic, DRAM and NAND chips that meet specific advanced parameters. While these regulations have further excluded exports to certain Chinese customers, we currently are able to continue to ship to substantially all of our Chinese customers. In general, however, sales to Chinese customers represent a higher risk than sales to customers in other international locations because of trade tensions between the U.S. government and the Chinese government, and other challenges reflecting China’s stage of development and rapid growth.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industry continues to experience rapid technological change, requiring us to frequently introduce new products and enhancements. Our Beverly, Massachusetts Advanced Technology Center houses a process development laboratory with a 13,500 square feet class 10/100/1000 clean room for product demonstrations and process development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a 17,500 square feet customer training center. The Advanced Technology Center provides infrastructure and process capabilities that allow customers to test their unique process steps on our systems under conditions that substantially replicate the customers’ production environments. This facility also provides significant capability for our research and development efforts.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use 3D, computer-aided design, finite element analysis and other computer-based modeling methods to test new designs.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expenses for research and development were $96.9 million, $78.4 million and $65.4 million in 2023, 2022 and 2021, respectively, or 8.6%, 8.5% and 9.9% of revenue, respectively.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manufacture products at our 417,000 square feet ISO 9001:2015 and ISO 4001:2015 and ISO 45001:2018 certified plant in Beverly, Massachusetts as well as our 38,000 square feet Axcelis Asia Operations Center in South Korea. Our facilities employ best in class manufacturing techniques, including lean manufacturing, six sigma controls and advanced inventory management, purchasing and quality systems. In 2023, we opened the Axcelis Logistics Center, a state-of-the-art logistics and flex manufacturing center with 101,800 square feet built to our specifications, in Beverly, Massachusetts.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clean manufacturing process uses class 1,000/10,000 space to facilitate most of our manufacturing requirements.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core competency in manufacturing and supply chain management is built around system assembly and testing, which remains an in-house capability due to the high degree of expertise and intellectual property associated with the process and design. Non-core work is sourced to global partners and includes items such as vacuum systems, wafer handling and commodity-level components. We continuously pursue outsourcing opportunities where the economics are justified, with a goal of enabling quality and margin improvement. Our supply chain team is globally focused and is located in Beverly, Korea and Singapore. Customized and commercially available software solutions drive our planning, purchasing and inventory tracking process.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companies supplying Axcelis play a critical part in our success.  We want to ensure these companies share our values and have adopted a Supplier Code of Conduct, which contains our expectation that our suppliers will comply with our Environmental Policy, our Corporate Social Responsibility Policy, and other industry standards and policies.  Our Supplier Code of Conduct provides that if a supplier fails to comply with these policies, our business relationship with that company will be permanently ended, although a compliance remediation period of up to 90 days may be allowed.  In 2023, Axcelis audited 56 suppliers for compliance with our Supplier Code of Conduct and other quality standards.  The outcome of these and prior audits included (i) the issuance of a total of over 270 corrective actions to suppliers, (ii) requiring more than 40 of our suppliers to participate in quarterly reviews focused on improvement projects, and (iii) subjecting 3 suppliers to more comprehensive audits and action plans.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products are designed to be assembled and tested in a modular fashion, which facilitates our industry-recognized “ship-from-cell” process. Specially developed test stands, software and tooling provide the framework for this accelerated delivery process. Customers that choose the “ship-from-cell” process substantially improve their delivery times while receiving the same high level of quality provided by more traditional, longer cycle integration techniques. Product margins and inventory turns also improve as a result of shorter factory cycle times and increased labor productivity.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Installation of our equipment is provided by factory and field teams. The process includes assembling the equipment at our installation site, and after it has been connected, recalibrating it to factory specifications.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semiconductor equipment industry is highly competitive and is characterized by a small number of participants ranging in size. Significant competitive factors in the semiconductor capital equipment market include price, cost of ownership, equipment performance, customer support, capabilities and breadth of product line.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market for ion implantation systems, we mainly compete against Applied Materials, Inc. (“Applied Materials”). Axcelis and Applied Materials are the only ion implant system manufacturers with a full range of implant products.  Other implantation equipment manufacturers we compete with include Sumitomo Heavy Industries Ion Technology Co. Ltd. and Nissin Ion Equipment Co., Ltd in Japan, Advanced Ion Beam Technology, Inc. in Taiwan, as well as CETC Electronics Equipment Group Co., Ltd. in the People’s Republic of China. Non-U.S. suppliers may have an advantage over U.S. suppliers under recently established U.S. export controls regulation for shipments to China.  We also provide aftermarket service and parts to service our customers globally. In this market, there are many competitors, often based in the customer’s location, offering alternatives to Axcelis services and certified products.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rely on patent, copyright, trademark and trade secret protection in the United States and in other countries, as well as contractual restrictions, to protect our proprietary rights in our products and our business. As of December 31, 2023, we had 202 active patents issued in the United States and 487 active patents granted in other countries, as well as 181 patent applications (37 in the United States and 144 in other countries) on file with various patent agencies worldwide. Patents are generally in effect for up to 20 years from the filing of the application.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trademarks, both registered and unregistered, that are maintained to provide customer recognition for our products in the marketplace. Trademark registrations generally remain in effect as long as the trademarks are in use. From time to time, we enter into license agreements with third parties under which we obtain or grant rights to patented or proprietary technology. We do not believe that any of our licenses are currently material to us.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Systems backlog, including deferred systems revenue, was $1,211.6 million and $1,124.2 million as of December 31, 2023 and 2022, respectively. We believe it is meaningful to investors to include deferred systems revenue as part of our backlog. Deferred systems revenue represents revenue that will be recognized in future periods based on prior shipments or customer prepayments. Our policy is to include in backlog only those system orders for which we have accepted purchase orders. All orders are subject to cancellations or rescheduling by customers with limited or no penalties.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Backlog does not include orders received and fulfilled within a quarter. Our backlog at the beginning of a quarter typically does not include all orders required to achieve our sales objectives for that quarter. Backlog is not necessarily an indicator of future business trends because orders for services or parts received during the quarter are generally performed or shipped within the same quarter.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Bookings in the quarter ended December 31, 2023 were $235.5 million compared to $211.5 million in the quarter ended December 31, 2022.</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Human Capital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had 1,620 employees and 84 agency temporary staff worldwide. During 2023, our total employee and temporary staff headcount increased by approximately 15% to support our increased business during the year. While the majority of our headcount is based in the U.S. at our main manufacturing facility in Beverly, MA, our business requires our presence where our customers are located around the world, resulting in Axcelis employees working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28 different countries. Of our total year end 2023 employees and agency temporary staff, 1,216 work in North America, 406 in Asia and 84 in Europe.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future success largely depends upon our continued ability to attract and retain highly skilled employees. We provide competitive compensation and benefits programs. In addition to salaries, all Axcelis employees are eligible for cash incentive programs with annual payouts tied to annual financial metrics, as described in our proxy statements, with two exceptions: (i) certain sales staff receive commission and other sales compensation, and (ii) in order to provide greater certainty of compensation to lower level U.S. employees, we pay quarterly bonuses to those employees in amounts communicated at the start of the year. Beyond these basic forms of cash compensation, we offer recognition bonuses, equity awards, an Employee Stock Purchase Plan, a 401(k) plan with a competitive employer match, healthcare and insurance benefits, health savings and flexible spending accounts, paid time off, family leave, family care resources, flexible work schedules, employee assistance programs, and tuition assistance. These programs all contribute to both attracting and retaining a highly skilled employee base, including those with critical leadership and industry skills and experience.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2023, our voluntary turnover rate for employees was 6.14%, or 5.51% without retirements, well below the worldwide technology industry (all reported) voluntary turnover average of 15.8% reported in the Aon 2023 Salary Increase and Turnover Study -- December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bookmarkStart w:id="26" w:name="_Hlk126840249"/>
      <w:bookmarkEnd w:id="26"/>
      <w:r>
        <w:rPr>
          <w:rFonts w:ascii="Times New Roman;Times;serif" w:hAnsi="Times New Roman;Times;serif"/>
          <w:sz w:val="20"/>
        </w:rPr>
        <w:t>We also recognize that training is an important aspect of both employee retention and talent development. Axcelis conducts an annual talent review process and establishes individualized development programs agreed upon by employees and their managers. Human Resources provides training on personal development planning and leadership skills. All Axcelis employees have access to LinkedIn Learning to pursue independent training on business subjects. Our manufacturing staff each receives 35 hours of training upon commencement of employment, and our field service and other technical employees receive training on various ion implanter systems to develop product support, applications and service skills on all of our products. Finally, all staff are required to complete monthly, annual or biennial training on cybersecurity, various health and safety topics, and legal matters, such as the Foreign Corrupt Practices Act, export controls compliance, ethical business practices, and confidentiality. At a minimum, all Axcelis employees are required to complete at least 15 hours of training per year, and they can access additional voluntary training at the Company’s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success of our business is fundamentally connected to the well-being of our people. Accordingly, we are committed to the health, safety, and wellness of our employees. We provide our employees and their families with access to health and wellness insurance and programs that offer choice where possible so they can customize their benefits to meet their needs and the needs of their families. Following the COVID-19 pandemic, we have maintained flexible working opportunities for those employees who can, and wish to, work remotely. This flexibility allows us to access workers who do not live near our facilities and also provides a desired quality of life benefit to those who wish to work remotely for personal reasons.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Axcelis is dedicated to accessing the diverse workforce who have the skills and qualities required for our jobs, fostering a culture built on the principle of inclusion, and maintaining a workplace free from discrimination. We strongly believe that a diversity of experience, perspectives and backgrounds will lead to a better environment for our employees and better products for our customers. Axcelis’ commitment to diversity extends to our Board of Directors, our leadership team and all teams and functions across our global locations.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encourage you to review our 2023 ESG Report (located in the “ESG Hub” under the “Investors” section of our Axcelis.com website) for more detailed information regarding diversity and inclusion at Axcelis. Nothing on our website, including our ESG Report or sections thereof, shall be deemed incorporated by reference into this Annual Report on Form 10-K.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Environmental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Axcelis is deeply committed to our role as a responsible corporate citizen and dedicated to our Environmental, Social, Governance (“ESG”) and Net Zero commitments. In 2022, Axcelis became a founding member of the Semiconductor Climate Consortium (“SCC”) of Semiconductor Equipment and Materials International (“SEMI”), our industry organization serving the manufacturing supply chain for the micro- and nano-electronics industries. In doing so, we expect to bolster our own sustainability work with the power of the semiconductor ecosystem.  By collaborating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SCC member companies' joint knowledge and innovative technologies, Axcelis hopes to promote progressive action towards climate change.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proud that our Power Series ion implantation systems have become enabling technology for the production of power management devices, which are critical to the electrification of vehicles, an important component of our society’s actions to address climate change.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 disclosures regarding our environmental initiatives and goals can be found in our 2023 ESG Report located in the “ESG Hub” under the “Investors” section of our Axcelis.com website.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proud of our commitment to improving our environment. Axcelis is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our operations are in compliance with applicable environmental laws and regulations and that there are no pending environmental matters that would have a material impact on our business. We are ISO 9001:2015 and ISO 14001:2015 certified at our Beverly, MA facility.</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Information about our Executive Officers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Russell J. Low, Ph.D</w:t>
      </w:r>
      <w:r>
        <w:rPr>
          <w:rFonts w:ascii="Times New Roman;Times;serif" w:hAnsi="Times New Roman;Times;serif"/>
          <w:b/>
          <w:sz w:val="20"/>
        </w:rPr>
        <w:t>.,</w:t>
      </w:r>
      <w:r>
        <w:rPr>
          <w:rFonts w:ascii="Times New Roman;Times;serif" w:hAnsi="Times New Roman;Times;serif"/>
          <w:sz w:val="20"/>
        </w:rPr>
        <w:t xml:space="preserve"> 53, became Axcelis’ CEO in May 2023, also joining the Company’s Board of Directors at that time. Dr. Low joined Axcelis in October 2016, first serving as Executive Vice President, Engineering and then as Executive Vice President, Global Customer and Engineering Operations effective January 2021. Prior to joining the Company, Dr. Low held the position of Vice President of Engineering, MOCVD Business Unit at Veeco Instruments since 2013, prior to which he was Veeco’s Senior Director of Engineering, Molecular Beam Epitaxy Business Unit beginning in 2012. From 2003 to 2012, Dr. Low held a number of positions at Varian Semiconductor Equipment Associates, most recently as Director of Technology. Prior to that, Dr. Low held engineering positions in the thermal processing and ion implant divisions of Applied Materials, Inc. Dr. Low joined the North American Advisory Board (NAAB) of SEMI International in 2023. He is also a member of the Massachusetts High Tech Council.</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James G. Coogan</w:t>
      </w:r>
      <w:r>
        <w:rPr>
          <w:rFonts w:ascii="Times New Roman;Times;serif" w:hAnsi="Times New Roman;Times;serif"/>
          <w:sz w:val="20"/>
        </w:rPr>
        <w:t>, 43, joined Axcelis as Executive Vice President and CFO in September 2023. Mr. Coogan brings more than 20 years of finance, accounting, and investor relations experience across multiple industries, most recently in aerospace and defense. Mr. Coogan joins Axcelis after serving as Senior Vice President, Chief Financial Officer at Kaman Corporation, a leading provider of aerospace and defense products. During his 15 years with Kaman, he held various management positions including Vice President, Investor Relations and Corporate Development, Assistant Vice President, External Reporting and SEC Compliance, and Director, External Reporting and SEC Compliance. After starting his career at PwC, he held several financial management roles at Ann Taylor Stores Corporation and Mohegan Tribal Gaming Authority before joining Kaman.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Gerald M. Blumenstock,</w:t>
      </w:r>
      <w:r>
        <w:rPr>
          <w:rFonts w:ascii="Times New Roman;Times;serif" w:hAnsi="Times New Roman;Times;serif"/>
          <w:sz w:val="20"/>
        </w:rPr>
        <w:t xml:space="preserve"> 55, became Axcelis’ Executive Vice President, Engineering in June 2023 leading product development, engineering and R&amp;D. With over 30 years of experience in technology, primarily in the semiconductor capital equipment industry, Mr. Blumenstock brings a unique blend of leadership, technical and business skills gained over a distinguished career. Immediately before joining Axcelis, Mr. Blumenstock was self-employed as a management consultant from 2022 to 2023. Prior to that, Mr. Blumenstock led multiple product business groups as Senior Vice President and General Manager at Veeco Instruments and Vice President and General Manager at Advanced Energy from 2020 to 2022 and as Senior Vice President and General Manager at Veeco Instruments from 2011 to 2020. Additionally, Mr. Blumenstock held the role of Chief Marketing Officer at Veeco directing a corporate rebrand. Prior to that, Mr. Blumenstock held Senior Director level business roles at KLA, Cymer (ASML) and FormFactor, bringing several new products to market. Mr. Blumenstock began his career as an Optics &amp; Materials Engineer at SVGL (ASML) and NASA. </w:t>
        <w:b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Lynnette C. Fallon,</w:t>
      </w:r>
      <w:r>
        <w:rPr>
          <w:rFonts w:ascii="Times New Roman;Times;serif" w:hAnsi="Times New Roman;Times;serif"/>
          <w:sz w:val="20"/>
        </w:rPr>
        <w:t xml:space="preserve"> 64, is our Executive Vice President HR/Legal, General Counsel and Corporate Secretary, overseeing Axcelis’ legal and human resources operations. Ms. Fallon has held her current position since May 2005, having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initially joined Axcelis in 2001 as a Senior Vice President and General Counsel. As a member of Axcelis’ executive team for more than twenty years, Ms. Fallon has been involved with business development, financial and tax management, investor relations, public offerings, M&amp;A, risk management, executive compensation, and all aspects of international corporate compliance. Before joining Axcelis, Ms. Fallon worked at the Boston law firm of Palmer &amp; Dodge LLP, as a partner since 1992, prior to which she was an associate since 1987. During her more than ten years at Palmer &amp; Dodge, Ms. Fallon’s work was primarily for clients in the biotech industry. She was head of Palmer &amp; Dodge’s business law department for the three years prior to joining Axcelis. Ms. Fallon’s M&amp;A and financial transaction experience began in 1984 at a Wall Street boutique firm, doing tax-driven LBOs, venture capital and private equity transactions.  Ms. Fallon is also a director of ClearPoint Neuro, Inc.</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Douglas A. Lawson,</w:t>
      </w:r>
      <w:r>
        <w:rPr>
          <w:rFonts w:ascii="Times New Roman;Times;serif" w:hAnsi="Times New Roman;Times;serif"/>
          <w:sz w:val="20"/>
        </w:rPr>
        <w:t xml:space="preserve"> 63, has been our Executive Vice President, Corporate Marketing and Strategy since November 2013, having joined Axcelis as Vice President Business Development in 2010, and holding the position of Senior Vice President of Strategic Initiatives beginning in 2011. Prior to joining the company in 2010, he held the position of General Manager of Luminus Devices from 2009 to 2010. He has over 30 years of experience in the technology industry and has held numerous executive and technical positions at BTU International, PRI Automation, Digital Equipment and Intel.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Mary G. Puma,</w:t>
      </w:r>
      <w:r>
        <w:rPr>
          <w:rFonts w:ascii="Times New Roman;Times;serif" w:hAnsi="Times New Roman;Times;serif"/>
          <w:sz w:val="20"/>
        </w:rPr>
        <w:t xml:space="preserve"> 66, is serving as our Executive Chairperson until May 2024, a position she assumed in May 2023. Prior to that, Ms. Puma served as President and Chief Executive Officer for 21 years, from January 2002 until May 2023, serving also as Chairman from 2005 to 2015. From May 2000 until January 2002, Ms. Puma was our President and Chief Operating Officer. In 1998, she became General Manager and Vice President of the Implant Systems Division of Eaton Corporation, a global diversified industrial manufacturer. In May 1996, she joined Eaton as General Manager of the Commercial Controls Division. Prior to joining Eaton, Ms. Puma spent 15 years in various marketing and general management positions for General Electric Company. Ms. Puma is International Board Chairman of SEMI Industry Association, and a director of Ciena Corporation, SMART Global Holdings and Allegro Microsystems.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 xml:space="preserve">Gregory F. Redinbo, Ph.D., </w:t>
      </w:r>
      <w:r>
        <w:rPr>
          <w:rFonts w:ascii="Times New Roman;Times;serif" w:hAnsi="Times New Roman;Times;serif"/>
          <w:i/>
          <w:sz w:val="20"/>
        </w:rPr>
        <w:t>59</w:t>
      </w:r>
      <w:r>
        <w:rPr>
          <w:rFonts w:ascii="Times New Roman;Times;serif" w:hAnsi="Times New Roman;Times;serif"/>
          <w:sz w:val="20"/>
        </w:rPr>
        <w:t xml:space="preserve">, is our Executive Vice President, Marketing and Applications, a position he assumed in September 2022.  He joined Axcelis in 2021 as Senior Vice President of Strategic Marketing and Business Development. Dr. Redinbo has over 25 years of experience in the semiconductor capital equipment industry.  Prior to joining Axcelis, he held the position of Vice President, Global Strategic Accounts at ASML from 2017 to 2020, where his focus was on business and relationship growth with a leading logic manufacturer and prior to that was Global Vice President of Sales, Service and Applications at FEI, a microscopy solutions company, where he worked from 2012 to 2017.  Dr. Redinbo’s past positions also include Director of Sales, US and Europe, and Director of Product Marketing, High Current Products at Varian Semiconductor and Product Management in the Thermal Processing Division at Applied Materials. </w:t>
        <w:b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Christopher Tatnall, Ph.D.</w:t>
      </w:r>
      <w:r>
        <w:rPr>
          <w:rFonts w:ascii="Times New Roman;Times;serif" w:hAnsi="Times New Roman;Times;serif"/>
          <w:sz w:val="20"/>
        </w:rPr>
        <w:t>, 51, became Axcelis’ Executive Vice President, Global Customer Operations in September 2023. In this capacity, Dr. Tatnall is responsible for Worldwide System Sales and Sales Operations, Global Service, Support and Training and the Axcelis Customer Solutions organization. Dr. Tatnall joined Axcelis in March 2022 as Senior Vice President of Sales. Prior to joining Axcelis, he was Vice President and General Manager at MKS Instruments, Plasma and Reactive Gas Division from May 2018 to March 2022, where he led a cross functional team of over 200 members with multiple product lines with both semiconductor and industrial applications. Prior to that, Dr. Tatnall was Senior Director of Customer Operations at Brooks Automation, Semiconductor Sales Manager at Alcatel Vacuum Technology, and Development Engineer at Edwards Vacuum.</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Risks Related to Our Business and Industry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Set forth below and elsewhere in this Annual Report on Form 10-K and in other documents we file with the SEC are risks and uncertainties that could cause actual results to differ materially from the results contemplated by the forward-looking statements contained in this Annual Report on Form 10-K. It is not possible to predict or identify all such risk factors. Consequently, the following is not a complete discussion of all potential risks or uncertainties.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semiconductor chip manufacturers do not make sufficient capital expenditures, our sales and profitability will be harmed.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New systems orders and used tool sales depend upon demand from semiconductor chip manufacturers who build or expand fabrication facilities. When the rate of construction or expansion of fabrication facilities declines, demand for our systems will decline, reducing our revenue. In addition, all or a portion of the demand for increased capacity may be satisfied by a semiconductor chip manufacturer’s ability to reconfigure and re-use equipment they already own. Revenue decline also hurts our profitability because our established cost structure and our continued investments in engineering, research and development, and marketing necessary to develop new products and to maintain extensive customer service and support capabilities, limit our ability to reduce expenses in proportion to declining sales.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develop and introduce reliable new or enhanced products and services that meet the needs of semiconductor chip manufacturers, our results will suffer.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Rapid technological changes in semiconductor chip manufacturing processes require us to respond quickly to changing customer requirements. Our future success will depend in part upon our ability to develop, manufacture and successfully introduce new systems and product lines with improved capabilities. This will depend upon a variety of factors, including new product selection, timely and efficient completion of product design and development as well as manufacturing and assembly processes, product performance in the field and effective sales and marketing. In particular:</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continue to develop competitive technical specifications for new systems, or enhancements to our existing systems, and manufacture and ship these systems or enhancements in volume in a timely manner.</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accurately predict the schedule on which our customers will be ready to transition to new products, in order to accurately forecast demand for new products while managing the transition from older products.</w:t>
            </w:r>
          </w:p>
        </w:tc>
      </w:tr>
    </w:tbl>
    <w:p>
      <w:pPr>
        <w:pStyle w:val="TextBody"/>
        <w:pBdr/>
        <w:bidi w:val="0"/>
        <w:spacing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effectively manage product reliability or quality problems that often exist with new systems, in order to avoid higher manufacturing costs, delays in acceptance and payment and additional service and warranty expenses, and ultimately, a lack of repeat orders.</w:t>
            </w:r>
          </w:p>
        </w:tc>
      </w:tr>
    </w:tbl>
    <w:p>
      <w:pPr>
        <w:pStyle w:val="TextBody"/>
        <w:pBdr/>
        <w:bidi w:val="0"/>
        <w:spacing w:before="0" w:after="0"/>
        <w:ind w:left="720" w:right="0" w:hanging="360"/>
        <w:jc w:val="left"/>
        <w:rPr/>
      </w:pPr>
      <w:r>
        <w:rPr/>
        <w:t>​</w:t>
      </w:r>
    </w:p>
    <w:tbl>
      <w:tblPr>
        <w:tblW w:w="4986" w:type="dxa"/>
        <w:jc w:val="left"/>
        <w:tblInd w:w="0" w:type="dxa"/>
        <w:tblLayout w:type="fixed"/>
        <w:tblCellMar>
          <w:top w:w="28" w:type="dxa"/>
          <w:left w:w="28" w:type="dxa"/>
          <w:bottom w:w="28" w:type="dxa"/>
          <w:right w:w="28" w:type="dxa"/>
        </w:tblCellMar>
      </w:tblPr>
      <w:tblGrid>
        <w:gridCol w:w="124"/>
        <w:gridCol w:w="256"/>
        <w:gridCol w:w="4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products must be accepted in the marketplace.</w:t>
            </w:r>
          </w:p>
        </w:tc>
      </w:tr>
    </w:tbl>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failure to meet any of these requirements will have a material adverse effect on our operating results and profitability.</w:t>
      </w:r>
    </w:p>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Axcelis is subject to the risks of operating internationally: we derive a substantial portion of our revenue from outside the United States, especially from Asia.</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27" w:name="_Hlk126825666"/>
      <w:bookmarkEnd w:id="27"/>
      <w:r>
        <w:rPr>
          <w:rFonts w:ascii="Times New Roman;Times;serif" w:hAnsi="Times New Roman;Times;serif"/>
          <w:sz w:val="20"/>
        </w:rPr>
        <w:t xml:space="preserve">We are substantially dependent on sales of our products and services to customers outside the United States. International sales, including export sales from our U.S. manufacturing facilities to non-U.S. customers and sales by our non-U.S. subsidiaries, accounted for 84.1% of total revenue in 2023. Customers based in Asia dominate our international sales. Ion implanter system shipments to customers in Asia represented 74.2% of total system revenue in 2023. We anticipate that international sales will continue to account for a significant portion of our revenue. In particular, we expect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that sales to Chinese customers (both global and domestic Chinese chip manufacturers) will continue to represent a significant portion of our total sales, creating both risk and opportunity.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U.S. export controls on shipments to Chinese customers have been notably increasing since 2020. Since the placement of SMIC on the U.S. Entity List in 2020, we are required to obtain export control licenses to ship to mature process SMIC fabs, which to date, we have been able to obtain. Other chipmakers have been placed on the Entity List, without a similar policy allowing licensed shipments. A new export controls regulatory framework issued by the U.S. in October 2022 and supplemented in October 2023, prohibits all semiconductor equipment shipments to Chinese customers (other than certain multi-nationals) who are producing or developing logic, DRAM and NAND chips meeting specific advanced parameters. While these regulations have further excluded exports to certain Chinese customers, we currently are able to continue to ship to the majority of our Chinese customers. In general, however, continuing revenue from Chinese customers is at higher risk than continuing revenue form customers in some other international locations because of trade tensions between the United States government and the Chinese government, and other challenges reflecting China’s stage of development and rapid growth.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Increased U.S. export controls and other political and trade tensions exacerbate the risk that Chinese customers will change suppliers to non-U.S. vendors, such as Advanced Ion Beam Technology, Inc., Nissin Ion Equipment Co., Ltd. and Sumitomo Heavy Industries Ion Technology Co., Ltd. In addition, a Chinese entity, known as CETC Electronics Equipment Group Co., Ltd., is developing ion implanters for the Chinese domestic market. The loss of a significant customer or any reduction or delays in our ability to ship to any significant customer will adversely affect 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source a substantial portion of our materials from outside of the United States. Because of our dependence upon international sales and our global supply chain, our results and prospects may be adversely affected by a number of factors, including:</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resulting in more burdensome governmental controls, tariffs, restrictions, embargoes or export license requirements;</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currency exchange rates;</w:t>
            </w:r>
          </w:p>
        </w:tc>
      </w:tr>
    </w:tbl>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economic instability;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health emergencies, such as pandemics, which have the potential to disrupt our manufacturing operations and those of our supply chain, as well as cause our customers to delay or cancel shipments;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accounts receivable collections;</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payment terms beyond those customarily offered in the United States;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suppliers, service providers or representatives outside of the United States;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staffing and managing foreign subsidiary operations; and</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adverse tax consequences.</w:t>
            </w:r>
          </w:p>
        </w:tc>
      </w:tr>
    </w:tbl>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dependence upon suppliers for many components and sub-assemblies could result in increased costs or delays in the manufacture and sale of our products.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rely to a substantial extent on outside vendors to manufacture many of the components and sub-assemblies of our products. We obtain many of these components and sub-assemblies from a limited group of suppliers. Accordingly, based on situations outside of our control, we may be unable to obtain an adequate supply of required components on a timely basis, on price and other terms acceptable to us, or at all. In addition, we often quote prices to our customers and accept customer orders for our products before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 negatively impacting our gross margin.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manufacture of some of these components and sub-assemblies is an extremely complex process and requires long lead times. As a result, we could experience delays or shortages. If we are unable to obtain adequate and timely deliveries of our required components or sub-assemblies, we may have to seek alternative sources of supply or manufacture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components internally. This could delay our ability to manufacture or to ship our systems on a timely basis, causing us to lose sales, incur additional costs, delay new product introductions, and suffer harm to our reputation.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if actual demand for Axcelis’ products is different than expected, Axcelis may purchase more or fewer parts than necessary or incur costs for canceling, postponing, or expediting delivery of parts. If Axcelis purchases inventory in anticipation of customer demand that does not materialize, or if customers reduce or delay orders, Axcelis may incur excess inventory charges.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 significant portion of our revenue depends on customers electing to buy aftermarket products and services from Axcelis.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Historically, a significant portion of our product revenue and all of our service revenue relates to our sale of “aftermarket” products and services, which include parts, consumables, upgrades, service contracts, and time and materials billings. Some of our customers purchase fewer aftermarket products and services, often training their own staff to maintain and service semiconductor capital equipment rather than relying on the equipment manufacturer for these services. In addition, we compete against third-party parts suppliers for the sale of parts and consumables that are not protected by patents or otherwise proprietary. To the extent our customers purchase parts and services from other vendors or provide their own system maintenance labor, our revenue and profitability will be reduced.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we fail to compete successfully in the highly competitive semiconductor capital equipment industry, our sales and profitability will decline.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ion implant segment is highly competitive and includes one company with substantially greater financial, engineering, manufacturing, marketing and customer service and support resources that may better position it to compete successfully than we can, as well as several smaller companies that could provide innovative systems with technology that may have performance advantages.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Finally, if we must lower prices to remain competitive without commensurate cost of goods savings, our gross margin and profitability will be adversely affected.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dependent on sales to a limited number of large customers; the loss of a significant customer or any reduction in orders from them could materially affect our sales.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Historically, we have sold a significant portion of our products and services to a limited number of semiconductor chip manufacturers. In 2023, our top ten customers accounted for 51.7% of our net sales, in comparison to 59.4% and 69.5% in 2022 and 2021, respectively. None of our customers have entered into a long-term agreement requiring it to purchase our products. Our customers located in China represent a significant portion of our revenue, and are subject to U.S. export controls restrictions, as discussed above. Although the composition of the group comprising our largest customers has varied from year to year, the loss of a significant customer or any reduction or delays in orders from any significant customer will adversely affect us. Consolidation of semiconductor chip manufacturers may result in the loss of a customer.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international operations involve currency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our system sales are billed in U.S. dollars. We also pay almost all non-U.S. vendors providing materials, components, and subassemblies to our U.S. factory in U.S. dollars. Aftermarket revenues of our non-U.S. subsidiaries are denominated in both local currency and U.S. dollars. The majority of operating expenses of these non-U.S. subsidiaries, are received and incurred in local currencies. The establishment of the Axcelis Asia Operations Center in South Korea has increased the volume of our transactions in non-U.S. dollar currencies and increased the impact of foreign exchange gain / loss on the Company’s financial results. The Company experiences translation adjustments when local currency accounts payable on non-U.S. subsidiary books are re-measured for consolidated financial reporting. Similarly, the translation of long-term asset and liability values to U.S. dollars are recorded in stockholders’ equity as an element of accumulated other comprehensive income (loss). The value of the asset or liability in U.S. dollars will increase or decrease relative to the local currency based on changes in the exchange rate between the two currencies over the period. As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result, any unplanned non-cash gains or losses are recorded in the Company’s consolidated financial statements. Accordingly, fluctuations in exchange rates can impact reported revenues, expense, and profitability and asset values in our Consolidated Financial Statements. During the year ended December 31, 2023, approximately 5.8% of our revenue was derived in local currencies from foreign operations with this inherent risk. In addition, at December 31, 2023, our operations outside of the United States accounted for approximately 9.4% of our total assets, the majority of which was denominated in currencies other than the U.S. dollar.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able to maintain and expand our business if we are not able to hire, retain and integrate qualified personnel.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both in the Boston metropolitan area and in other locations around the world. If we are unable to retain our existing key personnel, or attract and retain additional qualified personnel, we may from time to time experience insufficient levels of staffing to fully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financial results may fluctuate significantly.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derive our new systems revenue from the sale of a small number of expensive products to a relatively small number of customers. The selling prices on our ion implant systems range from approximately $2.6 million to $12.0 million. We also sell used equipment in our aftermarket business. Each sale, or failure to make a sale, may have a significant effect on us in a particular quarter. In a given quarter, a number of factors can adversely affect our revenue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Our financial results also fluctuate based on gross profit realized on sales. A variety of factors may cause gross profit as a percentage of revenue to vary, including the mix and average selling prices of products sold, costs to manufacture and customize systems, warranty costs and the impact of changes to inventory reserves. New product introductions may also affect our gross margin. Fluctuations in our financial results may have an adverse effect on the price of our common stock.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financial results may fall short of anticipated levels because forecasting revenue and profitability is complex and may be inaccurate.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may from time to time provide financial forecasts to investors. These forecasts are based on assumptions, which are believed to be reasonable when made, of the timing of system orders, system shipments, system acceptance and aftermarket revenue. Any of these assumptions can prove erroneous and the level of revenue recognizable in a particular quarter may vary from the forecast. Our lengthy sales cycle, coupled with customers’ competing capital budget considerations, make revenue difficult to predict. In addition, our backlog at the beginning of a quarter typically does not include all orders required to achieve our sales objectives for that quarter and is not a reliable indicator of our future sales. As a result, our revenue and operating results for a quarter depend on our shipping systems on previous orders as scheduled during that quarter, receiving customer acceptance of previously shipped products, and obtaining new orders for products and services to be provided within that same quarter. Any delay in, or cancellation of, scheduled shipments and customer acceptances or in revenue from new orders, including aftermarket revenue, could materially affect our financial results.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Accounting rules addressing revenue recognition add more complexity in forecasting quarterly revenue and profitability. Orders for our products usually contain multiple performance obligations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forecasted financial performance may have an adverse effect on the price of our common stock.</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semiconductor equipment industry is cyclical and we expect that demand for our products will increase and decrease, making it difficult to manage the business and potentially causing harm to our sales and profitability.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semiconductor industry is cyclical, experiencing upturns when the demand for our products is high and downturns when our customers are not investing in new or expanded fabrication facilities. From time to time, inventory buildups in the semiconductor device industry produce an oversupply of semiconductors. This can cause a reduced demand for capital equipment such as our products, negatively impacting our sales and level of profitability. Our revenue can vary significantly from one point in the cycle to another, making it difficult to manage the business, both when revenue is increasing and when it is decreasing. In addition, a substantial portion of our operating expenses do not fluctuate with changes in volume. Significant decreases in revenue can therefore have a disproportionate effect on profitability. In addition, reduced demand for our products and services may require Axcelis to implement cost reduction efforts, including restructuring activities, which may adversely affect Axcelis’ ability to capitalize on opportunities that arise in the future.</w:t>
      </w:r>
    </w:p>
    <w:p>
      <w:pPr>
        <w:pStyle w:val="TextBody"/>
        <w:bidi w:val="0"/>
        <w:spacing w:before="280" w:after="0"/>
        <w:ind w:left="0" w:right="0" w:hanging="0"/>
        <w:jc w:val="left"/>
        <w:rPr>
          <w:rFonts w:ascii="Times New Roman;Times;serif" w:hAnsi="Times New Roman;Times;serif"/>
          <w:b/>
          <w:i/>
          <w:sz w:val="20"/>
        </w:rPr>
      </w:pPr>
      <w:r>
        <w:rPr>
          <w:rFonts w:ascii="Times New Roman;Times;serif" w:hAnsi="Times New Roman;Times;serif"/>
          <w:b/>
          <w:i/>
          <w:sz w:val="20"/>
        </w:rPr>
        <w:t>Axcelis is exposed to risks related to cybersecurity threats and incidents.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the conduct of our business, Axcelis collects, uses, transmits, and stores data on information technology systems. This data includes confidential information belonging to Axcelis, our employees or our customers or other business partners, some of which is personally-identifiable information of individuals. As reported in the 2023 Verizon Data Breach Investigation Report, cyber-attacks in the manufacturing industries are almost entirely financially motivated. Axcelis has been and expects to continue to be subject to cybersecurity threats and incidents, including through employee error or misuse; individual attempts to gain unauthorized access to information systems; and sophisticated and targeted measures known as advanced persistent threats, none of which have had a material impact on the Company to date.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bookmarkStart w:id="28" w:name="_Hlk158362748"/>
      <w:bookmarkEnd w:id="28"/>
      <w:r>
        <w:rPr>
          <w:rFonts w:ascii="Times New Roman;Times;serif" w:hAnsi="Times New Roman;Times;serif"/>
          <w:sz w:val="20"/>
        </w:rPr>
        <w:t>Axcelis implements a “Layered Security Strategy” that aligns with National Institute of Standards and Technology Cybersecurity Framework. To do so, we devote significant resources to network security, data encryption, employee training and other measures to protect our systems and data from unauthorized access or misuse. This includes continuously monitoring and reacting to the cybersecurity environment, by implementing best-in-class solutions from a number of vendors. On an on-going basis, we engage a cybersecurity consultant to validate and advise on the Company’s cyber landscape and to drive employee vigilance through employee cyber training and messaging. We continually replace less secure legacy systems to improve internal and external cyber defenses and maintain a cyber incident response plan including reporting and recovery processes. See Item IC “Cybersecurity” below. In addition, as discussed in our proxy statement, the Audit Committee and the full Board of Directors receive quarterly reports on cybersecurity risks and annual reports on management initiatives to promote cybersecurity.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However, depending on their nature and scope, cybersecurity incidents could result in business disruption; the misappropriation, corruption or loss of confidential information and critical data (Axcelis’ and that of third parties); reputational damage; unnecessary expense; litigation with third parties; diminution in the value of Axcelis’ investment in research, development, and engineering; data privacy issues; and increased cybersecurity protection and remediation costs. These adverse outcomes could negatively impact our revenues, expenses, profitability, and asset values.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Axcelis is subject to risks associated with compliance with environmental, health and safety regulations.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and safety regulations could result in: significant remediation or other legal liabilities; the imposition of penalties and fines; restrictions on the development, manufacture, sale, shipment or use of certain of its products; limitations on the operation of its facilities or ability to use its real property; and a decrease in the value of its real property. Axcelis could be required to alter its manufacturing and operations and incur substantial expense in order to comply with environmental, health and safety regulations. Any failure to comply with these regulations could subject Axcelis to significant costs and liabilities that could adversely affect Axcelis’ business, financial condition, and results of operations.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Our financial condition and results of operations could be adversely affected by global pandemics.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Global pandemics, such as COVID-19, have in the past and may again in the future cause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Such pandemics may drive changes in the demand for certain of our customers’ products, resulting in their delay or cancelation of purchases from us. The extent to which pandemics may impact our results will depend on future developments, which are highly uncertain and cannot be predicted.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proprietary technology may be vulnerable to efforts by competitors to challenge or design around, potentially reducing our market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challenge, design around or legitimately use the proprietary technology embedded in our systems or other technology or information used in our business. If this occurs, the value of our proprietary technology will be diminished. Our means of protecting our proprietary rights may not be adequate and our patents may not be sufficient to prevent others from using technology that is similar to or the same as our technology. Patents issued to us may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 Finally, all patents expire after a period of time (in the U.S., patents expire 20 years from the date of filing of the patent application). Our market share could be negatively impacted by the invalidation or expiration of a patent which had created a barrier for our competitors.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also has agreements with third parties for licensing of patented or proprietary technology with Axcelis as the licensor or the licensee. Termination of license agreements or claims of infringement with respect to such technology could have an adverse impact on our financial performance or ability to ship products with existing configurations.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(or customers that we indemnify) might face intellectual property infringement claims or patent disputes that may be costly to resolve and, if resolved against us, could be very costly to us and prevent us from making and selling our systems.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claims and proceedings may be asserted against us relative to patent validity or infringement matters. We typically agree to indemnify our customers from liability to third parties for intellectual property infringement arising from the use of our products in their intended manner. Therefore, we may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and could divert the attention of our management. Adverse determinations in any litigation could subject us to significant liabilities to third parties, require us to remove certain features from our products or seek costly licenses from third parties or prevent us from manufacturing and selling our systems. In addition, infringement indemnification clauses in system sale agreements may require us to take other actions or require us to provide certain remedies to customers who are exposed to indemnified liabilities. Any of these situations could have a material adverse effect on our business results.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If operations were to be disrupted at Axcelis’ manufacturing facilities, it would have a negative impact on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primary manufacturing facility is located in Massachusetts, with a smaller facility located in South Korea. Our operations could be subject to disruption for a variety of reasons, including, but not limited to severe weather events, other effects of climate change, natural disasters, work stoppages, operational facility constraints and terrorism. Such disruption could cause delays in shipments of products to our customers and could result in cancellation of orders or loss of customers, which could seriously harm our business.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do not have access to capital on favorable terms, on the timeline we anticipate, or at all, our financial condition and results of operations could be materially adversely affected.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require a substantial amount of capital to meet our operating requirements and remain competitive. We routinely incur significant costs to purchase inventory to meet expected system sales, to develop and introduce new products, and to place evaluation systems at new customer sites. There can be no assurance that we will realize a return on the capital expended. Although our current cash levels and borrowing capacity are expected to be adequate for our foreseeable cash requirements, if our operating results falter, or our cash flow or capital resources prove inadequate, we may incur debt to fund these requirements. Significant volatility or disruption in the global financial markets may result in us not being able to obtain additional financing on favorable terms, on the timeline we anticipate, or at all, and we may not be able to refinance, if necessary, any outstanding debt when due, all of which could have a material adverse effect on our financial condition. Any inability to obtain financing on favorable terms, on the timeline we anticipate, or at all, may cause us to curtail our operations significantly, reduce planned capital expenditures and research and development, or obtain funds through arrangements that management does not currently anticipate, including disposing of our assets and relinquishing rights to certain technologies, the occurrence of any of which may significantly impair our ability to remain competitive, and materially and adversely affect our results of operations and financial condition.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The market price of our common stock may be volatile, which could result in substantial losses for investors.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stock markets in general, and the markets for semiconductor equipment stocks in particular, have experienced extreme volatility that has often been unrelated to the operating performance of particular companies. These broad market fluctuations may adversely affect the trading price of our common stock. The market price of the common stock may also fluctuate significantly in response to the following factors, among others, some of which are beyond our control: </w:t>
      </w:r>
    </w:p>
    <w:p>
      <w:pPr>
        <w:pStyle w:val="TextBody"/>
        <w:bidi w:val="0"/>
        <w:spacing w:before="0" w:after="0"/>
        <w:ind w:left="0" w:right="0" w:firstLine="720"/>
        <w:jc w:val="left"/>
        <w:rPr/>
      </w:pPr>
      <w:r>
        <w:rPr/>
        <w:t>​</w:t>
      </w:r>
    </w:p>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or repurchase of shares of our common stock;</w:t>
            </w:r>
          </w:p>
        </w:tc>
      </w:tr>
    </w:tbl>
    <w:tbl>
      <w:tblPr>
        <w:tblW w:w="6171" w:type="dxa"/>
        <w:jc w:val="left"/>
        <w:tblInd w:w="0" w:type="dxa"/>
        <w:tblLayout w:type="fixed"/>
        <w:tblCellMar>
          <w:top w:w="28" w:type="dxa"/>
          <w:left w:w="28" w:type="dxa"/>
          <w:bottom w:w="28" w:type="dxa"/>
          <w:right w:w="28" w:type="dxa"/>
        </w:tblCellMar>
      </w:tblPr>
      <w:tblGrid>
        <w:gridCol w:w="124"/>
        <w:gridCol w:w="25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securities analysts’ estimates of our financial performance;</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contracts, acquisitions, strategic partnerships, joint ventures, capital commitments, new products or product enhancements;</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major customer or failure to complete significant transactions;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positions adopted by investor stewardship groups and proxy advisory firms regarding desired environmental, social and governance disclosures, policies, ranking systems, and other initiatives.</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trading price of our common stock in the past has been significantly volatile, and we cannot accurately predict every potential risk that may materially and adversely affect our stock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9" w:name="_064f3b5a_029e_49c1_b68c_6b577e744c9a"/>
      <w:bookmarkEnd w:id="29"/>
      <w:r>
        <w:rPr>
          <w:rFonts w:ascii="Times New Roman;Times;serif" w:hAnsi="Times New Roman;Times;serif"/>
          <w:b/>
          <w:sz w:val="20"/>
        </w:rPr>
        <w:t>Item 1B. Unresolved Staff Comments.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30" w:name="_fa258f5c_76a3_4216_925d_fb4ead3d9a80"/>
      <w:bookmarkEnd w:id="30"/>
      <w:r>
        <w:rPr>
          <w:rFonts w:ascii="Times New Roman;Times;serif" w:hAnsi="Times New Roman;Times;serif"/>
          <w:b/>
          <w:sz w:val="20"/>
        </w:rPr>
        <w:t xml:space="preserve">Item 1C. Cybersecurity.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implements an enterprise risk management (“ERM”) process in which management annually identifies and reviews the principal risks to which the Company’s business is subject, rating each risk in terms of likelihood of occurrence and severity of impact. Risks that have either a high likelihood or a high potential impact on our business are assessed quarterly with respect to the trend (an increasing or decreasing risk) and whether additional mitigation actions are needed. These quarterly risk assessments are shared with our Board of Directors, with the Audit Committee reviewing any changes in risk identification or ranking on an annual basis.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Cybersecurity risks are integrated into our overall ERM, and our Chief Information Officer assesses the trends and need for additional mitigations on a quarterly basis. Our main concerns are (i) the unauthorized exfiltration of personal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information pertaining to Axcelis employees, (ii) the unauthorized exfiltration of confidential business or technical information, and (iii) an inability to use our business systems for a period of time following a cybersecurity event.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has adopted a Cybersecurity Incident Response plan which lays out the roles of IT personnel, senior leadership, and legal resources in responding to a cybersecurity incident. This plan is shared with our Board of Directors and reviewed annually. These risks could materially impact the business of the Company. To date, the Company has not experienced a material cybersecurity incident.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implement risk management and protective strategies, management implements a “Layered Security Strategy” that aligns with National Institute of Standards and Technology Cybersecurity Framework. We consider the various factors that can play a role in the occurrence of a cybersecurity incident, such as:</w:t>
      </w:r>
    </w:p>
    <w:p>
      <w:pPr>
        <w:pStyle w:val="TextBody"/>
        <w:bidi w:val="0"/>
        <w:spacing w:before="0" w:after="0"/>
        <w:ind w:left="0" w:right="0" w:hanging="0"/>
        <w:jc w:val="left"/>
        <w:rPr/>
      </w:pPr>
      <w:r>
        <w:rPr/>
        <w:t>​</w:t>
      </w:r>
    </w:p>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system access</w:t>
            </w:r>
          </w:p>
        </w:tc>
      </w:tr>
    </w:tbl>
    <w:tbl>
      <w:tblPr>
        <w:tblW w:w="1386" w:type="dxa"/>
        <w:jc w:val="left"/>
        <w:tblInd w:w="0" w:type="dxa"/>
        <w:tblLayout w:type="fixed"/>
        <w:tblCellMar>
          <w:top w:w="28" w:type="dxa"/>
          <w:left w:w="28" w:type="dxa"/>
          <w:bottom w:w="28" w:type="dxa"/>
          <w:right w:w="28" w:type="dxa"/>
        </w:tblCellMar>
      </w:tblPr>
      <w:tblGrid>
        <w:gridCol w:w="124"/>
        <w:gridCol w:w="256"/>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 errors</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Undetected system vulnerabilities</w:t>
            </w:r>
          </w:p>
        </w:tc>
      </w:tr>
    </w:tbl>
    <w:tbl>
      <w:tblPr>
        <w:tblW w:w="2136" w:type="dxa"/>
        <w:jc w:val="left"/>
        <w:tblInd w:w="0" w:type="dxa"/>
        <w:tblLayout w:type="fixed"/>
        <w:tblCellMar>
          <w:top w:w="28" w:type="dxa"/>
          <w:left w:w="28" w:type="dxa"/>
          <w:bottom w:w="28" w:type="dxa"/>
          <w:right w:w="28" w:type="dxa"/>
        </w:tblCellMar>
      </w:tblPr>
      <w:tblGrid>
        <w:gridCol w:w="124"/>
        <w:gridCol w:w="256"/>
        <w:gridCol w:w="1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 device risks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Vulnerabilities in software applications and specific hardware</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party cybersecurity risks</w:t>
            </w:r>
          </w:p>
        </w:tc>
      </w:tr>
    </w:tbl>
    <w:tbl>
      <w:tblPr>
        <w:tblW w:w="1671" w:type="dxa"/>
        <w:jc w:val="left"/>
        <w:tblInd w:w="0" w:type="dxa"/>
        <w:tblLayout w:type="fixed"/>
        <w:tblCellMar>
          <w:top w:w="28" w:type="dxa"/>
          <w:left w:w="28" w:type="dxa"/>
          <w:bottom w:w="28" w:type="dxa"/>
          <w:right w:w="28" w:type="dxa"/>
        </w:tblCellMar>
      </w:tblPr>
      <w:tblGrid>
        <w:gridCol w:w="124"/>
        <w:gridCol w:w="256"/>
        <w:gridCol w:w="1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threats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has implemented specific mitigation strategies for each of these factors, such as (i) user training to avoid fraud and other scams, (ii) utilizing multi-factor authentication processes for system access, (iii) engaging in vulnerability scanning applications, (iv) upgrading software and hardware to those with the greatest security protections, and (v) ensuring third parties to whom sensitive information is provided have appropriate security. Management has also developed a vendor assessment form to evaluate potential “Software as a Service” providers, which is incorporated in the Company’s RFP processes. The Company routinely obtains and reviews SOC 2 reports from third parties who have access to the Company’s information, some of which are part of management’s internal controls over financial reporting. The Company accesses cybersecurity consultants and legal counsel to assist in the identification of vulnerabilities and advise on appropriate mitigation and preparedness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Overall, we devote significant resources to network security, data encryption, employee training and other measures to protect our systems and data from unauthorized access or misuse. The Audit Committee and full Board of Directors receive quarterly reports on cybersecurity risks and annual reports on management initiatives to promote cybersecurity.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1" w:name="_fd42835c_3010_41dc_bfbe_3f168a94af91"/>
      <w:bookmarkEnd w:id="31"/>
      <w:r>
        <w:rPr>
          <w:rFonts w:ascii="Times New Roman;Times;serif" w:hAnsi="Times New Roman;Times;serif"/>
          <w:b/>
          <w:sz w:val="20"/>
        </w:rPr>
        <w:t>Item 2. Properties.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lease our principal facility in Beverly, Massachusetts, which comprises 417,000 square feet. The facility is principally used for manufacturing, research and development, sales/marketing, customer support, advanced process development, product demonstration, customer-training center and corporate headquarters. We also lease our Axcelis Asia Operations Center in South Korea, which comprises 38,000 square feet and is principally used for manufacturing. In 2023, we opened the Axcelis Logistics Center, a leased, state-of-the-art logistics and flex manufacturing center with 101,800 square feet built to our specifications, in Beverly, Massachusetts.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our manufacturing facilities and equipment generally are well maintained, in good operating condition, suitable for our purposes, and adequate for our present operations.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own 23 acres of undeveloped property in Beverly, Massachusetts, adjacent to our headquarters.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also leased 40 other properties, of which 12 are located in the United States and the remainder are located in Asia and Europe, including offices in Taiwan, Singapore, South Korea, China, Japan, Italy and Germany. These properties are used for sales and service offices and warehousing.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Beverly, Massachusetts facility is ISO 9001:2015 and ISO 14001:2015 certified and our European office is ISO 9001:2015 certified.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32" w:name="_364f1c48_826e_4710_9a7b_8dccdb0c61a9"/>
      <w:bookmarkEnd w:id="32"/>
      <w:r>
        <w:rPr>
          <w:rFonts w:ascii="Times New Roman;Times;serif" w:hAnsi="Times New Roman;Times;serif"/>
          <w:b/>
          <w:sz w:val="20"/>
        </w:rPr>
        <w:t>Item 3. 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not presently a party to any litigation that we believe might have a material adverse effect on our business operations. We are, from time to time, a party to litigation that arises in the normal course of our business operations.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33" w:name="_c8637833_4adc_44c2_b3b6_1daca7835dbc"/>
      <w:bookmarkEnd w:id="33"/>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center"/>
        <w:rPr>
          <w:rFonts w:ascii="Times New Roman;Times;serif" w:hAnsi="Times New Roman;Times;serif"/>
          <w:b/>
          <w:sz w:val="20"/>
        </w:rPr>
      </w:pPr>
      <w:bookmarkStart w:id="34" w:name="_6f63f07d_dfaf_4320_ab74_b58977023cc8"/>
      <w:bookmarkEnd w:id="34"/>
      <w:r>
        <w:rPr>
          <w:rFonts w:ascii="Times New Roman;Times;serif" w:hAnsi="Times New Roman;Times;serif"/>
          <w:b/>
          <w:sz w:val="20"/>
        </w:rPr>
        <w:t>PART II</w:t>
      </w:r>
    </w:p>
    <w:p>
      <w:pPr>
        <w:pStyle w:val="TextBody"/>
        <w:bidi w:val="0"/>
        <w:spacing w:before="0" w:after="0"/>
        <w:ind w:left="0" w:right="0" w:hanging="0"/>
        <w:jc w:val="center"/>
        <w:rPr/>
      </w:pPr>
      <w:r>
        <w:rPr/>
        <w:t>​</w:t>
      </w:r>
    </w:p>
    <w:p>
      <w:pPr>
        <w:pStyle w:val="TextBody"/>
        <w:pBdr/>
        <w:bidi w:val="0"/>
        <w:spacing w:before="0" w:after="0"/>
        <w:ind w:left="0" w:right="0" w:hanging="792"/>
        <w:jc w:val="left"/>
        <w:rPr>
          <w:rFonts w:ascii="Times New Roman;Times;serif" w:hAnsi="Times New Roman;Times;serif"/>
          <w:b/>
          <w:sz w:val="20"/>
        </w:rPr>
      </w:pPr>
      <w:r>
        <w:rPr>
          <w:rFonts w:ascii="Times New Roman;Times;serif" w:hAnsi="Times New Roman;Times;serif"/>
          <w:b/>
          <w:sz w:val="20"/>
        </w:rPr>
        <w:t>Item 5. Market for Registrant’s Common Equity, Related Stockholder Matters and Issuer Purchases of Equity Securities.</w:t>
      </w:r>
    </w:p>
    <w:p>
      <w:pPr>
        <w:pStyle w:val="TextBody"/>
        <w:pBdr/>
        <w:bidi w:val="0"/>
        <w:spacing w:before="0" w:after="0"/>
        <w:ind w:left="0" w:right="0" w:hanging="792"/>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common stock trades on the Nasdaq Global Select Market under the symbol ACLS. As of February 20, 2024, we had approximately 712 stockholders of record.</w:t>
      </w:r>
    </w:p>
    <w:p>
      <w:pPr>
        <w:pStyle w:val="TextBody"/>
        <w:bidi w:val="0"/>
        <w:spacing w:before="0" w:after="0"/>
        <w:ind w:left="0" w:right="0" w:firstLine="720"/>
        <w:jc w:val="left"/>
        <w:rPr/>
      </w:pPr>
      <w:r>
        <w:rPr/>
        <w:t>​</w:t>
      </w:r>
    </w:p>
    <w:p>
      <w:pPr>
        <w:pStyle w:val="TextBody"/>
        <w:bidi w:val="0"/>
        <w:spacing w:before="9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repurchase activity for the 12 months ended December 31, 2023 pursuant to our stock repurchase program: </w:t>
      </w:r>
    </w:p>
    <w:p>
      <w:pPr>
        <w:pStyle w:val="TextBody"/>
        <w:bidi w:val="0"/>
        <w:spacing w:before="0" w:after="0"/>
        <w:ind w:left="0" w:right="0" w:firstLine="72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1374"/>
        <w:gridCol w:w="266"/>
        <w:gridCol w:w="1387"/>
        <w:gridCol w:w="266"/>
        <w:gridCol w:w="1181"/>
        <w:gridCol w:w="266"/>
        <w:gridCol w:w="2310"/>
        <w:gridCol w:w="266"/>
        <w:gridCol w:w="576"/>
        <w:gridCol w:w="2040"/>
        <w:gridCol w:w="273"/>
      </w:tblGrid>
      <w:tr>
        <w:trPr/>
        <w:tc>
          <w:tcPr>
            <w:tcW w:w="137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910" cy="175260"/>
                      <wp:effectExtent l="0" t="0" r="0" b="0"/>
                      <wp:wrapNone/>
                      <wp:docPr id="1" name="Frame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80745" cy="175260"/>
                      <wp:effectExtent l="0" t="0" r="0" b="0"/>
                      <wp:wrapNone/>
                      <wp:docPr id="2" name="Frame2"/>
                      <a:graphic xmlns:a="http://schemas.openxmlformats.org/drawingml/2006/main">
                        <a:graphicData uri="http://schemas.microsoft.com/office/word/2010/wordprocessingShape">
                          <wps:wsp>
                            <wps:cNvSpPr txBox="1"/>
                            <wps:spPr>
                              <a:xfrm>
                                <a:off x="0" y="0"/>
                                <a:ext cx="880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68910" cy="175260"/>
                      <wp:effectExtent l="0" t="0" r="0" b="0"/>
                      <wp:wrapNone/>
                      <wp:docPr id="3" name="Frame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49935" cy="175260"/>
                      <wp:effectExtent l="0" t="0" r="0" b="0"/>
                      <wp:wrapNone/>
                      <wp:docPr id="4" name="Frame4"/>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66850" cy="175260"/>
                      <wp:effectExtent l="0" t="0" r="0" b="0"/>
                      <wp:wrapNone/>
                      <wp:docPr id="6" name="Frame6"/>
                      <a:graphic xmlns:a="http://schemas.openxmlformats.org/drawingml/2006/main">
                        <a:graphicData uri="http://schemas.microsoft.com/office/word/2010/wordprocessingShape">
                          <wps:wsp>
                            <wps:cNvSpPr txBox="1"/>
                            <wps:spPr>
                              <a:xfrm>
                                <a:off x="0" y="0"/>
                                <a:ext cx="146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8910" cy="175260"/>
                      <wp:effectExtent l="0" t="0" r="0" b="0"/>
                      <wp:wrapNone/>
                      <wp:docPr id="7" name="Frame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5760" cy="175260"/>
                      <wp:effectExtent l="0" t="0" r="0" b="0"/>
                      <wp:wrapNone/>
                      <wp:docPr id="8" name="Frame8"/>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95400" cy="175260"/>
                      <wp:effectExtent l="0" t="0" r="0" b="0"/>
                      <wp:wrapNone/>
                      <wp:docPr id="9" name="Frame9"/>
                      <a:graphic xmlns:a="http://schemas.openxmlformats.org/drawingml/2006/main">
                        <a:graphicData uri="http://schemas.microsoft.com/office/word/2010/wordprocessingShape">
                          <wps:wsp>
                            <wps:cNvSpPr txBox="1"/>
                            <wps:spPr>
                              <a:xfrm>
                                <a:off x="0" y="0"/>
                                <a:ext cx="1295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3355" cy="175260"/>
                      <wp:effectExtent l="0" t="0" r="0" b="0"/>
                      <wp:wrapNone/>
                      <wp:docPr id="10" name="Frame1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3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w:t>
            </w:r>
          </w:p>
        </w:tc>
        <w:tc>
          <w:tcPr>
            <w:tcW w:w="266" w:type="dxa"/>
            <w:tcBorders/>
            <w:vAlign w:val="center"/>
          </w:tcPr>
          <w:p>
            <w:pPr>
              <w:pStyle w:val="TableContents"/>
              <w:bidi w:val="0"/>
              <w:spacing w:before="0" w:after="0"/>
              <w:ind w:left="0" w:right="0" w:hanging="0"/>
              <w:jc w:val="left"/>
              <w:rPr/>
            </w:pPr>
            <w:r>
              <w:rPr/>
              <w:t>   </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266" w:type="dxa"/>
            <w:tcBorders/>
            <w:vAlign w:val="center"/>
          </w:tcPr>
          <w:p>
            <w:pPr>
              <w:pStyle w:val="TableContents"/>
              <w:bidi w:val="0"/>
              <w:spacing w:before="0" w:after="0"/>
              <w:ind w:left="0" w:right="0" w:hanging="0"/>
              <w:jc w:val="left"/>
              <w:rPr/>
            </w:pPr>
            <w:r>
              <w:rPr/>
              <w:t>   </w:t>
            </w:r>
          </w:p>
        </w:tc>
        <w:tc>
          <w:tcPr>
            <w:tcW w:w="23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Program</w:t>
            </w:r>
          </w:p>
        </w:tc>
        <w:tc>
          <w:tcPr>
            <w:tcW w:w="266" w:type="dxa"/>
            <w:tcBorders/>
            <w:vAlign w:val="center"/>
          </w:tcPr>
          <w:p>
            <w:pPr>
              <w:pStyle w:val="TableContents"/>
              <w:bidi w:val="0"/>
              <w:spacing w:before="0" w:after="0"/>
              <w:ind w:left="0" w:right="0" w:hanging="0"/>
              <w:jc w:val="left"/>
              <w:rPr/>
            </w:pPr>
            <w:r>
              <w:rPr/>
              <w:t>   </w:t>
            </w:r>
          </w:p>
        </w:tc>
        <w:tc>
          <w:tcPr>
            <w:tcW w:w="2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Program</w:t>
            </w:r>
          </w:p>
        </w:tc>
        <w:tc>
          <w:tcPr>
            <w:tcW w:w="273" w:type="dxa"/>
            <w:tcBorders/>
            <w:vAlign w:val="center"/>
          </w:tcPr>
          <w:p>
            <w:pPr>
              <w:pStyle w:val="TableContents"/>
              <w:bidi w:val="0"/>
              <w:spacing w:before="0" w:after="0"/>
              <w:ind w:left="0" w:right="0" w:hanging="0"/>
              <w:jc w:val="left"/>
              <w:rPr/>
            </w:pPr>
            <w:r>
              <w:rPr/>
              <w:t>​</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37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29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amounts)</w:t>
            </w:r>
          </w:p>
        </w:tc>
        <w:tc>
          <w:tcPr>
            <w:tcW w:w="273" w:type="dxa"/>
            <w:tcBorders/>
            <w:vAlign w:val="center"/>
          </w:tcPr>
          <w:p>
            <w:pPr>
              <w:pStyle w:val="TableContents"/>
              <w:bidi w:val="0"/>
              <w:spacing w:before="0" w:after="0"/>
              <w:ind w:left="0" w:right="0" w:hanging="0"/>
              <w:jc w:val="left"/>
              <w:rPr/>
            </w:pPr>
            <w:r>
              <w:rPr/>
              <w:t>​</w:t>
            </w:r>
          </w:p>
        </w:tc>
      </w:tr>
      <w:tr>
        <w:trPr/>
        <w:tc>
          <w:tcPr>
            <w:tcW w:w="13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January 1 through January 31 </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66" w:type="dxa"/>
            <w:tcBorders/>
            <w:shd w:fill="CCEEFF" w:val="clear"/>
            <w:vAlign w:val="center"/>
          </w:tcPr>
          <w:p>
            <w:pPr>
              <w:pStyle w:val="TableContents"/>
              <w:bidi w:val="0"/>
              <w:spacing w:before="0" w:after="0"/>
              <w:ind w:left="0" w:right="0" w:hanging="0"/>
              <w:jc w:val="center"/>
              <w:rPr/>
            </w:pPr>
            <w:r>
              <w:rPr/>
              <w:t>​</w:t>
            </w:r>
          </w:p>
        </w:tc>
        <w:tc>
          <w:tcPr>
            <w:tcW w:w="11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$102.49</w:t>
            </w:r>
          </w:p>
        </w:tc>
        <w:tc>
          <w:tcPr>
            <w:tcW w:w="266" w:type="dxa"/>
            <w:tcBorders/>
            <w:shd w:fill="CCEEFF" w:val="clear"/>
            <w:vAlign w:val="center"/>
          </w:tcPr>
          <w:p>
            <w:pPr>
              <w:pStyle w:val="TableContents"/>
              <w:bidi w:val="0"/>
              <w:spacing w:before="0" w:after="0"/>
              <w:ind w:left="0" w:right="0" w:hanging="0"/>
              <w:jc w:val="center"/>
              <w:rPr/>
            </w:pPr>
            <w:r>
              <w:rPr/>
              <w:t>​</w:t>
            </w:r>
          </w:p>
        </w:tc>
        <w:tc>
          <w:tcPr>
            <w:tcW w:w="2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66" w:type="dxa"/>
            <w:tcBorders/>
            <w:shd w:fill="CCEEFF" w:val="clear"/>
            <w:vAlign w:val="center"/>
          </w:tcPr>
          <w:p>
            <w:pPr>
              <w:pStyle w:val="TableContents"/>
              <w:bidi w:val="0"/>
              <w:spacing w:before="0" w:after="0"/>
              <w:ind w:left="0" w:right="0" w:hanging="0"/>
              <w:jc w:val="center"/>
              <w:rPr/>
            </w:pPr>
            <w:r>
              <w:rPr/>
              <w:t>​</w:t>
            </w:r>
          </w:p>
        </w:tc>
        <w:tc>
          <w:tcPr>
            <w:tcW w:w="5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04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39,174</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February 1 through February 28</w:t>
            </w:r>
          </w:p>
        </w:tc>
        <w:tc>
          <w:tcPr>
            <w:tcW w:w="266"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266" w:type="dxa"/>
            <w:tcBorders/>
            <w:vAlign w:val="center"/>
          </w:tcPr>
          <w:p>
            <w:pPr>
              <w:pStyle w:val="TableContents"/>
              <w:bidi w:val="0"/>
              <w:spacing w:before="0" w:after="0"/>
              <w:ind w:left="0" w:right="0" w:hanging="0"/>
              <w:jc w:val="center"/>
              <w:rPr/>
            </w:pPr>
            <w:r>
              <w:rPr/>
              <w:t>​</w:t>
            </w:r>
          </w:p>
        </w:tc>
        <w:tc>
          <w:tcPr>
            <w:tcW w:w="11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$120.31</w:t>
            </w:r>
          </w:p>
        </w:tc>
        <w:tc>
          <w:tcPr>
            <w:tcW w:w="266" w:type="dxa"/>
            <w:tcBorders/>
            <w:vAlign w:val="center"/>
          </w:tcPr>
          <w:p>
            <w:pPr>
              <w:pStyle w:val="TableContents"/>
              <w:bidi w:val="0"/>
              <w:spacing w:before="0" w:after="0"/>
              <w:ind w:left="0" w:right="0" w:hanging="0"/>
              <w:jc w:val="center"/>
              <w:rPr/>
            </w:pPr>
            <w:r>
              <w:rPr/>
              <w:t>​</w:t>
            </w:r>
          </w:p>
        </w:tc>
        <w:tc>
          <w:tcPr>
            <w:tcW w:w="23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26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33,459</w:t>
            </w:r>
          </w:p>
        </w:tc>
        <w:tc>
          <w:tcPr>
            <w:tcW w:w="273" w:type="dxa"/>
            <w:tcBorders/>
            <w:vAlign w:val="center"/>
          </w:tcPr>
          <w:p>
            <w:pPr>
              <w:pStyle w:val="TableContents"/>
              <w:bidi w:val="0"/>
              <w:spacing w:before="0" w:after="0"/>
              <w:ind w:left="0" w:right="0" w:hanging="0"/>
              <w:jc w:val="left"/>
              <w:rPr/>
            </w:pPr>
            <w:r>
              <w:rPr/>
              <w:t>​</w:t>
            </w:r>
          </w:p>
        </w:tc>
      </w:tr>
      <w:tr>
        <w:trPr/>
        <w:tc>
          <w:tcPr>
            <w:tcW w:w="13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March 1 through March 31</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66" w:type="dxa"/>
            <w:tcBorders/>
            <w:shd w:fill="CCEEFF" w:val="clear"/>
            <w:vAlign w:val="center"/>
          </w:tcPr>
          <w:p>
            <w:pPr>
              <w:pStyle w:val="TableContents"/>
              <w:bidi w:val="0"/>
              <w:spacing w:before="0" w:after="0"/>
              <w:ind w:left="0" w:right="0" w:hanging="0"/>
              <w:jc w:val="center"/>
              <w:rPr/>
            </w:pPr>
            <w:r>
              <w:rPr/>
              <w:t>​</w:t>
            </w:r>
          </w:p>
        </w:tc>
        <w:tc>
          <w:tcPr>
            <w:tcW w:w="11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$129.74</w:t>
            </w:r>
          </w:p>
        </w:tc>
        <w:tc>
          <w:tcPr>
            <w:tcW w:w="266" w:type="dxa"/>
            <w:tcBorders/>
            <w:shd w:fill="CCEEFF" w:val="clear"/>
            <w:vAlign w:val="center"/>
          </w:tcPr>
          <w:p>
            <w:pPr>
              <w:pStyle w:val="TableContents"/>
              <w:bidi w:val="0"/>
              <w:spacing w:before="0" w:after="0"/>
              <w:ind w:left="0" w:right="0" w:hanging="0"/>
              <w:jc w:val="center"/>
              <w:rPr/>
            </w:pPr>
            <w:r>
              <w:rPr/>
              <w:t>​</w:t>
            </w:r>
          </w:p>
        </w:tc>
        <w:tc>
          <w:tcPr>
            <w:tcW w:w="2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66" w:type="dxa"/>
            <w:tcBorders/>
            <w:shd w:fill="CCEEFF" w:val="clear"/>
            <w:vAlign w:val="center"/>
          </w:tcPr>
          <w:p>
            <w:pPr>
              <w:pStyle w:val="TableContents"/>
              <w:bidi w:val="0"/>
              <w:spacing w:before="0" w:after="0"/>
              <w:ind w:left="0" w:right="0" w:hanging="0"/>
              <w:jc w:val="center"/>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4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30,006</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April 1 through April 30</w:t>
            </w:r>
          </w:p>
        </w:tc>
        <w:tc>
          <w:tcPr>
            <w:tcW w:w="266"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66" w:type="dxa"/>
            <w:tcBorders/>
            <w:vAlign w:val="center"/>
          </w:tcPr>
          <w:p>
            <w:pPr>
              <w:pStyle w:val="TableContents"/>
              <w:bidi w:val="0"/>
              <w:spacing w:before="0" w:after="0"/>
              <w:ind w:left="0" w:right="0" w:hanging="0"/>
              <w:jc w:val="center"/>
              <w:rPr/>
            </w:pPr>
            <w:r>
              <w:rPr/>
              <w:t>​</w:t>
            </w:r>
          </w:p>
        </w:tc>
        <w:tc>
          <w:tcPr>
            <w:tcW w:w="11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$126.06</w:t>
            </w:r>
          </w:p>
        </w:tc>
        <w:tc>
          <w:tcPr>
            <w:tcW w:w="266" w:type="dxa"/>
            <w:tcBorders/>
            <w:vAlign w:val="center"/>
          </w:tcPr>
          <w:p>
            <w:pPr>
              <w:pStyle w:val="TableContents"/>
              <w:bidi w:val="0"/>
              <w:spacing w:before="0" w:after="0"/>
              <w:ind w:left="0" w:right="0" w:hanging="0"/>
              <w:jc w:val="center"/>
              <w:rPr/>
            </w:pPr>
            <w:r>
              <w:rPr/>
              <w:t>​</w:t>
            </w:r>
          </w:p>
        </w:tc>
        <w:tc>
          <w:tcPr>
            <w:tcW w:w="23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6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26,665</w:t>
            </w:r>
          </w:p>
        </w:tc>
        <w:tc>
          <w:tcPr>
            <w:tcW w:w="273" w:type="dxa"/>
            <w:tcBorders/>
            <w:vAlign w:val="center"/>
          </w:tcPr>
          <w:p>
            <w:pPr>
              <w:pStyle w:val="TableContents"/>
              <w:bidi w:val="0"/>
              <w:spacing w:before="0" w:after="0"/>
              <w:ind w:left="0" w:right="0" w:hanging="0"/>
              <w:jc w:val="left"/>
              <w:rPr/>
            </w:pPr>
            <w:r>
              <w:rPr/>
              <w:t>​</w:t>
            </w:r>
          </w:p>
        </w:tc>
      </w:tr>
      <w:tr>
        <w:trPr/>
        <w:tc>
          <w:tcPr>
            <w:tcW w:w="13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May 1 through May 31</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266" w:type="dxa"/>
            <w:tcBorders/>
            <w:shd w:fill="CCEEFF" w:val="clear"/>
            <w:vAlign w:val="center"/>
          </w:tcPr>
          <w:p>
            <w:pPr>
              <w:pStyle w:val="TableContents"/>
              <w:bidi w:val="0"/>
              <w:spacing w:before="0" w:after="0"/>
              <w:ind w:left="0" w:right="0" w:hanging="0"/>
              <w:jc w:val="center"/>
              <w:rPr/>
            </w:pPr>
            <w:r>
              <w:rPr/>
              <w:t>​</w:t>
            </w:r>
          </w:p>
        </w:tc>
        <w:tc>
          <w:tcPr>
            <w:tcW w:w="11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$126.51</w:t>
            </w:r>
          </w:p>
        </w:tc>
        <w:tc>
          <w:tcPr>
            <w:tcW w:w="266" w:type="dxa"/>
            <w:tcBorders/>
            <w:shd w:fill="CCEEFF" w:val="clear"/>
            <w:vAlign w:val="center"/>
          </w:tcPr>
          <w:p>
            <w:pPr>
              <w:pStyle w:val="TableContents"/>
              <w:bidi w:val="0"/>
              <w:spacing w:before="0" w:after="0"/>
              <w:ind w:left="0" w:right="0" w:hanging="0"/>
              <w:jc w:val="center"/>
              <w:rPr/>
            </w:pPr>
            <w:r>
              <w:rPr/>
              <w:t>​</w:t>
            </w:r>
          </w:p>
        </w:tc>
        <w:tc>
          <w:tcPr>
            <w:tcW w:w="2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266" w:type="dxa"/>
            <w:tcBorders/>
            <w:shd w:fill="CCEEFF" w:val="clear"/>
            <w:vAlign w:val="center"/>
          </w:tcPr>
          <w:p>
            <w:pPr>
              <w:pStyle w:val="TableContents"/>
              <w:bidi w:val="0"/>
              <w:spacing w:before="0" w:after="0"/>
              <w:ind w:left="0" w:right="0" w:hanging="0"/>
              <w:jc w:val="center"/>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4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19,581</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June 1 through June 30</w:t>
            </w:r>
          </w:p>
        </w:tc>
        <w:tc>
          <w:tcPr>
            <w:tcW w:w="266"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66" w:type="dxa"/>
            <w:tcBorders/>
            <w:vAlign w:val="center"/>
          </w:tcPr>
          <w:p>
            <w:pPr>
              <w:pStyle w:val="TableContents"/>
              <w:bidi w:val="0"/>
              <w:spacing w:before="0" w:after="0"/>
              <w:ind w:left="0" w:right="0" w:hanging="0"/>
              <w:jc w:val="center"/>
              <w:rPr/>
            </w:pPr>
            <w:r>
              <w:rPr/>
              <w:t>​</w:t>
            </w:r>
          </w:p>
        </w:tc>
        <w:tc>
          <w:tcPr>
            <w:tcW w:w="11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$161.88</w:t>
            </w:r>
          </w:p>
        </w:tc>
        <w:tc>
          <w:tcPr>
            <w:tcW w:w="266" w:type="dxa"/>
            <w:tcBorders/>
            <w:vAlign w:val="center"/>
          </w:tcPr>
          <w:p>
            <w:pPr>
              <w:pStyle w:val="TableContents"/>
              <w:bidi w:val="0"/>
              <w:spacing w:before="0" w:after="0"/>
              <w:ind w:left="0" w:right="0" w:hanging="0"/>
              <w:jc w:val="center"/>
              <w:rPr/>
            </w:pPr>
            <w:r>
              <w:rPr/>
              <w:t>​</w:t>
            </w:r>
          </w:p>
        </w:tc>
        <w:tc>
          <w:tcPr>
            <w:tcW w:w="23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6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17,506</w:t>
            </w:r>
          </w:p>
        </w:tc>
        <w:tc>
          <w:tcPr>
            <w:tcW w:w="273" w:type="dxa"/>
            <w:tcBorders/>
            <w:vAlign w:val="center"/>
          </w:tcPr>
          <w:p>
            <w:pPr>
              <w:pStyle w:val="TableContents"/>
              <w:bidi w:val="0"/>
              <w:spacing w:before="0" w:after="0"/>
              <w:ind w:left="0" w:right="0" w:hanging="0"/>
              <w:jc w:val="left"/>
              <w:rPr/>
            </w:pPr>
            <w:r>
              <w:rPr/>
              <w:t>​</w:t>
            </w:r>
          </w:p>
        </w:tc>
      </w:tr>
      <w:tr>
        <w:trPr/>
        <w:tc>
          <w:tcPr>
            <w:tcW w:w="13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July 1 through July 31</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66" w:type="dxa"/>
            <w:tcBorders/>
            <w:shd w:fill="CCEEFF" w:val="clear"/>
            <w:vAlign w:val="center"/>
          </w:tcPr>
          <w:p>
            <w:pPr>
              <w:pStyle w:val="TableContents"/>
              <w:bidi w:val="0"/>
              <w:spacing w:before="0" w:after="0"/>
              <w:ind w:left="0" w:right="0" w:hanging="0"/>
              <w:jc w:val="center"/>
              <w:rPr/>
            </w:pPr>
            <w:r>
              <w:rPr/>
              <w:t>​</w:t>
            </w:r>
          </w:p>
        </w:tc>
        <w:tc>
          <w:tcPr>
            <w:tcW w:w="11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$179.93</w:t>
            </w:r>
          </w:p>
        </w:tc>
        <w:tc>
          <w:tcPr>
            <w:tcW w:w="266" w:type="dxa"/>
            <w:tcBorders/>
            <w:shd w:fill="CCEEFF" w:val="clear"/>
            <w:vAlign w:val="center"/>
          </w:tcPr>
          <w:p>
            <w:pPr>
              <w:pStyle w:val="TableContents"/>
              <w:bidi w:val="0"/>
              <w:spacing w:before="0" w:after="0"/>
              <w:ind w:left="0" w:right="0" w:hanging="0"/>
              <w:jc w:val="center"/>
              <w:rPr/>
            </w:pPr>
            <w:r>
              <w:rPr/>
              <w:t>​</w:t>
            </w:r>
          </w:p>
        </w:tc>
        <w:tc>
          <w:tcPr>
            <w:tcW w:w="2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66" w:type="dxa"/>
            <w:tcBorders/>
            <w:shd w:fill="CCEEFF" w:val="clear"/>
            <w:vAlign w:val="center"/>
          </w:tcPr>
          <w:p>
            <w:pPr>
              <w:pStyle w:val="TableContents"/>
              <w:bidi w:val="0"/>
              <w:spacing w:before="0" w:after="0"/>
              <w:ind w:left="0" w:right="0" w:hanging="0"/>
              <w:jc w:val="center"/>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4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13,507</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August 1 through August 31</w:t>
            </w:r>
          </w:p>
        </w:tc>
        <w:tc>
          <w:tcPr>
            <w:tcW w:w="266"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66" w:type="dxa"/>
            <w:tcBorders/>
            <w:vAlign w:val="center"/>
          </w:tcPr>
          <w:p>
            <w:pPr>
              <w:pStyle w:val="TableContents"/>
              <w:bidi w:val="0"/>
              <w:spacing w:before="0" w:after="0"/>
              <w:ind w:left="0" w:right="0" w:hanging="0"/>
              <w:jc w:val="center"/>
              <w:rPr/>
            </w:pPr>
            <w:r>
              <w:rPr/>
              <w:t>​</w:t>
            </w:r>
          </w:p>
        </w:tc>
        <w:tc>
          <w:tcPr>
            <w:tcW w:w="11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$175.80</w:t>
            </w:r>
          </w:p>
        </w:tc>
        <w:tc>
          <w:tcPr>
            <w:tcW w:w="266" w:type="dxa"/>
            <w:tcBorders/>
            <w:vAlign w:val="center"/>
          </w:tcPr>
          <w:p>
            <w:pPr>
              <w:pStyle w:val="TableContents"/>
              <w:bidi w:val="0"/>
              <w:spacing w:before="0" w:after="0"/>
              <w:ind w:left="0" w:right="0" w:hanging="0"/>
              <w:jc w:val="center"/>
              <w:rPr/>
            </w:pPr>
            <w:r>
              <w:rPr/>
              <w:t>​</w:t>
            </w:r>
          </w:p>
        </w:tc>
        <w:tc>
          <w:tcPr>
            <w:tcW w:w="23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6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208,761</w:t>
            </w:r>
          </w:p>
        </w:tc>
        <w:tc>
          <w:tcPr>
            <w:tcW w:w="273"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(1)</w:t>
            </w:r>
          </w:p>
        </w:tc>
      </w:tr>
      <w:tr>
        <w:trPr/>
        <w:tc>
          <w:tcPr>
            <w:tcW w:w="13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September 1 through September 30</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66" w:type="dxa"/>
            <w:tcBorders/>
            <w:shd w:fill="CCEEFF" w:val="clear"/>
            <w:vAlign w:val="center"/>
          </w:tcPr>
          <w:p>
            <w:pPr>
              <w:pStyle w:val="TableContents"/>
              <w:bidi w:val="0"/>
              <w:spacing w:before="0" w:after="0"/>
              <w:ind w:left="0" w:right="0" w:hanging="0"/>
              <w:jc w:val="center"/>
              <w:rPr/>
            </w:pPr>
            <w:r>
              <w:rPr/>
              <w:t>​</w:t>
            </w:r>
          </w:p>
        </w:tc>
        <w:tc>
          <w:tcPr>
            <w:tcW w:w="11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$174.80</w:t>
            </w:r>
          </w:p>
        </w:tc>
        <w:tc>
          <w:tcPr>
            <w:tcW w:w="266" w:type="dxa"/>
            <w:tcBorders/>
            <w:shd w:fill="CCEEFF" w:val="clear"/>
            <w:vAlign w:val="center"/>
          </w:tcPr>
          <w:p>
            <w:pPr>
              <w:pStyle w:val="TableContents"/>
              <w:bidi w:val="0"/>
              <w:spacing w:before="0" w:after="0"/>
              <w:ind w:left="0" w:right="0" w:hanging="0"/>
              <w:jc w:val="center"/>
              <w:rPr/>
            </w:pPr>
            <w:r>
              <w:rPr/>
              <w:t>​</w:t>
            </w:r>
          </w:p>
        </w:tc>
        <w:tc>
          <w:tcPr>
            <w:tcW w:w="2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266" w:type="dxa"/>
            <w:tcBorders/>
            <w:shd w:fill="CCEEFF" w:val="clear"/>
            <w:vAlign w:val="center"/>
          </w:tcPr>
          <w:p>
            <w:pPr>
              <w:pStyle w:val="TableContents"/>
              <w:bidi w:val="0"/>
              <w:spacing w:before="0" w:after="0"/>
              <w:ind w:left="0" w:right="0" w:hanging="0"/>
              <w:jc w:val="center"/>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4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205,007</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October 1 through October 31</w:t>
            </w:r>
          </w:p>
        </w:tc>
        <w:tc>
          <w:tcPr>
            <w:tcW w:w="266"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66" w:type="dxa"/>
            <w:tcBorders/>
            <w:vAlign w:val="center"/>
          </w:tcPr>
          <w:p>
            <w:pPr>
              <w:pStyle w:val="TableContents"/>
              <w:bidi w:val="0"/>
              <w:spacing w:before="0" w:after="0"/>
              <w:ind w:left="0" w:right="0" w:hanging="0"/>
              <w:jc w:val="center"/>
              <w:rPr/>
            </w:pPr>
            <w:r>
              <w:rPr/>
              <w:t>​</w:t>
            </w:r>
          </w:p>
        </w:tc>
        <w:tc>
          <w:tcPr>
            <w:tcW w:w="11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$154.98</w:t>
            </w:r>
          </w:p>
        </w:tc>
        <w:tc>
          <w:tcPr>
            <w:tcW w:w="266" w:type="dxa"/>
            <w:tcBorders/>
            <w:vAlign w:val="center"/>
          </w:tcPr>
          <w:p>
            <w:pPr>
              <w:pStyle w:val="TableContents"/>
              <w:bidi w:val="0"/>
              <w:spacing w:before="0" w:after="0"/>
              <w:ind w:left="0" w:right="0" w:hanging="0"/>
              <w:jc w:val="center"/>
              <w:rPr/>
            </w:pPr>
            <w:r>
              <w:rPr/>
              <w:t>​</w:t>
            </w:r>
          </w:p>
        </w:tc>
        <w:tc>
          <w:tcPr>
            <w:tcW w:w="23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66" w:type="dxa"/>
            <w:tcBorders/>
            <w:vAlign w:val="center"/>
          </w:tcPr>
          <w:p>
            <w:pPr>
              <w:pStyle w:val="TableContents"/>
              <w:bidi w:val="0"/>
              <w:spacing w:before="0" w:after="0"/>
              <w:ind w:left="0" w:right="0" w:hanging="0"/>
              <w:jc w:val="center"/>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198,188</w:t>
            </w:r>
          </w:p>
        </w:tc>
        <w:tc>
          <w:tcPr>
            <w:tcW w:w="273" w:type="dxa"/>
            <w:tcBorders/>
            <w:vAlign w:val="center"/>
          </w:tcPr>
          <w:p>
            <w:pPr>
              <w:pStyle w:val="TableContents"/>
              <w:bidi w:val="0"/>
              <w:spacing w:before="0" w:after="0"/>
              <w:ind w:left="0" w:right="0" w:hanging="0"/>
              <w:jc w:val="left"/>
              <w:rPr/>
            </w:pPr>
            <w:r>
              <w:rPr/>
              <w:t>​</w:t>
            </w:r>
          </w:p>
        </w:tc>
      </w:tr>
      <w:tr>
        <w:trPr/>
        <w:tc>
          <w:tcPr>
            <w:tcW w:w="13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November 1 through November 30</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66" w:type="dxa"/>
            <w:tcBorders/>
            <w:shd w:fill="CCEEFF" w:val="clear"/>
            <w:vAlign w:val="center"/>
          </w:tcPr>
          <w:p>
            <w:pPr>
              <w:pStyle w:val="TableContents"/>
              <w:bidi w:val="0"/>
              <w:spacing w:before="0" w:after="0"/>
              <w:ind w:left="0" w:right="0" w:hanging="0"/>
              <w:jc w:val="center"/>
              <w:rPr/>
            </w:pPr>
            <w:r>
              <w:rPr/>
              <w:t>​</w:t>
            </w:r>
          </w:p>
        </w:tc>
        <w:tc>
          <w:tcPr>
            <w:tcW w:w="11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$130.28</w:t>
            </w:r>
          </w:p>
        </w:tc>
        <w:tc>
          <w:tcPr>
            <w:tcW w:w="266" w:type="dxa"/>
            <w:tcBorders/>
            <w:shd w:fill="CCEEFF" w:val="clear"/>
            <w:vAlign w:val="center"/>
          </w:tcPr>
          <w:p>
            <w:pPr>
              <w:pStyle w:val="TableContents"/>
              <w:bidi w:val="0"/>
              <w:spacing w:before="0" w:after="0"/>
              <w:ind w:left="0" w:right="0" w:hanging="0"/>
              <w:jc w:val="center"/>
              <w:rPr/>
            </w:pPr>
            <w:r>
              <w:rPr/>
              <w:t>​</w:t>
            </w:r>
          </w:p>
        </w:tc>
        <w:tc>
          <w:tcPr>
            <w:tcW w:w="23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266" w:type="dxa"/>
            <w:tcBorders/>
            <w:shd w:fill="CCEEFF" w:val="clear"/>
            <w:vAlign w:val="center"/>
          </w:tcPr>
          <w:p>
            <w:pPr>
              <w:pStyle w:val="TableContents"/>
              <w:bidi w:val="0"/>
              <w:spacing w:before="0" w:after="0"/>
              <w:ind w:left="0" w:right="0" w:hanging="0"/>
              <w:jc w:val="center"/>
              <w:rPr/>
            </w:pPr>
            <w:r>
              <w:rPr/>
              <w:t>​</w:t>
            </w:r>
          </w:p>
        </w:tc>
        <w:tc>
          <w:tcPr>
            <w:tcW w:w="576" w:type="dxa"/>
            <w:tcBorders/>
            <w:shd w:fill="CCEEFF" w:val="clear"/>
            <w:vAlign w:val="center"/>
          </w:tcPr>
          <w:p>
            <w:pPr>
              <w:pStyle w:val="TableContents"/>
              <w:bidi w:val="0"/>
              <w:spacing w:before="0" w:after="0"/>
              <w:ind w:left="0" w:right="0" w:hanging="0"/>
              <w:jc w:val="center"/>
              <w:rPr/>
            </w:pPr>
            <w:r>
              <w:rPr/>
              <w:t>​</w:t>
            </w:r>
          </w:p>
        </w:tc>
        <w:tc>
          <w:tcPr>
            <w:tcW w:w="204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190,006</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December 1 through December 31</w:t>
            </w:r>
          </w:p>
        </w:tc>
        <w:tc>
          <w:tcPr>
            <w:tcW w:w="266" w:type="dxa"/>
            <w:tcBorders/>
            <w:vAlign w:val="center"/>
          </w:tcPr>
          <w:p>
            <w:pPr>
              <w:pStyle w:val="TableContents"/>
              <w:bidi w:val="0"/>
              <w:spacing w:before="0" w:after="0"/>
              <w:ind w:left="0" w:right="0" w:hanging="0"/>
              <w:jc w:val="left"/>
              <w:rPr/>
            </w:pPr>
            <w:r>
              <w:rPr/>
              <w:t>​</w:t>
            </w:r>
          </w:p>
        </w:tc>
        <w:tc>
          <w:tcPr>
            <w:tcW w:w="13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w:t>
            </w:r>
          </w:p>
        </w:tc>
        <w:tc>
          <w:tcPr>
            <w:tcW w:w="266" w:type="dxa"/>
            <w:tcBorders/>
            <w:vAlign w:val="center"/>
          </w:tcPr>
          <w:p>
            <w:pPr>
              <w:pStyle w:val="TableContents"/>
              <w:bidi w:val="0"/>
              <w:spacing w:before="0" w:after="0"/>
              <w:ind w:left="0" w:right="0" w:hanging="0"/>
              <w:jc w:val="left"/>
              <w:rPr/>
            </w:pPr>
            <w:r>
              <w:rPr/>
              <w:t>​</w:t>
            </w:r>
          </w:p>
        </w:tc>
        <w:tc>
          <w:tcPr>
            <w:tcW w:w="23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center"/>
              <w:rPr/>
            </w:pPr>
            <w:r>
              <w:rPr/>
              <w:t>​</w:t>
            </w:r>
          </w:p>
        </w:tc>
        <w:tc>
          <w:tcPr>
            <w:tcW w:w="273" w:type="dxa"/>
            <w:tcBorders/>
            <w:vAlign w:val="center"/>
          </w:tcPr>
          <w:p>
            <w:pPr>
              <w:pStyle w:val="TableContents"/>
              <w:bidi w:val="0"/>
              <w:spacing w:before="0" w:after="0"/>
              <w:ind w:left="0" w:right="0" w:hanging="0"/>
              <w:jc w:val="left"/>
              <w:rPr/>
            </w:pPr>
            <w:r>
              <w:rPr/>
              <w:t>​</w:t>
            </w:r>
          </w:p>
        </w:tc>
      </w:tr>
      <w:tr>
        <w:trPr/>
        <w:tc>
          <w:tcPr>
            <w:tcW w:w="1374"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66" w:type="dxa"/>
            <w:tcBorders/>
            <w:shd w:fill="CCEEFF" w:val="clear"/>
            <w:vAlign w:val="center"/>
          </w:tcPr>
          <w:p>
            <w:pPr>
              <w:pStyle w:val="TableContents"/>
              <w:bidi w:val="0"/>
              <w:spacing w:before="0" w:after="0"/>
              <w:ind w:left="0" w:right="0" w:hanging="0"/>
              <w:jc w:val="left"/>
              <w:rPr/>
            </w:pPr>
            <w:r>
              <w:rPr/>
              <w:t>​</w:t>
            </w:r>
          </w:p>
        </w:tc>
        <w:tc>
          <w:tcPr>
            <w:tcW w:w="13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266" w:type="dxa"/>
            <w:tcBorders/>
            <w:shd w:fill="CCEEFF" w:val="clear"/>
            <w:vAlign w:val="center"/>
          </w:tcPr>
          <w:p>
            <w:pPr>
              <w:pStyle w:val="TableContents"/>
              <w:bidi w:val="0"/>
              <w:spacing w:before="0" w:after="0"/>
              <w:ind w:left="0" w:right="0" w:hanging="0"/>
              <w:jc w:val="left"/>
              <w:rPr/>
            </w:pPr>
            <w:r>
              <w:rPr/>
              <w:t>​</w:t>
            </w:r>
          </w:p>
        </w:tc>
        <w:tc>
          <w:tcPr>
            <w:tcW w:w="1181"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3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w:t>
            </w:r>
          </w:p>
        </w:tc>
        <w:tc>
          <w:tcPr>
            <w:tcW w:w="266"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40"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r>
      <w:tr>
        <w:trPr/>
        <w:tc>
          <w:tcPr>
            <w:tcW w:w="1374"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38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1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31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2040"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r>
      <w:tr>
        <w:trPr/>
        <w:tc>
          <w:tcPr>
            <w:tcW w:w="9932" w:type="dxa"/>
            <w:gridSpan w:val="10"/>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(1)    </w:t>
            </w:r>
            <w:r>
              <w:rPr>
                <w:rFonts w:ascii="Times New Roman;Times;serif" w:hAnsi="Times New Roman;Times;serif"/>
                <w:sz w:val="18"/>
              </w:rPr>
              <w:t>The increase in the dollar value available for repurchases under the program at August 31, 2023 reflects the additional funding authorized under the program in August 2023.</w:t>
            </w:r>
          </w:p>
        </w:tc>
        <w:tc>
          <w:tcPr>
            <w:tcW w:w="27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currently maintain one equity compensation plan, the 2012 Equity Incentive Plan (the “2012 Equity Plan”). The number of shares issuable upon exercise of outstanding options and unvested restricted stock units granted to employees and non-employee directors, as well as the number of shares remaining available for future issuance, under the 2012 Equity Plan and our 2020 Employee Stock Purchase Plan as of December 31, 2023 are summarized in the following table:</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205"/>
        <w:gridCol w:w="206"/>
        <w:gridCol w:w="206"/>
        <w:gridCol w:w="2464"/>
        <w:gridCol w:w="2710"/>
        <w:gridCol w:w="3414"/>
      </w:tblGrid>
      <w:tr>
        <w:trPr/>
        <w:tc>
          <w:tcPr>
            <w:tcW w:w="120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464" w:type="dxa"/>
            <w:tcBorders/>
            <w:vAlign w:val="center"/>
          </w:tcPr>
          <w:p>
            <w:pPr>
              <w:pStyle w:val="TableContents"/>
              <w:bidi w:val="0"/>
              <w:spacing w:before="0" w:after="0"/>
              <w:ind w:left="0" w:right="0" w:hanging="0"/>
              <w:jc w:val="left"/>
              <w:rPr/>
            </w:pPr>
            <w:r>
              <w:rPr/>
              <w:t>​</w:t>
            </w:r>
          </w:p>
        </w:tc>
        <w:tc>
          <w:tcPr>
            <w:tcW w:w="2710" w:type="dxa"/>
            <w:tcBorders/>
            <w:vAlign w:val="center"/>
          </w:tcPr>
          <w:p>
            <w:pPr>
              <w:pStyle w:val="TableContents"/>
              <w:bidi w:val="0"/>
              <w:spacing w:before="0" w:after="0"/>
              <w:ind w:left="0" w:right="0" w:hanging="0"/>
              <w:jc w:val="left"/>
              <w:rPr/>
            </w:pPr>
            <w:r>
              <w:rPr/>
              <w:t>​</w:t>
            </w:r>
          </w:p>
        </w:tc>
        <w:tc>
          <w:tcPr>
            <w:tcW w:w="3414" w:type="dxa"/>
            <w:tcBorders/>
            <w:vAlign w:val="center"/>
          </w:tcPr>
          <w:p>
            <w:pPr>
              <w:pStyle w:val="TableContents"/>
              <w:bidi w:val="0"/>
              <w:spacing w:before="0" w:after="0"/>
              <w:ind w:left="0" w:right="0" w:hanging="0"/>
              <w:jc w:val="left"/>
              <w:rPr/>
            </w:pPr>
            <w:r>
              <w:rPr/>
              <w:t>​</w:t>
            </w:r>
          </w:p>
        </w:tc>
      </w:tr>
      <w:tr>
        <w:trPr/>
        <w:tc>
          <w:tcPr>
            <w:tcW w:w="1617" w:type="dxa"/>
            <w:gridSpan w:val="3"/>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center"/>
              <w:rPr/>
            </w:pPr>
            <w:r>
              <w:rPr/>
              <w:t>​</w:t>
            </w:r>
          </w:p>
        </w:tc>
        <w:tc>
          <w:tcPr>
            <w:tcW w:w="2464"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t>
            </w:r>
          </w:p>
        </w:tc>
        <w:tc>
          <w:tcPr>
            <w:tcW w:w="2710"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w:t>
            </w:r>
          </w:p>
        </w:tc>
        <w:tc>
          <w:tcPr>
            <w:tcW w:w="3414"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w:t>
            </w:r>
          </w:p>
        </w:tc>
      </w:tr>
      <w:tr>
        <w:trPr/>
        <w:tc>
          <w:tcPr>
            <w:tcW w:w="120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Plan category</w:t>
            </w:r>
          </w:p>
        </w:tc>
        <w:tc>
          <w:tcPr>
            <w:tcW w:w="2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4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to be issued upon exercise of outstanding options, warrants and rights (1)</w:t>
            </w:r>
          </w:p>
        </w:tc>
        <w:tc>
          <w:tcPr>
            <w:tcW w:w="271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noBreakHyphen/>
            </w:r>
            <w:r>
              <w:rPr>
                <w:rFonts w:ascii="Times New Roman;Times;serif" w:hAnsi="Times New Roman;Times;serif"/>
                <w:b/>
                <w:sz w:val="16"/>
              </w:rPr>
              <w:t>average exercise price of outstanding options, warrants and rights (2)</w:t>
            </w:r>
          </w:p>
        </w:tc>
        <w:tc>
          <w:tcPr>
            <w:tcW w:w="3414" w:type="dxa"/>
            <w:tcBorders>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 remaining available for future issuance under equity compensation plans (excluding shares reflected in column (A)) (3)</w:t>
            </w:r>
          </w:p>
        </w:tc>
      </w:tr>
      <w:tr>
        <w:trPr/>
        <w:tc>
          <w:tcPr>
            <w:tcW w:w="1617" w:type="dxa"/>
            <w:gridSpan w:val="3"/>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Equity compensation plans approved by stockholders </w:t>
            </w:r>
          </w:p>
        </w:tc>
        <w:tc>
          <w:tcPr>
            <w:tcW w:w="246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541,898</w:t>
            </w:r>
          </w:p>
        </w:tc>
        <w:tc>
          <w:tcPr>
            <w:tcW w:w="2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$ 0.34</w:t>
            </w:r>
          </w:p>
        </w:tc>
        <w:tc>
          <w:tcPr>
            <w:tcW w:w="3414"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1,659,502</w:t>
            </w:r>
          </w:p>
        </w:tc>
      </w:tr>
      <w:tr>
        <w:trPr/>
        <w:tc>
          <w:tcPr>
            <w:tcW w:w="1617" w:type="dxa"/>
            <w:gridSpan w:val="3"/>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compensation plans not approved by stockholders</w:t>
            </w:r>
          </w:p>
        </w:tc>
        <w:tc>
          <w:tcPr>
            <w:tcW w:w="2464" w:type="dxa"/>
            <w:tcBorders/>
            <w:vAlign w:val="center"/>
          </w:tcPr>
          <w:p>
            <w:pPr>
              <w:pStyle w:val="TableContents"/>
              <w:bidi w:val="0"/>
              <w:spacing w:before="0" w:after="0"/>
              <w:ind w:left="0" w:right="0" w:hanging="0"/>
              <w:jc w:val="right"/>
              <w:rPr/>
            </w:pPr>
            <w:r>
              <w:rPr/>
              <w:t>—</w:t>
            </w:r>
          </w:p>
        </w:tc>
        <w:tc>
          <w:tcPr>
            <w:tcW w:w="2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c>
          <w:tcPr>
            <w:tcW w:w="3414"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p>
        </w:tc>
      </w:tr>
      <w:tr>
        <w:trPr/>
        <w:tc>
          <w:tcPr>
            <w:tcW w:w="1617" w:type="dxa"/>
            <w:gridSpan w:val="3"/>
            <w:tcBorders>
              <w:left w:val="single" w:sz="2" w:space="0" w:color="000000"/>
              <w:bottom w:val="single" w:sz="1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p>
        </w:tc>
        <w:tc>
          <w:tcPr>
            <w:tcW w:w="246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541,898</w:t>
            </w:r>
          </w:p>
        </w:tc>
        <w:tc>
          <w:tcPr>
            <w:tcW w:w="271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14" w:type="dxa"/>
            <w:tcBorders>
              <w:bottom w:val="single" w:sz="1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1,659,502</w:t>
            </w:r>
          </w:p>
        </w:tc>
      </w:tr>
      <w:tr>
        <w:trPr/>
        <w:tc>
          <w:tcPr>
            <w:tcW w:w="1617" w:type="dxa"/>
            <w:gridSpan w:val="3"/>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exercise price of outstanding options at December 31, 2023</w:t>
            </w:r>
          </w:p>
        </w:tc>
        <w:tc>
          <w:tcPr>
            <w:tcW w:w="246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$61.81 </w:t>
            </w:r>
          </w:p>
        </w:tc>
        <w:tc>
          <w:tcPr>
            <w:tcW w:w="2710" w:type="dxa"/>
            <w:tcBorders/>
            <w:vAlign w:val="center"/>
          </w:tcPr>
          <w:p>
            <w:pPr>
              <w:pStyle w:val="TableContents"/>
              <w:bidi w:val="0"/>
              <w:spacing w:before="0" w:after="0"/>
              <w:ind w:left="0" w:right="0" w:hanging="0"/>
              <w:jc w:val="left"/>
              <w:rPr/>
            </w:pPr>
            <w:r>
              <w:rPr/>
              <w:t>​</w:t>
            </w:r>
          </w:p>
        </w:tc>
        <w:tc>
          <w:tcPr>
            <w:tcW w:w="3414"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r>
      <w:tr>
        <w:trPr/>
        <w:tc>
          <w:tcPr>
            <w:tcW w:w="1617" w:type="dxa"/>
            <w:gridSpan w:val="3"/>
            <w:tcBorders>
              <w:left w:val="single" w:sz="2" w:space="0" w:color="000000"/>
              <w:bottom w:val="single" w:sz="1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remaining term of outstanding options at December 31, 2023</w:t>
            </w:r>
          </w:p>
        </w:tc>
        <w:tc>
          <w:tcPr>
            <w:tcW w:w="246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 years</w:t>
            </w:r>
          </w:p>
        </w:tc>
        <w:tc>
          <w:tcPr>
            <w:tcW w:w="271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14" w:type="dxa"/>
            <w:tcBorders>
              <w:bottom w:val="single" w:sz="1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pPr>
            <w:r>
              <w:rPr/>
              <w:t>​</w:t>
            </w:r>
          </w:p>
        </w:tc>
      </w:tr>
      <w:tr>
        <w:trPr/>
        <w:tc>
          <w:tcPr>
            <w:tcW w:w="1617" w:type="dxa"/>
            <w:gridSpan w:val="3"/>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464" w:type="dxa"/>
            <w:tcBorders/>
            <w:vAlign w:val="center"/>
          </w:tcPr>
          <w:p>
            <w:pPr>
              <w:pStyle w:val="TableContents"/>
              <w:bidi w:val="0"/>
              <w:spacing w:before="0" w:after="0"/>
              <w:ind w:left="0" w:right="0" w:hanging="0"/>
              <w:jc w:val="left"/>
              <w:rPr/>
            </w:pPr>
            <w:r>
              <w:rPr/>
              <w:t>​</w:t>
            </w:r>
          </w:p>
        </w:tc>
        <w:tc>
          <w:tcPr>
            <w:tcW w:w="2710" w:type="dxa"/>
            <w:tcBorders/>
            <w:vAlign w:val="center"/>
          </w:tcPr>
          <w:p>
            <w:pPr>
              <w:pStyle w:val="TableContents"/>
              <w:bidi w:val="0"/>
              <w:spacing w:before="0" w:after="0"/>
              <w:ind w:left="0" w:right="0" w:hanging="0"/>
              <w:jc w:val="left"/>
              <w:rPr/>
            </w:pPr>
            <w:r>
              <w:rPr/>
              <w:t>​</w:t>
            </w:r>
          </w:p>
        </w:tc>
        <w:tc>
          <w:tcPr>
            <w:tcW w:w="341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0205" w:type="dxa"/>
            <w:gridSpan w:val="6"/>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Represents, as of December 31, 2023: (A) 3,000 shares issuable on exercise of outstanding options under the 2012 Equity Plan, plus (B) 538,098 shares issuable on vesting of outstanding RSUs under the 2012 Equity Plan (some of which will be withheld in respect of tax withholding obligations).</w:t>
            </w:r>
          </w:p>
        </w:tc>
      </w:tr>
      <w:tr>
        <w:trPr/>
        <w:tc>
          <w:tcPr>
            <w:tcW w:w="10205" w:type="dxa"/>
            <w:gridSpan w:val="6"/>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     For the purposes of this table, the weighted-average exercise price of outstanding options, warrants and rights includes RSUs as if they had a $0.00 exercise price. The weighted-average exercise price of outstanding options at December 31, 2023 was $61.81.</w:t>
            </w:r>
          </w:p>
        </w:tc>
      </w:tr>
      <w:tr>
        <w:trPr/>
        <w:tc>
          <w:tcPr>
            <w:tcW w:w="10205" w:type="dxa"/>
            <w:gridSpan w:val="6"/>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     Represents the total shares available for issuance under our 2012 Equity Plan and our 2020 Employee Stock Purchase Plan, as of December 31, 2023, as follows:</w:t>
            </w:r>
          </w:p>
        </w:tc>
      </w:tr>
      <w:tr>
        <w:trPr/>
        <w:tc>
          <w:tcPr>
            <w:tcW w:w="120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t>
            </w:r>
          </w:p>
        </w:tc>
        <w:tc>
          <w:tcPr>
            <w:tcW w:w="9000" w:type="dxa"/>
            <w:gridSpan w:val="5"/>
            <w:tcBorders>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750,550 shares were available for future issuance under the 2012 Equity Plan. Such amount represents the total number of shares reserved for issuance under the 2012 Equity Plan ((7,762,500 shares approved by the shareholders, plus 1,777,029 shares added in accordance with the terms of the 2012 Equity Plan as a result of the expiration or forfeiture of awards granted under our prior equity grant plan that were outstanding at the time of the adoption of the 2012 Equity Plan), less the shares issuable on options and restricted stock units (counted at 1.5 shares each) outstanding under the 2012 Equity Plan included in column (A)) and the shares issued prior to such date on exercise of options and vesting of restricted stock units granted under the 2012 Equity Plan. This plan is generally used for grants to employees and directors and was initially approved by our stockholders at our 2012 annual meeting. </w:t>
            </w:r>
          </w:p>
        </w:tc>
      </w:tr>
      <w:tr>
        <w:trPr/>
        <w:tc>
          <w:tcPr>
            <w:tcW w:w="1205" w:type="dxa"/>
            <w:tcBorders>
              <w:left w:val="single" w:sz="2" w:space="0" w:color="000000"/>
              <w:bottom w:val="single" w:sz="1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w:t>
            </w:r>
          </w:p>
        </w:tc>
        <w:tc>
          <w:tcPr>
            <w:tcW w:w="9000" w:type="dxa"/>
            <w:gridSpan w:val="5"/>
            <w:tcBorders>
              <w:bottom w:val="single" w:sz="1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908,952 shares were available under our 2020 Employee Stock Purchase Plan, which represents the total number of shares reserved for issuance under the plan (1,000,000) less the shares purchased through December 31, 2023.</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35" w:name="_f6688c1a_3e5f_4b8c_adab_cd99889b1447"/>
      <w:bookmarkEnd w:id="35"/>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rFonts w:ascii="Times New Roman;Times;serif" w:hAnsi="Times New Roman;Times;serif"/>
          <w:b/>
          <w:sz w:val="20"/>
        </w:rPr>
      </w:pPr>
      <w:bookmarkStart w:id="36" w:name="_bf048f82_97ed_48b3_8bb7_279ff499336f"/>
      <w:bookmarkStart w:id="37" w:name="_contentSection_856d52a8_390a_46b2_8882_"/>
      <w:bookmarkStart w:id="38" w:name="_contentSection_7c119f83_c288_4a35_8e5b_"/>
      <w:bookmarkEnd w:id="36"/>
      <w:bookmarkEnd w:id="37"/>
      <w:bookmarkEnd w:id="38"/>
      <w:r>
        <w:rPr>
          <w:rFonts w:ascii="Times New Roman;Times;serif" w:hAnsi="Times New Roman;Times;serif"/>
          <w:b/>
          <w:sz w:val="20"/>
        </w:rPr>
        <w:t>Item 7.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Annual Report on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semiconductor capital equipment industry is subject to cyclical swings in capital spending by semiconductor chip manufacturers. Capital spending is influenced by demand for semiconductors and the products using them, the utilization rate and capacity of existing semiconductor chip manufacturing facilities and changes in semiconductor technology, all of which are outside of our control. As a result, our revenue may fluctuate from year to year and period to period. Our established cost structure does not vary significantly with changes in volume. We may also experience fluctuations in operating results and cash flows depending on our revenue level.</w:t>
      </w:r>
    </w:p>
    <w:p>
      <w:pPr>
        <w:pStyle w:val="TextBody"/>
        <w:bidi w:val="0"/>
        <w:spacing w:before="0" w:after="0"/>
        <w:ind w:left="0" w:right="0" w:firstLine="72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2023 was an exceptional year for Axcelis despite an industry downturn. As a result of the demand for the Company’s products and aftermarket support, we delivered record full year revenue and operating profit since our first full year as a public company in 2001. Revenue for 2023 was $1,130.6 million, an increase of 22.9% from 2022 revenue of $920.0 million. Systems revenue for 2023 was $883.6 million, compared to $692.1 million in 2022. Gross margin percent for the year was 43.5% compared to 43.7% in 2022. Operating profit was $265.8 million in 2023, compared to $212.4 million in 2022. Net income for the year was $246.3 million, an increase of 34.5% from 2022, following an 85.6% increase in net income from 2021.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in a strong competitive position as we participated in a period of extended industry growth in 2022 and 2023. A focused strategy on ion implant, combined with the hard work and dedication of our employees and the encouragement and support of our customers and suppliers, enabled us to achieve numerous critical milestones in our drive to market leadership. Axcelis had a number of important accomplishments in 2023:</w:t>
        <w:b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Axcelis delivered record revenue of $1.130.6 million dollars in 2023, and record earnings per share of $7.43. Our 23% revenue growth over 2022, despite a significant industry downturn, was enabled by the mature process technology segment, which represented 88% of the value of our 2023 system shipments.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Axcelis is considered a technology leader and supplier of choice in the implant-intensive power device segment, which accounted for 59% of the value of our 2023 system shipments.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working to expand our footprint with existing and new customers, and currently have eight Purion evaluation systems in the field at strategic customer sites in key market segments.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opened the Axcelis Logistics Center in Beverly, Massachusetts in the third quarter of 2023, providing significant efficiencies to US manufacturing.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continued our investment in our CS&amp;I aftermarket business to drive financial growth and increased customer satisfaction levels, including the “Digital Tool Box,” an innovative service offering with online training, remote diagnosis and install, and automated troubleshooting guide.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Axcelis received nine customer satisfaction awards in 2023. In addition, Axcelis was named to both the 2023 and 2024 editions of Forbes’ List of America’s Best Mid-Cap Companies and to Fortune’s 2023 Top 100 Fastest Growing Companies.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continue to work diligently to ensure that manufacturing and operating expense levels remain well aligned to business conditions.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market for our systems and aftermarket products and services is represented by a relatively small number of companies. In 2023, the top 20 semiconductor chip manufacturers accounted for approximately 92.0% of total semiconductor capital equipment spending, up from 89.0% in 2022. Our net revenue from our ten largest customers accounted for 51.7% of total revenue for the year ended December 31, 2023 compared to 59.4% and 69.5% of revenue for the years ended December 31, 2022 and 2021, respectively. For the year ended December 31, 2023, no customers represented ten percent or more of total revenue.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Management’s discussion and analysis of our financial condition and results of operations are based upon Axcelis’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the following accounting policies are critical in the portrayal of our financial condition and results of operations and require management’s most significant judgments and estimates in the preparation of our consolidated financial statements. For additional accounting policies, see Note 2 to the consolidated financial statements for the year ended December 31, 2023 included in this Annual Report on Form 10-K.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accounting policies relating to the recognition of revenue require management to make estimates, determinations and judgments based on historical experience and on various other assumptions, which include (i) the existence of a contract with the customer, (ii) the identification of the performance obligations in the contract, (iii) the value of any variable consideration in the contract, (iv) the standalone selling price of multiple obligations in the contract, for the purpose of allocating the consideration in the contract, and (v) determining when a performance obligation has been met. Our revenue recognition policies are set forth in section (i) of Note 2, Summary of Significant Accounting Policies, to the consolidated financial statements for the year ended December 31, 2023 included in this Annual Report on Form 10-K. Recognition of revenue based on incorrect judgments, including an erroneous allocation of the estimated sales price between the units of accounting, could result in inappropriate recognition of revenue, or incorrect timing of revenue recognition, which could have a material effect on our financial condition and results of operations.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Inventory—Provision for Excess and Obsolescence and Lower of Cost or Net Realizable Value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 a provision for estimated excess and obsolete inventory and lower of cost or net realizable value. The provision is determined using management’s assumptions of materials usage, based on estimates of forecasted and historical demand and market conditions. Specifically, our assumptions of forecasted system sales and the size and utilization of the installed base of systems may have a significant effect on estimated materials usage. If actual market conditions become less favorable than those projected by management, additional inventory write-downs may be required.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Although we make every effort to ensure the accuracy of our forecasts or product demand and pricing assumptions, any significant unanticipated changes in demand, pricing, or technical developments would significantly impact the value of our inventory and our reported operating results. In the future, if we determine that inventory needs to be written down, we will recognize such costs in our cost of revenue at the time of such determination. If we subsequently sell product that has previously been written down, our gross margin in that period will be favorably impacted.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 Warranty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relative fair value of non-standard warranty.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net operating loss and tax credit carryforwards.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consolidated financial statements contain certain deferred tax assets which have arisen primarily as a result of operating losses, as well as other temporary differences between financial and income tax accounting.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establish a valuation allowance when it is more likely than not that some portion or all of the deferred tax assets will not be realized. Significant management judgment is required in determining our provision for income taxes, the deferred tax assets and liabilities and any valuation allowance recorded against those net deferred tax assets.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evaluate the weight of all available evidence such as historical losses, the expected timing of the reversals of existing temporary differences and projected future taxable income to determine whether it is more likely than not that some portion or all of the net deferred income tax assets will not be realized.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income tax expense includes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as operating expense.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year-to-year comparative statements include the 2023 and 2022 year periods. For comparative statements for the 2022 and 2021 periods, please refer to our 2022 Annual Report on Form 10-K, filed with the Securities and Exchange Commission on February 24,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results of operations as a percentage of total revenue:</w:t>
      </w:r>
    </w:p>
    <w:p>
      <w:pPr>
        <w:pStyle w:val="TextBody"/>
        <w:bidi w:val="0"/>
        <w:spacing w:before="0" w:after="0"/>
        <w:ind w:left="0" w:right="0" w:firstLine="720"/>
        <w:jc w:val="left"/>
        <w:rPr/>
      </w:pPr>
      <w:r>
        <w:rPr/>
        <w:t>​</w:t>
      </w:r>
    </w:p>
    <w:tbl>
      <w:tblPr>
        <w:tblW w:w="4547" w:type="dxa"/>
        <w:jc w:val="left"/>
        <w:tblInd w:w="0" w:type="dxa"/>
        <w:tblLayout w:type="fixed"/>
        <w:tblCellMar>
          <w:top w:w="0" w:type="dxa"/>
          <w:left w:w="0" w:type="dxa"/>
          <w:bottom w:w="0" w:type="dxa"/>
          <w:right w:w="0" w:type="dxa"/>
        </w:tblCellMar>
      </w:tblPr>
      <w:tblGrid>
        <w:gridCol w:w="2176"/>
        <w:gridCol w:w="326"/>
        <w:gridCol w:w="511"/>
        <w:gridCol w:w="326"/>
        <w:gridCol w:w="511"/>
        <w:gridCol w:w="326"/>
        <w:gridCol w:w="37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81760" cy="175260"/>
                      <wp:effectExtent l="0" t="0" r="0" b="0"/>
                      <wp:wrapNone/>
                      <wp:docPr id="11" name="Frame11"/>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24485" cy="175260"/>
                      <wp:effectExtent l="0" t="0" r="0" b="0"/>
                      <wp:wrapNone/>
                      <wp:docPr id="13" name="Frame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4485" cy="175260"/>
                      <wp:effectExtent l="0" t="0" r="0" b="0"/>
                      <wp:wrapNone/>
                      <wp:docPr id="15" name="Frame1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35585" cy="175260"/>
                      <wp:effectExtent l="0" t="0" r="0" b="0"/>
                      <wp:wrapNone/>
                      <wp:docPr id="17" name="Frame1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1"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before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26"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provision</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revenue:</w:t>
      </w:r>
    </w:p>
    <w:p>
      <w:pPr>
        <w:pStyle w:val="TextBody"/>
        <w:bidi w:val="0"/>
        <w:spacing w:before="0" w:after="0"/>
        <w:ind w:left="0" w:right="0" w:firstLine="720"/>
        <w:jc w:val="left"/>
        <w:rPr/>
      </w:pPr>
      <w:r>
        <w:rPr/>
        <w:t>​</w:t>
      </w:r>
    </w:p>
    <w:tbl>
      <w:tblPr>
        <w:tblW w:w="7068" w:type="dxa"/>
        <w:jc w:val="left"/>
        <w:tblInd w:w="0" w:type="dxa"/>
        <w:tblLayout w:type="fixed"/>
        <w:tblCellMar>
          <w:top w:w="0" w:type="dxa"/>
          <w:left w:w="0" w:type="dxa"/>
          <w:bottom w:w="0" w:type="dxa"/>
          <w:right w:w="0" w:type="dxa"/>
        </w:tblCellMar>
      </w:tblPr>
      <w:tblGrid>
        <w:gridCol w:w="1696"/>
        <w:gridCol w:w="326"/>
        <w:gridCol w:w="211"/>
        <w:gridCol w:w="931"/>
        <w:gridCol w:w="361"/>
        <w:gridCol w:w="211"/>
        <w:gridCol w:w="781"/>
        <w:gridCol w:w="361"/>
        <w:gridCol w:w="211"/>
        <w:gridCol w:w="781"/>
        <w:gridCol w:w="326"/>
        <w:gridCol w:w="466"/>
        <w:gridCol w:w="406"/>
      </w:tblGrid>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61" w:type="dxa"/>
            <w:tcBorders/>
            <w:vAlign w:val="center"/>
          </w:tcPr>
          <w:p>
            <w:pPr>
              <w:pStyle w:val="TableContents"/>
              <w:bidi w:val="0"/>
              <w:spacing w:before="0" w:after="0"/>
              <w:ind w:left="0" w:right="0" w:hanging="0"/>
              <w:jc w:val="left"/>
              <w:rPr/>
            </w:pPr>
            <w:r>
              <w:rPr/>
              <w:t>​</w:t>
            </w:r>
          </w:p>
        </w:tc>
        <w:tc>
          <w:tcPr>
            <w:tcW w:w="178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0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61" w:type="dxa"/>
            <w:tcBorders/>
            <w:vAlign w:val="center"/>
          </w:tcPr>
          <w:p>
            <w:pPr>
              <w:pStyle w:val="TableContents"/>
              <w:bidi w:val="0"/>
              <w:spacing w:before="0" w:after="0"/>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left"/>
              <w:rPr/>
            </w:pPr>
            <w:r>
              <w:rPr/>
              <w:t>​</w:t>
            </w:r>
          </w:p>
        </w:tc>
      </w:tr>
      <w:tr>
        <w:trPr/>
        <w:tc>
          <w:tcPr>
            <w:tcW w:w="70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1,095,650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890,582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205,068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23.0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96.9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96.8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18.8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1,130,604</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919,998</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210,606</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22.9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revenue, which includes new system sales, sales of spare parts, product upgrades and used system sales was $1,095.7 million or 96.9% of revenue in 2023, compared with $890.6 million or 96.8% of revenue in 2022. The increase in product revenue in 2023 was primarily driven by an increase in the number of Purion systems sold.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portion of our revenue from system sales is deferred until installation and other services related to future deliverables are performed. The total amount of deferred revenue at December 31, 2023 and 2022 was $210.9 million and $154.8 million, respectively. The increase was primarily due to an increase in system prepayments.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Services revenue, which includes the labor component of maintenance and service contracts and fees for service hours provided by on-site service personnel, was $35.0 million, or 3.1% of revenue for 2023, compared with $29.4 million, or 3.2% of revenue for 2022. Although services revenue should increase with the expansion of the installed base of systems, it can fluctuate from period to period based on capacity utilization at customers’ manufacturing facilities, which affects the need for equipment service.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Categories used by Management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line item revenue categories discussed above, management also uses revenue categorizations which break down revenue into other groupings. Management regularly disaggregates revenue in the following categories, which it finds relevant and useful:</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Systems and Customer Solutions and Innovation (also known as “aftermarket”) revenue, in which “CS&amp;I” or “Aftermarket” revenue is </w:t>
            </w:r>
          </w:p>
        </w:tc>
      </w:tr>
    </w:tbl>
    <w:p>
      <w:pPr>
        <w:pStyle w:val="TextBody"/>
        <w:bidi w:val="0"/>
        <w:spacing w:before="0" w:after="0"/>
        <w:ind w:left="1440" w:right="0" w:hanging="0"/>
        <w:jc w:val="left"/>
        <w:rPr/>
      </w:pPr>
      <w:r>
        <w:rPr/>
        <w:t>​</w:t>
      </w:r>
    </w:p>
    <w:tbl>
      <w:tblPr>
        <w:tblW w:w="9186" w:type="dxa"/>
        <w:jc w:val="left"/>
        <w:tblInd w:w="0" w:type="dxa"/>
        <w:tblLayout w:type="fixed"/>
        <w:tblCellMar>
          <w:top w:w="28" w:type="dxa"/>
          <w:left w:w="28" w:type="dxa"/>
          <w:bottom w:w="28" w:type="dxa"/>
          <w:right w:w="28" w:type="dxa"/>
        </w:tblCellMar>
      </w:tblPr>
      <w:tblGrid>
        <w:gridCol w:w="124"/>
        <w:gridCol w:w="28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Product revenue relating to spare parts, product upgrades and used systems combined with; </w:t>
            </w:r>
          </w:p>
        </w:tc>
      </w:tr>
    </w:tbl>
    <w:tbl>
      <w:tblPr>
        <w:tblW w:w="6276" w:type="dxa"/>
        <w:jc w:val="left"/>
        <w:tblInd w:w="0" w:type="dxa"/>
        <w:tblLayout w:type="fixed"/>
        <w:tblCellMar>
          <w:top w:w="28" w:type="dxa"/>
          <w:left w:w="28" w:type="dxa"/>
          <w:bottom w:w="28" w:type="dxa"/>
          <w:right w:w="28" w:type="dxa"/>
        </w:tblCellMar>
      </w:tblPr>
      <w:tblGrid>
        <w:gridCol w:w="124"/>
        <w:gridCol w:w="28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 which is the labor component of aftermarket revenues</w:t>
            </w:r>
          </w:p>
        </w:tc>
      </w:tr>
    </w:tbl>
    <w:p>
      <w:pPr>
        <w:pStyle w:val="TextBody"/>
        <w:bidi w:val="0"/>
        <w:spacing w:before="0" w:after="0"/>
        <w:ind w:left="216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 xml:space="preserve">Aftermarket revenue reflects current fab utilization as opposed to System revenue, which reflects capital investment decisions by our customers, which have differing economic drivers; </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0"/>
              </w:rPr>
              <w:t>Revenue by geographic regions, since economic factors impacting customer purchasing decisions may vary by geographic region; and</w:t>
              <w:br/>
            </w:r>
            <w:r>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by our customers’ end markets, since they tend to be subject to different economic environments at different periods of time, impacting a customer’s likelihood of purchasing capital equipment during any particular period; currently, management uses three end market categories: Memory, mature process technology and leading edge foundry and logic.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CS&amp;I/aftermarket revenue categories for the twelve month periods ended December 31, 2023 and 2022 are discussed below.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CS&amp;I/Aftermarket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from our aftermarket business was $247.0 million in 2023, compared to $227.9 million for 2022. Aftermarket revenue generally increases with the expansion of the installed base of systems but can fluctuate from period to period based on capacity utilization at customers’ manufacturing facilities which affects the sale of spare parts and demand for equipment service.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 / Gross Margin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gross profit (dollars in thousands):</w:t>
      </w:r>
    </w:p>
    <w:p>
      <w:pPr>
        <w:pStyle w:val="TextBody"/>
        <w:bidi w:val="0"/>
        <w:spacing w:before="0" w:after="0"/>
        <w:ind w:left="0" w:right="0" w:firstLine="720"/>
        <w:jc w:val="left"/>
        <w:rPr/>
      </w:pPr>
      <w:r>
        <w:rPr/>
        <w:t>​</w:t>
      </w:r>
    </w:p>
    <w:tbl>
      <w:tblPr>
        <w:tblW w:w="6843" w:type="dxa"/>
        <w:jc w:val="left"/>
        <w:tblInd w:w="0" w:type="dxa"/>
        <w:tblLayout w:type="fixed"/>
        <w:tblCellMar>
          <w:top w:w="0" w:type="dxa"/>
          <w:left w:w="0" w:type="dxa"/>
          <w:bottom w:w="0" w:type="dxa"/>
          <w:right w:w="0" w:type="dxa"/>
        </w:tblCellMar>
      </w:tblPr>
      <w:tblGrid>
        <w:gridCol w:w="1726"/>
        <w:gridCol w:w="326"/>
        <w:gridCol w:w="211"/>
        <w:gridCol w:w="781"/>
        <w:gridCol w:w="361"/>
        <w:gridCol w:w="211"/>
        <w:gridCol w:w="781"/>
        <w:gridCol w:w="361"/>
        <w:gridCol w:w="211"/>
        <w:gridCol w:w="676"/>
        <w:gridCol w:w="326"/>
        <w:gridCol w:w="466"/>
        <w:gridCol w:w="406"/>
      </w:tblGrid>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61" w:type="dxa"/>
            <w:tcBorders/>
            <w:vAlign w:val="center"/>
          </w:tcPr>
          <w:p>
            <w:pPr>
              <w:pStyle w:val="TableContents"/>
              <w:bidi w:val="0"/>
              <w:spacing w:before="0" w:after="0"/>
              <w:ind w:left="0" w:right="0" w:hanging="0"/>
              <w:jc w:val="left"/>
              <w:rPr/>
            </w:pPr>
            <w:r>
              <w:rPr/>
              <w:t>​</w:t>
            </w:r>
          </w:p>
        </w:tc>
        <w:tc>
          <w:tcPr>
            <w:tcW w:w="167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0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61" w:type="dxa"/>
            <w:tcBorders/>
            <w:vAlign w:val="center"/>
          </w:tcPr>
          <w:p>
            <w:pPr>
              <w:pStyle w:val="TableContents"/>
              <w:bidi w:val="0"/>
              <w:spacing w:before="0" w:after="0"/>
              <w:ind w:left="0" w:right="0" w:hanging="0"/>
              <w:jc w:val="left"/>
              <w:rPr/>
            </w:pPr>
            <w:r>
              <w:rPr/>
              <w:t>​</w:t>
            </w:r>
          </w:p>
        </w:tc>
        <w:tc>
          <w:tcPr>
            <w:tcW w:w="16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left"/>
              <w:rPr/>
            </w:pPr>
            <w:r>
              <w:rPr/>
              <w:t>    </w:t>
            </w:r>
          </w:p>
        </w:tc>
      </w:tr>
      <w:tr>
        <w:trPr/>
        <w:tc>
          <w:tcPr>
            <w:tcW w:w="684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487,538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398,478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89,060</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Product 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44.5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44.7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13.6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Services 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10.7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491,301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401,790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89,511</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22.3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43.5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43.7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w:t>
            </w: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Product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margin from product revenue was 44.5% for the twelve months ended December 31, 2023, compared to 44.7% for the twelve months ended December 31, 2022. The slight decrease in gross margin is primarily attributable to changes in the mix of products.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Gross margin from services revenue was 10.7% for the twelve months ended December 31, 2023, compared to 11.3% for the twelve months ended December 31, 2022. The decrease in gross margin is attributable to changes in the mix of service contracts.</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sz w:val="20"/>
        </w:rPr>
      </w:pPr>
      <w:r>
        <w:rPr>
          <w:rFonts w:ascii="Times New Roman;Times;serif" w:hAnsi="Times New Roman;Times;serif"/>
          <w:b/>
          <w:sz w:val="20"/>
        </w:rPr>
        <w:t>Operating Expenses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operating expenses:</w:t>
      </w:r>
    </w:p>
    <w:p>
      <w:pPr>
        <w:pStyle w:val="TextBody"/>
        <w:bidi w:val="0"/>
        <w:spacing w:before="0" w:after="0"/>
        <w:ind w:left="0" w:right="0" w:firstLine="720"/>
        <w:jc w:val="left"/>
        <w:rPr/>
      </w:pPr>
      <w:r>
        <w:rPr/>
        <w:t>​</w:t>
      </w:r>
    </w:p>
    <w:tbl>
      <w:tblPr>
        <w:tblW w:w="6563" w:type="dxa"/>
        <w:jc w:val="left"/>
        <w:tblInd w:w="0" w:type="dxa"/>
        <w:tblLayout w:type="fixed"/>
        <w:tblCellMar>
          <w:top w:w="0" w:type="dxa"/>
          <w:left w:w="0" w:type="dxa"/>
          <w:bottom w:w="0" w:type="dxa"/>
          <w:right w:w="0" w:type="dxa"/>
        </w:tblCellMar>
      </w:tblPr>
      <w:tblGrid>
        <w:gridCol w:w="1981"/>
        <w:gridCol w:w="326"/>
        <w:gridCol w:w="196"/>
        <w:gridCol w:w="691"/>
        <w:gridCol w:w="326"/>
        <w:gridCol w:w="196"/>
        <w:gridCol w:w="691"/>
        <w:gridCol w:w="326"/>
        <w:gridCol w:w="196"/>
        <w:gridCol w:w="601"/>
        <w:gridCol w:w="326"/>
        <w:gridCol w:w="421"/>
        <w:gridCol w:w="286"/>
      </w:tblGrid>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15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86"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86"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86" w:type="dxa"/>
            <w:tcBorders/>
            <w:vAlign w:val="center"/>
          </w:tcPr>
          <w:p>
            <w:pPr>
              <w:pStyle w:val="TableContents"/>
              <w:bidi w:val="0"/>
              <w:spacing w:before="0" w:after="0"/>
              <w:ind w:left="0" w:right="0" w:hanging="0"/>
              <w:jc w:val="left"/>
              <w:rPr/>
            </w:pPr>
            <w:r>
              <w:rPr/>
              <w:t>​</w:t>
            </w:r>
          </w:p>
        </w:tc>
      </w:tr>
      <w:tr>
        <w:trPr/>
        <w:tc>
          <w:tcPr>
            <w:tcW w:w="65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5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96,907</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78,356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18,551</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23.7</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8.6</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8.5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9,206</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17.2</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5.6</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5.8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65,794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57,474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8,320</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14.5</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5.8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6.2</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225,506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189,429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36,077</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19.0</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Percentage of revenue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20.0</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16"/>
              </w:rPr>
            </w:pPr>
            <w:r>
              <w:rPr>
                <w:rFonts w:ascii="Times New Roman;Times;serif" w:hAnsi="Times New Roman;Times;serif"/>
                <w:i/>
                <w:sz w:val="16"/>
              </w:rPr>
              <w:t>20.5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operating expenses consist primarily of personnel costs, including salaries, commissions, bonuses, stock-based compensation and related benefits and taxes; project material costs related to the design and development of new products and enhancement of existing products; and professional fees, facilities and amortization and depreciation expenses. Personnel costs are our largest expense, representing $135.1 million, or 59.9% of our total operating expenses, for the year ended December 31, 2023; and $114.8 million, or 60.6% of our total operating expenses for the year ended December 31, 2022.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left"/>
        <w:rPr/>
      </w:pPr>
      <w:r>
        <w:rPr/>
        <w:t>​</w:t>
      </w:r>
    </w:p>
    <w:tbl>
      <w:tblPr>
        <w:tblW w:w="6650" w:type="dxa"/>
        <w:jc w:val="left"/>
        <w:tblInd w:w="0" w:type="dxa"/>
        <w:tblLayout w:type="fixed"/>
        <w:tblCellMar>
          <w:top w:w="0" w:type="dxa"/>
          <w:left w:w="0" w:type="dxa"/>
          <w:bottom w:w="0" w:type="dxa"/>
          <w:right w:w="0" w:type="dxa"/>
        </w:tblCellMar>
      </w:tblPr>
      <w:tblGrid>
        <w:gridCol w:w="2011"/>
        <w:gridCol w:w="326"/>
        <w:gridCol w:w="211"/>
        <w:gridCol w:w="676"/>
        <w:gridCol w:w="326"/>
        <w:gridCol w:w="211"/>
        <w:gridCol w:w="676"/>
        <w:gridCol w:w="326"/>
        <w:gridCol w:w="211"/>
        <w:gridCol w:w="676"/>
        <w:gridCol w:w="109"/>
        <w:gridCol w:w="466"/>
        <w:gridCol w:w="271"/>
        <w:gridCol w:w="154"/>
      </w:tblGrid>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6"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462"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46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650"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13" w:type="dxa"/>
            <w:gridSpan w:val="1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18,551</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23.7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8.6</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8.5</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drive competitive advantages.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(“R&amp;D”) expense was $96.9 million in 2023, an increase of $18.6 million, or 23.7%, compared with $78.4 million in 2022. The increase was primarily due to higher payroll related costs due to increased headcount as well as increased outside services, materials and supplies expense to support ongoing R&amp;D projects.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0"/>
        <w:ind w:left="0" w:right="0" w:hanging="0"/>
        <w:jc w:val="left"/>
        <w:rPr/>
      </w:pPr>
      <w:r>
        <w:rPr/>
        <w:t>​</w:t>
      </w:r>
    </w:p>
    <w:tbl>
      <w:tblPr>
        <w:tblW w:w="6271" w:type="dxa"/>
        <w:jc w:val="left"/>
        <w:tblInd w:w="0" w:type="dxa"/>
        <w:tblLayout w:type="fixed"/>
        <w:tblCellMar>
          <w:top w:w="0" w:type="dxa"/>
          <w:left w:w="0" w:type="dxa"/>
          <w:bottom w:w="0" w:type="dxa"/>
          <w:right w:w="0" w:type="dxa"/>
        </w:tblCellMar>
      </w:tblPr>
      <w:tblGrid>
        <w:gridCol w:w="1696"/>
        <w:gridCol w:w="326"/>
        <w:gridCol w:w="211"/>
        <w:gridCol w:w="676"/>
        <w:gridCol w:w="326"/>
        <w:gridCol w:w="211"/>
        <w:gridCol w:w="676"/>
        <w:gridCol w:w="326"/>
        <w:gridCol w:w="271"/>
        <w:gridCol w:w="571"/>
        <w:gridCol w:w="109"/>
        <w:gridCol w:w="466"/>
        <w:gridCol w:w="406"/>
      </w:tblGrid>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141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0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41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left"/>
              <w:rPr/>
            </w:pPr>
            <w:r>
              <w:rPr/>
              <w:t>​</w:t>
            </w:r>
          </w:p>
        </w:tc>
      </w:tr>
      <w:tr>
        <w:trPr/>
        <w:tc>
          <w:tcPr>
            <w:tcW w:w="627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4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 and marketing</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53,599</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9,206</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17.2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5.6</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7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sales and marketing expenses result primarily from the sale of our equipment and services through our direct sales force.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Sales and marketing expense was $62.8 million in 2023, an increase of $9.2 million, or 17.2%, compared with $53.6 million in 2022. The increase was primarily due to higher payroll related costs due to increased headcount and travel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0"/>
        <w:ind w:left="0" w:right="0" w:hanging="0"/>
        <w:jc w:val="left"/>
        <w:rPr/>
      </w:pPr>
      <w:r>
        <w:rPr/>
        <w:t>​</w:t>
      </w:r>
    </w:p>
    <w:tbl>
      <w:tblPr>
        <w:tblW w:w="6803" w:type="dxa"/>
        <w:jc w:val="left"/>
        <w:tblInd w:w="0" w:type="dxa"/>
        <w:tblLayout w:type="fixed"/>
        <w:tblCellMar>
          <w:top w:w="0" w:type="dxa"/>
          <w:left w:w="0" w:type="dxa"/>
          <w:bottom w:w="0" w:type="dxa"/>
          <w:right w:w="0" w:type="dxa"/>
        </w:tblCellMar>
      </w:tblPr>
      <w:tblGrid>
        <w:gridCol w:w="2011"/>
        <w:gridCol w:w="326"/>
        <w:gridCol w:w="211"/>
        <w:gridCol w:w="676"/>
        <w:gridCol w:w="326"/>
        <w:gridCol w:w="211"/>
        <w:gridCol w:w="676"/>
        <w:gridCol w:w="326"/>
        <w:gridCol w:w="271"/>
        <w:gridCol w:w="571"/>
        <w:gridCol w:w="326"/>
        <w:gridCol w:w="466"/>
        <w:gridCol w:w="406"/>
      </w:tblGrid>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16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0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6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left"/>
              <w:rPr/>
            </w:pPr>
            <w:r>
              <w:rPr/>
              <w:t>​</w:t>
            </w:r>
          </w:p>
        </w:tc>
      </w:tr>
      <w:tr>
        <w:trPr/>
        <w:tc>
          <w:tcPr>
            <w:tcW w:w="680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6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65,794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57,474</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8,320</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14.5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Percentage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5.8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6.2</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7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general and administrative expenses result primarily from the costs associated with our executive, finance, information technology, legal and human resource functions.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General and administrative expense was $65.8 million in 2023, an increase of $8.3 million, or 14.5% compared with $57.5 million in 2022. The increase was primarily due to higher payroll related costs due to increased headcount and incentive based pay as well as increases in various other expenses to support growth.</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income (expense) consists of interest earned on our invested cash balances as well as interest expense relating to the lease obligation we incurred in connection with the 2015 sale of our headquarters facility (“sale leaseback”), foreign exchange gains and losses attributable to fluctuations of the U.S. dollar against the local currencies of certain of the countries in which we operate.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firstLine="720"/>
        <w:jc w:val="left"/>
        <w:rPr/>
      </w:pPr>
      <w:r>
        <w:rPr/>
        <w:t>​</w:t>
      </w:r>
    </w:p>
    <w:tbl>
      <w:tblPr>
        <w:tblW w:w="6661" w:type="dxa"/>
        <w:jc w:val="left"/>
        <w:tblInd w:w="0" w:type="dxa"/>
        <w:tblLayout w:type="fixed"/>
        <w:tblCellMar>
          <w:top w:w="0" w:type="dxa"/>
          <w:left w:w="0" w:type="dxa"/>
          <w:bottom w:w="0" w:type="dxa"/>
          <w:right w:w="0" w:type="dxa"/>
        </w:tblCellMar>
      </w:tblPr>
      <w:tblGrid>
        <w:gridCol w:w="1861"/>
        <w:gridCol w:w="109"/>
        <w:gridCol w:w="211"/>
        <w:gridCol w:w="676"/>
        <w:gridCol w:w="326"/>
        <w:gridCol w:w="211"/>
        <w:gridCol w:w="691"/>
        <w:gridCol w:w="326"/>
        <w:gridCol w:w="271"/>
        <w:gridCol w:w="676"/>
        <w:gridCol w:w="326"/>
        <w:gridCol w:w="571"/>
        <w:gridCol w:w="406"/>
      </w:tblGrid>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18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0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8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left"/>
              <w:rPr/>
            </w:pPr>
            <w:r>
              <w:rPr/>
              <w:t>​</w:t>
            </w:r>
          </w:p>
        </w:tc>
      </w:tr>
      <w:tr>
        <w:trPr/>
        <w:tc>
          <w:tcPr>
            <w:tcW w:w="666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69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271.3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1.1</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(0.8)</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7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for the year ended December 31, 2023 was $12.8 million, which includes $18.2 million of interest income on our investments, partially offset by $5.3 million of interest expense related to our sale leaseback obligation. Other expense for the year ended December 31, 2022 was $7.5 million, which includes $5.0 million of interest expense related to our sale leaseback obligation and $6.4 million of foreign currency translation loss, partially offset by interest income of $4.6 million.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0"/>
        <w:ind w:left="0" w:right="0" w:firstLine="720"/>
        <w:jc w:val="left"/>
        <w:rPr/>
      </w:pPr>
      <w:r>
        <w:rPr/>
        <w:t>​</w:t>
      </w:r>
    </w:p>
    <w:tbl>
      <w:tblPr>
        <w:tblW w:w="6421" w:type="dxa"/>
        <w:jc w:val="left"/>
        <w:tblInd w:w="0" w:type="dxa"/>
        <w:tblLayout w:type="fixed"/>
        <w:tblCellMar>
          <w:top w:w="0" w:type="dxa"/>
          <w:left w:w="0" w:type="dxa"/>
          <w:bottom w:w="0" w:type="dxa"/>
          <w:right w:w="0" w:type="dxa"/>
        </w:tblCellMar>
      </w:tblPr>
      <w:tblGrid>
        <w:gridCol w:w="1741"/>
        <w:gridCol w:w="109"/>
        <w:gridCol w:w="211"/>
        <w:gridCol w:w="676"/>
        <w:gridCol w:w="326"/>
        <w:gridCol w:w="211"/>
        <w:gridCol w:w="676"/>
        <w:gridCol w:w="326"/>
        <w:gridCol w:w="271"/>
        <w:gridCol w:w="676"/>
        <w:gridCol w:w="326"/>
        <w:gridCol w:w="466"/>
        <w:gridCol w:w="40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26" w:type="dxa"/>
            <w:tcBorders/>
            <w:vAlign w:val="center"/>
          </w:tcPr>
          <w:p>
            <w:pPr>
              <w:pStyle w:val="TableContents"/>
              <w:bidi w:val="0"/>
              <w:spacing w:before="0" w:after="0"/>
              <w:ind w:left="0" w:right="0" w:hanging="0"/>
              <w:jc w:val="left"/>
              <w:rPr/>
            </w:pPr>
            <w:r>
              <w:rPr/>
              <w:t>​</w:t>
            </w:r>
          </w:p>
        </w:tc>
        <w:tc>
          <w:tcPr>
            <w:tcW w:w="173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Period-to-Period</w:t>
            </w:r>
          </w:p>
        </w:tc>
        <w:tc>
          <w:tcPr>
            <w:tcW w:w="4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7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left"/>
              <w:rPr/>
            </w:pPr>
            <w:r>
              <w:rPr/>
              <w:t>​</w:t>
            </w:r>
          </w:p>
        </w:tc>
      </w:tr>
      <w:tr>
        <w:trPr/>
        <w:tc>
          <w:tcPr>
            <w:tcW w:w="642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57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741"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provision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21,806</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 </w:t>
            </w: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10,530</w:t>
            </w:r>
          </w:p>
        </w:tc>
        <w:tc>
          <w:tcPr>
            <w:tcW w:w="32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48.3</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 xml:space="preserve">Percentage of revenue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2.9</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2.4</w:t>
            </w:r>
          </w:p>
        </w:tc>
        <w:tc>
          <w:tcPr>
            <w:tcW w:w="3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t>
            </w:r>
          </w:p>
        </w:tc>
        <w:tc>
          <w:tcPr>
            <w:tcW w:w="27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$32.3 million for the year ended December 31, 2023, compared to $21.8 million in 2022. The effective tax rate for the year ended December 31, 2023 was 11.6% compared to 10.6% for year the ended December 31, 2022.  The increase in the effective tax rate in 2023 is due to an increase in the amount of limitation on executive compensation as well as an increase in foreign tax. </w:t>
      </w:r>
    </w:p>
    <w:p>
      <w:pPr>
        <w:pStyle w:val="TextBody"/>
        <w:bidi w:val="0"/>
        <w:spacing w:before="0" w:after="0"/>
        <w:ind w:left="0" w:right="0" w:hanging="0"/>
        <w:jc w:val="left"/>
        <w:rPr/>
      </w:pPr>
      <w:r>
        <w:rPr/>
        <w: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At December 31, 2023, we had $53.4 million of net deferred tax assets worldwide relating to capitalized research and development costs and other temporary differences, which are available to reduce income taxes in future years. We have recorded a $11.0 million valuation allowance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liquidity is affected by many factors. Some of these relate specifically to the operations of our business. For example, our sales and other factors are influenced by the uncertainties of global economies, including the availability of credit and the condition of the overall semiconductor capital equipment industry. Our industry requires ongoing investments in operations and research and development that are not easily adjusted to reflect changes in revenue. As a result, profitability and cash flows can fluctuate more widely than 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2023, $156.9 million of cash was provided by operating activities. This compares to $215.6 million of cash provided by operations in 2022. Cash and cash equivalents at December 31, 2023 was $167.3 million, compared to $185.6 million at December 31, 2022. Approximately $48.3 million of cash was located in foreign jurisdictions as of December 31, 2023. In addition to the cash and cash equivalent balance at December 31, 2023, we had $6.7 million in restricted cash which relates to a $5.9 million cash collateral relating to our lease for our headquarters in Beverly, Massachusetts, a $0.7 million letter of credit relating to workers’ compensation insurance and a $0.1 million deposit relating to customs activity. Working capital at December 31, 2023 was $794.9 million. At December 31, 2023, we had no bank debt.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2023, $100.9 million of cash was used in investing activities. Capital expenditures were $20.7 million for the year ended December 31, 2023. We held $338.9 million of short-term investments at December 31, 2023. These short-term investments consist of U.S. Government securities and agency investments. In 2022, $10.7 million was used in investing activities for capital expenditures. Total capital expenditures for 2024 are projected to be approximately $20 million.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beyond 2024 will depend on a number of factors, including the timing and rate of expansion of our business and our ability to generate cash to fund them.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Cash used in financing activities for the year ended December 31, 2023 was $68.3 million, which consisted of $52.5 million related to our stock repurchase program, $16.6 million related to net settlement of restricted stock issuances and $1.2 million related to principal reduction on our financing lease. These amounts were partially offset by $2.1 million in proceeds from our employee stock purchase plan. Cash used in financing activities was $65.5 million for the year ended December 31, 2022, which consisted of $57.5 million related to our stock repurchase program, $9.9 million related to net settlement of restricted stock issuances, and $1.0 million of principal reduction on our finance lease. These uses of cash were partially offset by $1.2 million in proceeds of stock option exercises and $1.7 million in proceeds from our employee stock purchase plan.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outstanding letters of credit, surety bonds and deposits in the amount of $16.8 million to cover the security deposit under the lease of our headquarters, our workers’ compensation insurance program, customs and bank deposits and certain value added tax claims in Europe.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represents our commercial commitments as of December 31, 2023 (in thousands):</w:t>
      </w:r>
    </w:p>
    <w:p>
      <w:pPr>
        <w:pStyle w:val="TextBody"/>
        <w:bidi w:val="0"/>
        <w:spacing w:before="0" w:after="0"/>
        <w:ind w:left="0" w:right="0" w:firstLine="720"/>
        <w:jc w:val="left"/>
        <w:rPr/>
      </w:pPr>
      <w:r>
        <w:rPr/>
        <w:t>​</w:t>
      </w:r>
    </w:p>
    <w:tbl>
      <w:tblPr>
        <w:tblW w:w="7737" w:type="dxa"/>
        <w:jc w:val="left"/>
        <w:tblInd w:w="0" w:type="dxa"/>
        <w:tblLayout w:type="fixed"/>
        <w:tblCellMar>
          <w:top w:w="0" w:type="dxa"/>
          <w:left w:w="0" w:type="dxa"/>
          <w:bottom w:w="0" w:type="dxa"/>
          <w:right w:w="0" w:type="dxa"/>
        </w:tblCellMar>
      </w:tblPr>
      <w:tblGrid>
        <w:gridCol w:w="3121"/>
        <w:gridCol w:w="326"/>
        <w:gridCol w:w="211"/>
        <w:gridCol w:w="676"/>
        <w:gridCol w:w="326"/>
        <w:gridCol w:w="211"/>
        <w:gridCol w:w="676"/>
        <w:gridCol w:w="109"/>
        <w:gridCol w:w="211"/>
        <w:gridCol w:w="571"/>
        <w:gridCol w:w="326"/>
        <w:gridCol w:w="211"/>
        <w:gridCol w:w="571"/>
        <w:gridCol w:w="19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981835" cy="175260"/>
                      <wp:effectExtent l="0" t="0" r="0" b="0"/>
                      <wp:wrapNone/>
                      <wp:docPr id="18" name="Frame18"/>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7" name="Frame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62585" cy="175260"/>
                      <wp:effectExtent l="0" t="0" r="0" b="0"/>
                      <wp:wrapNone/>
                      <wp:docPr id="30" name="Frame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1285" cy="175260"/>
                      <wp:effectExtent l="0" t="0" r="0" b="0"/>
                      <wp:wrapNone/>
                      <wp:docPr id="31" name="Frame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8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8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Commitment</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8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by Period</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Commercial Commitments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1" w:type="dxa"/>
            <w:tcBorders/>
            <w:vAlign w:val="center"/>
          </w:tcPr>
          <w:p>
            <w:pPr>
              <w:pStyle w:val="TableContents"/>
              <w:bidi w:val="0"/>
              <w:spacing w:before="0" w:after="0"/>
              <w:ind w:left="0" w:right="0" w:hanging="0"/>
              <w:jc w:val="center"/>
              <w:rPr/>
            </w:pPr>
            <w:r>
              <w:rPr/>
              <w:t> </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Surety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Standby letters of credit and deposits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vAlign w:val="center"/>
          </w:tcPr>
          <w:p>
            <w:pPr>
              <w:pStyle w:val="TableContents"/>
              <w:bidi w:val="0"/>
              <w:spacing w:before="0" w:after="0"/>
              <w:ind w:left="0" w:right="0" w:hanging="0"/>
              <w:jc w:val="right"/>
              <w:rPr/>
            </w:pPr>
            <w:r>
              <w:rPr/>
              <w:t>​</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represents our contractual obligations as of December 31, 2023 (in thousands):</w:t>
      </w:r>
    </w:p>
    <w:p>
      <w:pPr>
        <w:pStyle w:val="TextBody"/>
        <w:bidi w:val="0"/>
        <w:spacing w:before="0" w:after="0"/>
        <w:ind w:left="0" w:right="0" w:firstLine="720"/>
        <w:jc w:val="left"/>
        <w:rPr/>
      </w:pPr>
      <w:r>
        <w:rPr/>
        <w:t>​</w:t>
      </w:r>
    </w:p>
    <w:tbl>
      <w:tblPr>
        <w:tblW w:w="9090" w:type="dxa"/>
        <w:jc w:val="left"/>
        <w:tblInd w:w="0" w:type="dxa"/>
        <w:tblLayout w:type="fixed"/>
        <w:tblCellMar>
          <w:top w:w="0" w:type="dxa"/>
          <w:left w:w="0" w:type="dxa"/>
          <w:bottom w:w="0" w:type="dxa"/>
          <w:right w:w="0" w:type="dxa"/>
        </w:tblCellMar>
      </w:tblPr>
      <w:tblGrid>
        <w:gridCol w:w="2446"/>
        <w:gridCol w:w="326"/>
        <w:gridCol w:w="211"/>
        <w:gridCol w:w="781"/>
        <w:gridCol w:w="326"/>
        <w:gridCol w:w="211"/>
        <w:gridCol w:w="781"/>
        <w:gridCol w:w="326"/>
        <w:gridCol w:w="211"/>
        <w:gridCol w:w="676"/>
        <w:gridCol w:w="326"/>
        <w:gridCol w:w="211"/>
        <w:gridCol w:w="676"/>
        <w:gridCol w:w="326"/>
        <w:gridCol w:w="253"/>
        <w:gridCol w:w="812"/>
        <w:gridCol w:w="191"/>
      </w:tblGrid>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80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c>
          <w:tcPr>
            <w:tcW w:w="191" w:type="dxa"/>
            <w:tcBorders/>
            <w:vAlign w:val="center"/>
          </w:tcPr>
          <w:p>
            <w:pPr>
              <w:pStyle w:val="TableContents"/>
              <w:bidi w:val="0"/>
              <w:spacing w:before="0" w:after="0"/>
              <w:ind w:left="0" w:right="0" w:hanging="0"/>
              <w:jc w:val="center"/>
              <w:rPr/>
            </w:pPr>
            <w:r>
              <w:rPr/>
              <w:t> </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Contractual Obligations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2025-2026</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2027-2028</w:t>
            </w:r>
          </w:p>
        </w:tc>
        <w:tc>
          <w:tcPr>
            <w:tcW w:w="32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2029-Beyond</w:t>
            </w:r>
          </w:p>
        </w:tc>
        <w:tc>
          <w:tcPr>
            <w:tcW w:w="191" w:type="dxa"/>
            <w:tcBorders/>
            <w:vAlign w:val="center"/>
          </w:tcPr>
          <w:p>
            <w:pPr>
              <w:pStyle w:val="TableContents"/>
              <w:bidi w:val="0"/>
              <w:spacing w:before="0" w:after="0"/>
              <w:ind w:left="0" w:right="0" w:hanging="0"/>
              <w:jc w:val="center"/>
              <w:rPr/>
            </w:pPr>
            <w:r>
              <w:rPr/>
              <w:t> </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leaseback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12,379</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order commitments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91" w:type="dxa"/>
            <w:tcBorders/>
            <w:vAlign w:val="center"/>
          </w:tcPr>
          <w:p>
            <w:pPr>
              <w:pStyle w:val="TableContents"/>
              <w:bidi w:val="0"/>
              <w:spacing w:before="0" w:after="0"/>
              <w:ind w:left="0" w:right="0" w:hanging="0"/>
              <w:jc w:val="right"/>
              <w:rPr/>
            </w:pPr>
            <w:r>
              <w:rPr/>
              <w:t>​</w:t>
            </w:r>
          </w:p>
        </w:tc>
      </w:tr>
      <w:tr>
        <w:trPr/>
        <w:tc>
          <w:tcPr>
            <w:tcW w:w="2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4,456</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17,850</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78,595</w:t>
            </w:r>
          </w:p>
        </w:tc>
        <w:tc>
          <w:tcPr>
            <w:tcW w:w="19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no off-balance sheet arrangements as of December 31, 2023, other than leases signed but not commenced. See Note 18 – Income Taxes in the Notes to the Consolidated Financial Statements for information related to our unrecognized tax benefits.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consider the undistributed earnings of our foreign subsidiaries as of December 31, 2023, to be indefinitely reinvested and, accordingly, no U.S. income taxes have been provided thereon. As of December 31, 2023, the amount of cash associated with indefinitely reinvested foreign earnings was approximately $11.8 million. We have not, nor do we anticipate the need to, repatriate funds to the United States to satisfy domestic liquidity needs arising in the ordinary course of business, including liquidity needs associated with any domestic debt service requirements. Upon repatriation of those earnings, in the form of dividends or otherwise, we could be subject to withholding taxes payable to the various foreign tax jurisdictions.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bookmarkStart w:id="39" w:name="_Hlk158985126"/>
      <w:bookmarkEnd w:id="39"/>
      <w:r>
        <w:rPr>
          <w:rFonts w:ascii="Times New Roman;Times;serif" w:hAnsi="Times New Roman;Times;serif"/>
          <w:sz w:val="20"/>
        </w:rPr>
        <w:t>Under the rules of the U.S. Securities and Exchange Commission (the “SEC”), we qualify as a “well-known seasoned issuer,” which allows us to file shelf registration statements to register an unspecified amount of securities that are effective upon filing. On August 3, 2023,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expire in August 2026. We may file another shelf registration statement to maintain the availability of this financing option.</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issued by Silicon Valley Bank, a division of First Citizens Bank &amp; Trust Company (successor by purchase to the Federal Deposit Insurance Corporation as Receiver for Silicon Valley Bridge Bank, N.A.) as successor to Silicon Valley Bank, in the amount of $5.9 million, securing our lease on our corporate headquarters was terminated on December 28, 2023. The underlying cash collateral held at Silicon Valley Bank was released on December 28, 2023, in conjunction with the letter of credit termination. A replacement, cash collateralized, letter of credit was issued on December 14, 2023 with UBS Bank USA and is classified as long-term restricted cash on our balance sheet at December 31, 2023. </w:t>
        <w:b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believe that based on our current market, revenue, expense and cash flow forecasts, our existing cash, cash equivalents, short-term investments and borrowing capacity will be sufficient to satisfy our anticipated cash requirements for the short and long-term.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Related-Party Transactions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are no significant related-party transactions that require disclosure in the consolidated financial statements for the year ended December 31, 2023, or in this Annual Report on Form 10-K.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discussion of recent accounting pronouncements, the impact of some of which may be material, is included in Note 2 to the consolidated financial statements for the year ended December 31, 2023 included in this Annual Report on Form 10-K.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40" w:name="_250c2f5f_c329_438a_8a39_3749005f1371"/>
      <w:bookmarkEnd w:id="40"/>
      <w:r>
        <w:rPr>
          <w:rFonts w:ascii="Times New Roman;Times;serif" w:hAnsi="Times New Roman;Times;serif"/>
          <w:b/>
          <w:sz w:val="20"/>
        </w:rPr>
        <w:t>Item 7A.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Rate Sensitivity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exposure to market risk for changes in interest rates relates primarily to our investment portfolio, which consists of cash equivalents and short-term investments at December 31, 2023. The primary objective of our investment activities is to preserve principal. This is accomplished by investing in marketable investment grade securities. We do not use derivative financial instruments in managing our investment portfolio. Due to the nature of our investments, we do not expect our operating results or cash flows to be affected to any significant degree by any change in market interest rates.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Substantially all of our sales are billed in U.S. dollars, thereby reducing the impact of fluctuations in foreign exchange rates on our results. Operating margins of certain foreign operations can fluctuate with changes in foreign exchange rates to the extent revenue is billed in U.S. dollars and operating expenses are incurred in the local currency. During the years ended December 31, 2023 and 2022, approximately 5.8% and 9.1% of our revenue, respectively, were derived in local currencies from foreign operations with this inherent risk. In addition, at December 31, 2023 and 2022, our operations outside the United States accounted for approximately 9.4% and 10.2% of our total assets, respectively, the majority of which was denominated in currencies other than the U.S. dollar. We currently do not use derivative financial instruments in managing our foreign currency exchange risk.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41" w:name="_dab58d0c_9a5c_48fa_86ea_44e1d7887f24"/>
      <w:bookmarkEnd w:id="41"/>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Response to this Item is submitted as a separate section of this report immediately following Item 15.</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rFonts w:ascii="Times New Roman;Times;serif" w:hAnsi="Times New Roman;Times;serif"/>
          <w:b/>
          <w:sz w:val="20"/>
        </w:rPr>
      </w:pPr>
      <w:bookmarkStart w:id="42" w:name="_19e71206_8ac8_4f81_bcc3_416d97ee7840"/>
      <w:bookmarkEnd w:id="42"/>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43" w:name="_1413401c_0bee_4f4d_9c09_86b64eb9e25d"/>
      <w:bookmarkEnd w:id="43"/>
      <w:r>
        <w:rPr>
          <w:rFonts w:ascii="Times New Roman;Times;serif" w:hAnsi="Times New Roman;Times;serif"/>
          <w:b/>
          <w:sz w:val="20"/>
        </w:rPr>
        <w:t>Item 9A.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Annual Report on Form 10-K (the “Evaluation Date”). Based on this evaluation, our principal executive officer and principal financial officer concluded that, as of the Evaluation Date, these disclosure controls and procedures are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all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assessed the effectiveness of our internal control over financial reporting as of December 31, 2023. In making this assessment, management used the criteria set forth in the Committee of Sponsoring Organizations of the Treadway Commission (“COSO”) Internal Control—2013 Integrated Framework.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Based on this assessment, management has concluded that, as of December 31, 2023, our internal control over financial reporting is effective based on those criteria.</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independent registered public accounting firm of Ernst &amp; Young LLP, as auditors of our consolidated financial statements, has issued an attestation report on its assessment of our internal control over financial reporting.</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bookmarkStart w:id="44" w:name="_3d442816_97e7_413c_bd66_2524cde48710"/>
      <w:bookmarkEnd w:id="4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Stockholders and the Board of Directors of Axcelis Technologies,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audited Axcelis Technologies, Inc.’s internal control over financial reporting as of December 31, 2023, based on criteria established in Internal Control—Integrated Framework issued by the Committee of Sponsoring Organizations of the Treadway Commission (2013 framework) (the COSO criteria). In our opinion, Axcelis Technologies, Inc. (the Company) maintained, in all material respects, effective internal control over financial reporting as of December 31, 2022, based on the COSO criteria.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2023 consolidated financial statements of the Company and our report dated February 23, 2024 expressed an unqualified opinion thereon.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23,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 13a-15(f) under the Exchange Act) identified in connection with the evaluation of our internal control that occurred during our fourth quarter that has materially affected, or is reasonably likely to materially affect, our internal control over financial reporting.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9B.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December 31, 2023,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bookmarkStart w:id="45" w:name="_43aff2f2_0600_47a5_9ea9_0c15fcc06126"/>
      <w:bookmarkEnd w:id="45"/>
      <w:r>
        <w:rPr>
          <w:rFonts w:ascii="Times New Roman;Times;serif" w:hAnsi="Times New Roman;Times;serif"/>
          <w:b/>
          <w:sz w:val="20"/>
        </w:rPr>
        <w:t>PART III</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 Directors, Executive Officers and Corporate Governance.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portion of the information required by Item 10 of Form 10-K is incorporated by reference from the information responsive thereto contained in the sections in Axcelis Proxy Statement for the Annual Meeting of Stockholders to be held May 9, 2024 (the “Proxy Statement”) captioned:</w:t>
      </w:r>
    </w:p>
    <w:p>
      <w:pPr>
        <w:pStyle w:val="TextBody"/>
        <w:bidi w:val="0"/>
        <w:spacing w:before="0" w:after="0"/>
        <w:ind w:left="0" w:right="0" w:firstLine="720"/>
        <w:jc w:val="left"/>
        <w:rPr/>
      </w:pPr>
      <w:r>
        <w:rPr/>
        <w:t>​</w:t>
      </w:r>
    </w:p>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Proposal 1: Election of Directors,”</w:t>
            </w:r>
          </w:p>
        </w:tc>
      </w:tr>
    </w:tbl>
    <w:p>
      <w:pPr>
        <w:pStyle w:val="TextBody"/>
        <w:pBdr/>
        <w:bidi w:val="0"/>
        <w:spacing w:before="0" w:after="0"/>
        <w:ind w:left="720" w:right="0" w:hanging="360"/>
        <w:jc w:val="left"/>
        <w:rPr/>
      </w:pPr>
      <w:r>
        <w:rPr/>
        <w:t>​</w:t>
      </w:r>
    </w:p>
    <w:tbl>
      <w:tblPr>
        <w:tblW w:w="2256" w:type="dxa"/>
        <w:jc w:val="left"/>
        <w:tblInd w:w="0" w:type="dxa"/>
        <w:tblLayout w:type="fixed"/>
        <w:tblCellMar>
          <w:top w:w="28" w:type="dxa"/>
          <w:left w:w="28" w:type="dxa"/>
          <w:bottom w:w="28" w:type="dxa"/>
          <w:right w:w="28" w:type="dxa"/>
        </w:tblCellMar>
      </w:tblPr>
      <w:tblGrid>
        <w:gridCol w:w="124"/>
        <w:gridCol w:w="25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w:t>
            </w:r>
          </w:p>
        </w:tc>
      </w:tr>
    </w:tbl>
    <w:p>
      <w:pPr>
        <w:pStyle w:val="TextBody"/>
        <w:pBdr/>
        <w:bidi w:val="0"/>
        <w:spacing w:before="0" w:after="0"/>
        <w:ind w:left="720" w:right="0" w:hanging="360"/>
        <w:jc w:val="left"/>
        <w:rPr/>
      </w:pPr>
      <w:r>
        <w:rPr/>
        <w:t>​</w:t>
      </w:r>
    </w:p>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Committees,” and</w:t>
            </w:r>
          </w:p>
        </w:tc>
      </w:tr>
    </w:tbl>
    <w:p>
      <w:pPr>
        <w:pStyle w:val="TextBody"/>
        <w:pBdr/>
        <w:bidi w:val="0"/>
        <w:spacing w:before="0" w:after="0"/>
        <w:ind w:left="720" w:right="0" w:hanging="360"/>
        <w:jc w:val="left"/>
        <w:rPr/>
      </w:pPr>
      <w:r>
        <w:rPr/>
        <w:t>​</w:t>
      </w:r>
    </w:p>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Governance.”</w:t>
            </w:r>
          </w:p>
        </w:tc>
      </w:tr>
    </w:tbl>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remainder of such information is set forth under the heading “Information about Our Executive Officers” at the end of Item 1 in Part I of this report and is incorporated herein by reference.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46" w:name="_44e23288_399b_4b1d_83db_4ed41deb8e0b"/>
      <w:bookmarkEnd w:id="46"/>
      <w:r>
        <w:rPr>
          <w:rFonts w:ascii="Times New Roman;Times;serif" w:hAnsi="Times New Roman;Times;serif"/>
          <w:b/>
          <w:sz w:val="20"/>
        </w:rPr>
        <w:t>Item 11. Executive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11 of Form 10-K is incorporated by reference from the information responsive thereto contained in the sections in the Proxy Statement captioned:</w:t>
      </w:r>
    </w:p>
    <w:p>
      <w:pPr>
        <w:pStyle w:val="TextBody"/>
        <w:bidi w:val="0"/>
        <w:spacing w:before="0" w:after="0"/>
        <w:ind w:left="0" w:right="0" w:firstLine="720"/>
        <w:jc w:val="left"/>
        <w:rPr/>
      </w:pPr>
      <w:r>
        <w:rPr/>
        <w:t>​</w:t>
      </w:r>
    </w:p>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Executive Compensation,” and</w:t>
            </w:r>
          </w:p>
        </w:tc>
      </w:tr>
    </w:tbl>
    <w:p>
      <w:pPr>
        <w:pStyle w:val="TextBody"/>
        <w:pBdr/>
        <w:bidi w:val="0"/>
        <w:spacing w:before="0" w:after="0"/>
        <w:ind w:left="720" w:right="0" w:hanging="360"/>
        <w:jc w:val="left"/>
        <w:rPr/>
      </w:pPr>
      <w:r>
        <w:rPr/>
        <w:t>​</w:t>
      </w:r>
    </w:p>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Committees—Compensation Committee Interlocks and Insider Participation.”</w:t>
            </w:r>
          </w:p>
        </w:tc>
      </w:tr>
    </w:tbl>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b/>
          <w:sz w:val="20"/>
        </w:rPr>
      </w:pPr>
      <w:bookmarkStart w:id="47" w:name="_7e254259_6229_4d6e_b126_5f71631b0680"/>
      <w:bookmarkEnd w:id="47"/>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12 of Form 10-K is incorporated by reference from the information responsive thereto contained in the sections in the Proxy Statement captioned:</w:t>
      </w:r>
    </w:p>
    <w:p>
      <w:pPr>
        <w:pStyle w:val="TextBody"/>
        <w:bidi w:val="0"/>
        <w:spacing w:before="0" w:after="0"/>
        <w:ind w:left="0" w:right="0" w:firstLine="720"/>
        <w:jc w:val="left"/>
        <w:rPr/>
      </w:pPr>
      <w:r>
        <w:rPr/>
        <w:t>​</w:t>
      </w:r>
    </w:p>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 Ownership of 5% Stockholders,” and</w:t>
            </w:r>
          </w:p>
        </w:tc>
      </w:tr>
    </w:tbl>
    <w:p>
      <w:pPr>
        <w:pStyle w:val="TextBody"/>
        <w:pBdr/>
        <w:bidi w:val="0"/>
        <w:spacing w:before="0" w:after="0"/>
        <w:ind w:left="720" w:right="0" w:hanging="360"/>
        <w:jc w:val="left"/>
        <w:rPr/>
      </w:pPr>
      <w:r>
        <w:rPr/>
        <w:t>​</w:t>
      </w:r>
    </w:p>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 Ownership of Directors and Executive Officers.”</w:t>
            </w:r>
          </w:p>
        </w:tc>
      </w:tr>
    </w:tbl>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b/>
          <w:sz w:val="20"/>
        </w:rPr>
      </w:pPr>
      <w:bookmarkStart w:id="48" w:name="_2a387672_3a23_4e54_8d20_e5f70891c6a8"/>
      <w:bookmarkEnd w:id="48"/>
      <w:r>
        <w:rPr>
          <w:rFonts w:ascii="Times New Roman;Times;serif" w:hAnsi="Times New Roman;Times;serif"/>
          <w:b/>
          <w:sz w:val="20"/>
        </w:rPr>
        <w:t>Item 13. Certain Relationships and Related Transactions and Director Independence.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13 of Form 10-K is incorporated by reference from the information responsive thereto contained in the sections in the Proxy Statement captioned:</w:t>
      </w:r>
    </w:p>
    <w:p>
      <w:pPr>
        <w:pStyle w:val="TextBody"/>
        <w:bidi w:val="0"/>
        <w:spacing w:before="0" w:after="0"/>
        <w:ind w:left="0" w:right="0" w:firstLine="720"/>
        <w:jc w:val="left"/>
        <w:rPr/>
      </w:pPr>
      <w:r>
        <w:rPr/>
        <w:t>​</w:t>
      </w:r>
    </w:p>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Executive Compensation,”</w:t>
            </w:r>
          </w:p>
        </w:tc>
      </w:tr>
    </w:tbl>
    <w:p>
      <w:pPr>
        <w:pStyle w:val="TextBody"/>
        <w:pBdr/>
        <w:bidi w:val="0"/>
        <w:spacing w:before="0" w:after="0"/>
        <w:ind w:left="720" w:right="0" w:hanging="360"/>
        <w:jc w:val="left"/>
        <w:rPr/>
      </w:pPr>
      <w:r>
        <w:rPr/>
        <w:t>​</w:t>
      </w:r>
    </w:p>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and</w:t>
            </w:r>
          </w:p>
        </w:tc>
      </w:tr>
    </w:tbl>
    <w:p>
      <w:pPr>
        <w:pStyle w:val="TextBody"/>
        <w:pBdr/>
        <w:bidi w:val="0"/>
        <w:spacing w:before="0" w:after="0"/>
        <w:ind w:left="720" w:right="0" w:hanging="360"/>
        <w:jc w:val="left"/>
        <w:rPr/>
      </w:pPr>
      <w:r>
        <w:rPr/>
        <w:t>​</w:t>
      </w:r>
    </w:p>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Governance—Certain Relationships and Related Transactions.”</w:t>
            </w:r>
          </w:p>
        </w:tc>
      </w:tr>
    </w:tbl>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b/>
          <w:sz w:val="20"/>
        </w:rPr>
      </w:pPr>
      <w:bookmarkStart w:id="49" w:name="_26ebfe99_1d55_49b3_9b88_71970dfc977e"/>
      <w:bookmarkEnd w:id="49"/>
      <w:r>
        <w:rPr>
          <w:rFonts w:ascii="Times New Roman;Times;serif" w:hAnsi="Times New Roman;Times;serif"/>
          <w:b/>
          <w:sz w:val="20"/>
        </w:rPr>
        <w:t>Item 14. Principal Accountant Fees and Services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bookmarkStart w:id="50" w:name="_88811360_eacc_461a_a718_55a491c03efd"/>
      <w:bookmarkEnd w:id="50"/>
      <w:r>
        <w:rPr>
          <w:rFonts w:ascii="Times New Roman;Times;serif" w:hAnsi="Times New Roman;Times;serif"/>
          <w:b/>
          <w:sz w:val="20"/>
        </w:rPr>
        <w:t>PART IV</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15. Exhibits and Financial Statement Schedules.</w:t>
      </w:r>
    </w:p>
    <w:p>
      <w:pPr>
        <w:pStyle w:val="TextBody"/>
        <w:bidi w:val="0"/>
        <w:spacing w:before="0" w:after="0"/>
        <w:ind w:left="0" w:right="0" w:hanging="0"/>
        <w:jc w:val="left"/>
        <w:rPr/>
      </w:pPr>
      <w:r>
        <w:rPr/>
        <w:t>​</w:t>
      </w:r>
    </w:p>
    <w:tbl>
      <w:tblPr>
        <w:tblW w:w="5057" w:type="dxa"/>
        <w:jc w:val="left"/>
        <w:tblInd w:w="0" w:type="dxa"/>
        <w:tblLayout w:type="fixed"/>
        <w:tblCellMar>
          <w:top w:w="0" w:type="dxa"/>
          <w:left w:w="0" w:type="dxa"/>
          <w:bottom w:w="0" w:type="dxa"/>
          <w:right w:w="0" w:type="dxa"/>
        </w:tblCellMar>
      </w:tblPr>
      <w:tblGrid>
        <w:gridCol w:w="331"/>
        <w:gridCol w:w="472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47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following documents are filed as part of this Report:</w:t>
            </w:r>
          </w:p>
        </w:tc>
      </w:tr>
    </w:tbl>
    <w:p>
      <w:pPr>
        <w:pStyle w:val="TextBody"/>
        <w:pBdr/>
        <w:bidi w:val="0"/>
        <w:spacing w:before="0" w:after="0"/>
        <w:ind w:left="0" w:right="0" w:hanging="720"/>
        <w:jc w:val="left"/>
        <w:rPr/>
      </w:pPr>
      <w:r>
        <w:rPr/>
        <w:t>​</w:t>
      </w:r>
    </w:p>
    <w:tbl>
      <w:tblPr>
        <w:tblW w:w="2301" w:type="dxa"/>
        <w:jc w:val="left"/>
        <w:tblInd w:w="0" w:type="dxa"/>
        <w:tblLayout w:type="fixed"/>
        <w:tblCellMar>
          <w:top w:w="28" w:type="dxa"/>
          <w:left w:w="28" w:type="dxa"/>
          <w:bottom w:w="28" w:type="dxa"/>
          <w:right w:w="28" w:type="dxa"/>
        </w:tblCellMar>
      </w:tblPr>
      <w:tblGrid>
        <w:gridCol w:w="124"/>
        <w:gridCol w:w="271"/>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bidi w:val="0"/>
        <w:spacing w:before="0" w:after="0"/>
        <w:ind w:left="1440" w:right="0" w:hanging="0"/>
        <w:jc w:val="left"/>
        <w:rPr/>
      </w:pPr>
      <w:r>
        <w:rPr/>
        <w:t>​</w:t>
      </w:r>
    </w:p>
    <w:tbl>
      <w:tblPr>
        <w:tblW w:w="9808" w:type="dxa"/>
        <w:jc w:val="left"/>
        <w:tblInd w:w="0" w:type="dxa"/>
        <w:tblLayout w:type="fixed"/>
        <w:tblCellMar>
          <w:top w:w="0" w:type="dxa"/>
          <w:left w:w="0" w:type="dxa"/>
          <w:bottom w:w="0" w:type="dxa"/>
          <w:right w:w="0" w:type="dxa"/>
        </w:tblCellMar>
      </w:tblPr>
      <w:tblGrid>
        <w:gridCol w:w="9121"/>
        <w:gridCol w:w="326"/>
        <w:gridCol w:w="361"/>
      </w:tblGrid>
      <w:tr>
        <w:trPr/>
        <w:tc>
          <w:tcPr>
            <w:tcW w:w="912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9235" cy="29210"/>
                      <wp:effectExtent l="0" t="0" r="0" b="0"/>
                      <wp:wrapNone/>
                      <wp:docPr id="32" name="Frame32"/>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121" w:type="dxa"/>
            <w:tcBorders/>
            <w:vAlign w:val="center"/>
          </w:tcPr>
          <w:p>
            <w:pPr>
              <w:pStyle w:val="TableContents"/>
              <w:pBdr/>
              <w:bidi w:val="0"/>
              <w:spacing w:before="0" w:after="0"/>
              <w:ind w:left="0" w:right="0" w:hanging="0"/>
              <w:jc w:val="left"/>
              <w:rPr/>
            </w:pPr>
            <w:hyperlink w:anchor="Report_of_Independent_Registered_Account">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42)</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21" w:type="dxa"/>
            <w:tcBorders/>
            <w:vAlign w:val="center"/>
          </w:tcPr>
          <w:p>
            <w:pPr>
              <w:pStyle w:val="TableContents"/>
              <w:pBdr/>
              <w:bidi w:val="0"/>
              <w:spacing w:before="0" w:after="0"/>
              <w:ind w:left="0" w:right="0" w:hanging="0"/>
              <w:jc w:val="left"/>
              <w:rPr/>
            </w:pPr>
            <w:hyperlink w:anchor="ConsolidatedStatementsofOperations_78708">
              <w:r>
                <w:rPr>
                  <w:rStyle w:val="InternetLink"/>
                  <w:rFonts w:ascii="Times New Roman;Times;serif" w:hAnsi="Times New Roman;Times;serif"/>
                  <w:b w:val="false"/>
                  <w:i w:val="false"/>
                  <w:caps w:val="false"/>
                  <w:smallCaps w:val="false"/>
                  <w:sz w:val="20"/>
                </w:rPr>
                <w:t>Consolidated Statements of Operations — For the years ended December 31, 2023, 2022 and 2021</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121"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Consolidated Statements of Comprehensive Income — For the years ended December 31, 2023, 2022 and 2021</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121" w:type="dxa"/>
            <w:tcBorders/>
            <w:vAlign w:val="center"/>
          </w:tcPr>
          <w:p>
            <w:pPr>
              <w:pStyle w:val="TableContents"/>
              <w:pBdr/>
              <w:bidi w:val="0"/>
              <w:spacing w:before="0" w:after="0"/>
              <w:ind w:left="0" w:right="0" w:hanging="0"/>
              <w:jc w:val="left"/>
              <w:rPr/>
            </w:pPr>
            <w:hyperlink w:anchor="ConsolidatedBalanceSheets_111583">
              <w:r>
                <w:rPr>
                  <w:rStyle w:val="InternetLink"/>
                  <w:rFonts w:ascii="Times New Roman;Times;serif" w:hAnsi="Times New Roman;Times;serif"/>
                  <w:b w:val="false"/>
                  <w:i w:val="false"/>
                  <w:caps w:val="false"/>
                  <w:smallCaps w:val="false"/>
                  <w:sz w:val="20"/>
                </w:rPr>
                <w:t>Consolidated Balance Sheets — December 31, 2023 and 2022</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121" w:type="dxa"/>
            <w:tcBorders/>
            <w:vAlign w:val="center"/>
          </w:tcPr>
          <w:p>
            <w:pPr>
              <w:pStyle w:val="TableContents"/>
              <w:pBdr/>
              <w:bidi w:val="0"/>
              <w:spacing w:before="0" w:after="0"/>
              <w:ind w:left="0" w:right="0" w:hanging="0"/>
              <w:jc w:val="left"/>
              <w:rPr/>
            </w:pPr>
            <w:hyperlink w:anchor="StatementsofStockholdersEquity_804831">
              <w:r>
                <w:rPr>
                  <w:rStyle w:val="InternetLink"/>
                  <w:rFonts w:ascii="Times New Roman;Times;serif" w:hAnsi="Times New Roman;Times;serif"/>
                  <w:b w:val="false"/>
                  <w:i w:val="false"/>
                  <w:caps w:val="false"/>
                  <w:smallCaps w:val="false"/>
                  <w:sz w:val="20"/>
                </w:rPr>
                <w:t>Consolidated Statements of Stockholders’ Equity — For the years ended December 31, 2023, 2022 and 2021</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121" w:type="dxa"/>
            <w:tcBorders/>
            <w:vAlign w:val="center"/>
          </w:tcPr>
          <w:p>
            <w:pPr>
              <w:pStyle w:val="TableContents"/>
              <w:pBdr/>
              <w:bidi w:val="0"/>
              <w:spacing w:before="0" w:after="0"/>
              <w:ind w:left="0" w:right="0" w:hanging="0"/>
              <w:jc w:val="left"/>
              <w:rPr/>
            </w:pPr>
            <w:hyperlink w:anchor="ConsolidatedStatementsofCashFlow_556249">
              <w:r>
                <w:rPr>
                  <w:rStyle w:val="InternetLink"/>
                  <w:rFonts w:ascii="Times New Roman;Times;serif" w:hAnsi="Times New Roman;Times;serif"/>
                  <w:b w:val="false"/>
                  <w:i w:val="false"/>
                  <w:caps w:val="false"/>
                  <w:smallCaps w:val="false"/>
                  <w:sz w:val="20"/>
                </w:rPr>
                <w:t>Consolidated Statements of Cash Flows — For the years ended December 31, 2023, 2022 and 2021</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121" w:type="dxa"/>
            <w:tcBorders/>
            <w:vAlign w:val="center"/>
          </w:tcPr>
          <w:p>
            <w:pPr>
              <w:pStyle w:val="TableContents"/>
              <w:pBdr/>
              <w:bidi w:val="0"/>
              <w:spacing w:before="0" w:after="0"/>
              <w:ind w:left="0" w:right="0" w:hanging="0"/>
              <w:jc w:val="left"/>
              <w:rPr/>
            </w:pPr>
            <w:hyperlink w:anchor="NotestoConsolidatedFinancialStatements_7">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w:t>
      </w:r>
    </w:p>
    <w:tbl>
      <w:tblPr>
        <w:tblW w:w="3096" w:type="dxa"/>
        <w:jc w:val="left"/>
        <w:tblInd w:w="0" w:type="dxa"/>
        <w:tblLayout w:type="fixed"/>
        <w:tblCellMar>
          <w:top w:w="28" w:type="dxa"/>
          <w:left w:w="28" w:type="dxa"/>
          <w:bottom w:w="28" w:type="dxa"/>
          <w:right w:w="28" w:type="dxa"/>
        </w:tblCellMar>
      </w:tblPr>
      <w:tblGrid>
        <w:gridCol w:w="124"/>
        <w:gridCol w:w="271"/>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 Schedules:</w:t>
            </w:r>
          </w:p>
        </w:tc>
      </w:tr>
    </w:tbl>
    <w:p>
      <w:pPr>
        <w:pStyle w:val="TextBody"/>
        <w:pBdr/>
        <w:bidi w:val="0"/>
        <w:spacing w:before="0" w:after="0"/>
        <w:ind w:left="720" w:right="0" w:hanging="72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Schedule II—Valuation and Qualifying Accounts for the years ended December 31, 2023, 2022 and 2021.</w:t>
      </w:r>
    </w:p>
    <w:p>
      <w:pPr>
        <w:pStyle w:val="TextBody"/>
        <w:bidi w:val="0"/>
        <w:spacing w:before="0" w:after="0"/>
        <w:ind w:left="1440" w:right="0" w:hanging="0"/>
        <w:jc w:val="left"/>
        <w:rPr/>
      </w:pPr>
      <w:r>
        <w:rPr/>
        <w:t>​</w:t>
      </w:r>
    </w:p>
    <w:tbl>
      <w:tblPr>
        <w:tblW w:w="1236" w:type="dxa"/>
        <w:jc w:val="left"/>
        <w:tblInd w:w="0" w:type="dxa"/>
        <w:tblLayout w:type="fixed"/>
        <w:tblCellMar>
          <w:top w:w="28" w:type="dxa"/>
          <w:left w:w="28" w:type="dxa"/>
          <w:bottom w:w="28" w:type="dxa"/>
          <w:right w:w="28" w:type="dxa"/>
        </w:tblCellMar>
      </w:tblPr>
      <w:tblGrid>
        <w:gridCol w:w="124"/>
        <w:gridCol w:w="271"/>
        <w:gridCol w:w="84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pBdr/>
        <w:bidi w:val="0"/>
        <w:spacing w:before="0" w:after="0"/>
        <w:ind w:left="720" w:right="0" w:hanging="72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The exhibits filed as part of this Annual Report on Form 10-K are listed on the Exhibit Index immediately preceding the signature page, which Exhibit Index is incorporated herein by reference.</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All other schedules for which provision is made in the applicable regulation of the Securities and Exchange Commission are not required under the related instructions or are inapplicable, and therefore have been omitted.</w:t>
      </w:r>
    </w:p>
    <w:p>
      <w:pPr>
        <w:pStyle w:val="TextBody"/>
        <w:bidi w:val="0"/>
        <w:spacing w:before="0" w:after="0"/>
        <w:ind w:left="0" w:right="0" w:hanging="0"/>
        <w:jc w:val="left"/>
        <w:rPr/>
      </w:pPr>
      <w:r>
        <w:rPr/>
        <w:t>​</w:t>
      </w:r>
    </w:p>
    <w:p>
      <w:pPr>
        <w:pStyle w:val="TextBody"/>
        <w:bidi w:val="0"/>
        <w:spacing w:before="0" w:after="0"/>
        <w:ind w:left="144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1" w:name="_5d4cb59d_c7f1_488d_9389_33e9fceccd4a"/>
      <w:bookmarkEnd w:id="51"/>
      <w:r>
        <w:rPr>
          <w:rFonts w:ascii="Times New Roman;Times;serif" w:hAnsi="Times New Roman;Times;serif"/>
          <w:b/>
          <w:sz w:val="20"/>
        </w:rPr>
        <w:t>Item 16. Form 10-K Summary.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hd w:fill="FFFFFF" w:val="clear"/>
        <w:bidi w:val="0"/>
        <w:spacing w:before="0" w:after="0"/>
        <w:ind w:left="0" w:right="0" w:hanging="0"/>
        <w:jc w:val="center"/>
        <w:rPr>
          <w:rFonts w:ascii="Times New Roman;Times;serif" w:hAnsi="Times New Roman;Times;serif"/>
          <w:b/>
          <w:sz w:val="20"/>
        </w:rPr>
      </w:pPr>
      <w:bookmarkStart w:id="52" w:name="Report_of_Independent_Registered_Account"/>
      <w:bookmarkStart w:id="53" w:name="_c55af137_6c07_4c08_9e0b_40cf23b7e579"/>
      <w:bookmarkEnd w:id="52"/>
      <w:bookmarkEnd w:id="53"/>
      <w:r>
        <w:rPr>
          <w:rFonts w:ascii="Times New Roman;Times;serif" w:hAnsi="Times New Roman;Times;serif"/>
          <w:b/>
          <w:sz w:val="20"/>
        </w:rPr>
        <w:t>Report of Independent Registered Public Accounting Firm</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Axcelis Technologies, Inc.</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audited the accompanying consolidated balance sheets of Axcelis Technologies, Inc. (the Company) as of December 31, 2023 and 2022, the related consolidated statements of operations, comprehensive income, stockholders’ equity and cash flows for each of the three years in the period ended December 31, 2022,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Basis for Opinion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hd w:fill="FFFFFF" w:val="clear"/>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275"/>
        <w:gridCol w:w="109"/>
        <w:gridCol w:w="8821"/>
      </w:tblGrid>
      <w:tr>
        <w:trPr/>
        <w:tc>
          <w:tcPr>
            <w:tcW w:w="12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21"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left"/>
              <w:rPr/>
            </w:pPr>
            <w:r>
              <w:rPr/>
              <w:t>​</w:t>
            </w:r>
          </w:p>
        </w:tc>
      </w:tr>
      <w:tr>
        <w:trPr/>
        <w:tc>
          <w:tcPr>
            <w:tcW w:w="1275" w:type="dxa"/>
            <w:tcBorders/>
            <w:vAlign w:val="center"/>
          </w:tcPr>
          <w:p>
            <w:pPr>
              <w:pStyle w:val="TableContents"/>
              <w:shd w:fill="FFFFFF" w:val="clear"/>
              <w:bidi w:val="0"/>
              <w:spacing w:before="0" w:after="0"/>
              <w:ind w:left="0" w:right="0" w:hanging="0"/>
              <w:jc w:val="both"/>
              <w:rPr/>
            </w:pPr>
            <w:r>
              <w:rPr/>
              <w:t>​</w:t>
            </w:r>
          </w:p>
        </w:tc>
        <w:tc>
          <w:tcPr>
            <w:tcW w:w="109" w:type="dxa"/>
            <w:tcBorders/>
            <w:vAlign w:val="center"/>
          </w:tcPr>
          <w:p>
            <w:pPr>
              <w:pStyle w:val="TableContents"/>
              <w:shd w:fill="FFFFFF" w:val="clear"/>
              <w:bidi w:val="0"/>
              <w:spacing w:before="0" w:after="0"/>
              <w:ind w:left="0" w:right="0" w:hanging="0"/>
              <w:jc w:val="both"/>
              <w:rPr/>
            </w:pPr>
            <w:r>
              <w:rPr/>
              <w:t>​</w:t>
            </w:r>
          </w:p>
        </w:tc>
        <w:tc>
          <w:tcPr>
            <w:tcW w:w="8821" w:type="dxa"/>
            <w:tcBorders/>
            <w:vAlign w:val="center"/>
          </w:tcPr>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Systems Revenue recognition</w:t>
            </w:r>
            <w:r>
              <w:rPr>
                <w:rFonts w:ascii="Times New Roman;Times;serif" w:hAnsi="Times New Roman;Times;serif"/>
                <w:sz w:val="20"/>
              </w:rPr>
              <w:t xml:space="preserve"> </w:t>
            </w:r>
          </w:p>
          <w:p>
            <w:pPr>
              <w:pStyle w:val="TableContents"/>
              <w:shd w:fill="FFFFFF" w:val="clear"/>
              <w:bidi w:val="0"/>
              <w:spacing w:before="0" w:after="0"/>
              <w:ind w:left="0" w:right="0" w:hanging="0"/>
              <w:jc w:val="both"/>
              <w:rPr/>
            </w:pPr>
            <w:r>
              <w:rPr/>
              <w:t>​</w:t>
            </w:r>
          </w:p>
        </w:tc>
      </w:tr>
      <w:tr>
        <w:trPr/>
        <w:tc>
          <w:tcPr>
            <w:tcW w:w="1275" w:type="dxa"/>
            <w:tcBorders/>
            <w:vAlign w:val="center"/>
          </w:tcPr>
          <w:p>
            <w:pPr>
              <w:pStyle w:val="TableContents"/>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shd w:fill="FFFFFF" w:val="clear"/>
              <w:bidi w:val="0"/>
              <w:spacing w:before="0" w:after="0"/>
              <w:ind w:left="0" w:right="0" w:hanging="0"/>
              <w:jc w:val="both"/>
              <w:rPr/>
            </w:pPr>
            <w:r>
              <w:rPr/>
              <w:t>​</w:t>
            </w:r>
          </w:p>
        </w:tc>
        <w:tc>
          <w:tcPr>
            <w:tcW w:w="8821" w:type="dxa"/>
            <w:tcBorders/>
            <w:vAlign w:val="center"/>
          </w:tcPr>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discussed in Note 2 and Note 3 to the consolidated financial statements, the Company generates revenue from the sale of ion implantation and other processing equipment used in the manufacture of semiconductor chips (“systems revenue”). The Company’s revenue contracts for systems have multiple performance obligations, including the systems themselves and obligations that are not delivered simultaneously with the systems. Systems revenue accounted for $883.6 million of the Company’s total revenue of $1.1 billion in 2023.</w:t>
            </w:r>
          </w:p>
          <w:p>
            <w:pPr>
              <w:pStyle w:val="TableContents"/>
              <w:shd w:fill="FFFFFF" w:val="clear"/>
              <w:bidi w:val="0"/>
              <w:spacing w:before="0" w:after="0"/>
              <w:ind w:left="0" w:right="0" w:hanging="0"/>
              <w:jc w:val="both"/>
              <w:rPr/>
            </w:pPr>
            <w:r>
              <w:rPr/>
              <w:t>​</w:t>
            </w:r>
          </w:p>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Auditing management’s recognition of revenue was challenging because of the higher extent of audit effort and because the amounts are material to the consolidated financial statements and related disclosures. During our risk assessment process, we identified a higher inherent risk related to revenue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tbl>
      <w:tblPr>
        <w:tblW w:w="10205" w:type="dxa"/>
        <w:jc w:val="left"/>
        <w:tblInd w:w="0" w:type="dxa"/>
        <w:tblLayout w:type="fixed"/>
        <w:tblCellMar>
          <w:top w:w="0" w:type="dxa"/>
          <w:left w:w="0" w:type="dxa"/>
          <w:bottom w:w="0" w:type="dxa"/>
          <w:right w:w="0" w:type="dxa"/>
        </w:tblCellMar>
      </w:tblPr>
      <w:tblGrid>
        <w:gridCol w:w="1403"/>
        <w:gridCol w:w="109"/>
        <w:gridCol w:w="8693"/>
      </w:tblGrid>
      <w:tr>
        <w:trPr/>
        <w:tc>
          <w:tcPr>
            <w:tcW w:w="1403"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693" w:type="dxa"/>
            <w:tcBorders/>
            <w:vAlign w:val="center"/>
          </w:tcPr>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primarily due to the size of the account, as well as the focus on revenue from readers of the financial statements.</w:t>
            </w:r>
          </w:p>
          <w:p>
            <w:pPr>
              <w:pStyle w:val="TableContents"/>
              <w:shd w:fill="FFFFFF" w:val="clear"/>
              <w:bidi w:val="0"/>
              <w:spacing w:before="0" w:after="0"/>
              <w:ind w:left="0" w:right="0" w:hanging="0"/>
              <w:jc w:val="both"/>
              <w:rPr/>
            </w:pPr>
            <w:r>
              <w:rPr/>
              <w:t>​</w:t>
            </w:r>
          </w:p>
        </w:tc>
      </w:tr>
      <w:tr>
        <w:trPr/>
        <w:tc>
          <w:tcPr>
            <w:tcW w:w="1403" w:type="dxa"/>
            <w:tcBorders/>
            <w:vAlign w:val="center"/>
          </w:tcPr>
          <w:p>
            <w:pPr>
              <w:pStyle w:val="TableContents"/>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shd w:fill="FFFFFF" w:val="clear"/>
              <w:bidi w:val="0"/>
              <w:spacing w:before="0" w:after="0"/>
              <w:ind w:left="0" w:right="0" w:hanging="0"/>
              <w:jc w:val="both"/>
              <w:rPr/>
            </w:pPr>
            <w:r>
              <w:rPr/>
              <w:t>​</w:t>
            </w:r>
          </w:p>
        </w:tc>
        <w:tc>
          <w:tcPr>
            <w:tcW w:w="8693" w:type="dxa"/>
            <w:tcBorders/>
            <w:vAlign w:val="center"/>
          </w:tcPr>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obtained an understanding, evaluated the design and tested the operating effectiveness of controls over the Company’s systems revenue recognition process, including controls designed to mitigate the risk of override of controls. This included testing controls over management’s review of manual journal entries and revenue related account reconciliations. </w:t>
            </w:r>
          </w:p>
          <w:p>
            <w:pPr>
              <w:pStyle w:val="TableContents"/>
              <w:shd w:fill="FFFFFF" w:val="clear"/>
              <w:bidi w:val="0"/>
              <w:spacing w:before="0" w:after="0"/>
              <w:ind w:left="0" w:right="0" w:hanging="0"/>
              <w:jc w:val="both"/>
              <w:rPr/>
            </w:pPr>
            <w:r>
              <w:rPr/>
              <w:t>​</w:t>
            </w:r>
          </w:p>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test systems revenue recognition, we reconciled revenue recognized to the Company’s general ledger to test completeness and performed substantive test of details over significant transactions deemed to be key items and a representative sample of the remaining transactions.   For example, we selected and read a sample of arrangements to evaluate the completeness of the promised products and services and the related revenue recognized. We also confirmed directly with certain of the Company’s customers the terms of the selected system revenue arrangements.    </w:t>
            </w:r>
          </w:p>
          <w:p>
            <w:pPr>
              <w:pStyle w:val="TableContents"/>
              <w:shd w:fill="FFFFFF" w:val="clear"/>
              <w:bidi w:val="0"/>
              <w:spacing w:before="0" w:after="0"/>
              <w:ind w:left="0" w:right="0" w:hanging="0"/>
              <w:jc w:val="both"/>
              <w:rPr/>
            </w:pPr>
            <w:r>
              <w:rPr/>
              <w:t>​</w:t>
            </w:r>
          </w:p>
        </w:tc>
      </w:tr>
      <w:tr>
        <w:trPr/>
        <w:tc>
          <w:tcPr>
            <w:tcW w:w="1403" w:type="dxa"/>
            <w:tcBorders/>
            <w:vAlign w:val="center"/>
          </w:tcPr>
          <w:p>
            <w:pPr>
              <w:pStyle w:val="TableContents"/>
              <w:shd w:fill="FFFFFF" w:val="clear"/>
              <w:bidi w:val="0"/>
              <w:spacing w:before="0" w:after="0"/>
              <w:ind w:left="0" w:right="0" w:hanging="0"/>
              <w:jc w:val="both"/>
              <w:rPr/>
            </w:pPr>
            <w:r>
              <w:rPr/>
              <w:t>​</w:t>
            </w:r>
          </w:p>
        </w:tc>
        <w:tc>
          <w:tcPr>
            <w:tcW w:w="109" w:type="dxa"/>
            <w:tcBorders/>
            <w:vAlign w:val="center"/>
          </w:tcPr>
          <w:p>
            <w:pPr>
              <w:pStyle w:val="TableContents"/>
              <w:shd w:fill="FFFFFF" w:val="clear"/>
              <w:bidi w:val="0"/>
              <w:spacing w:before="0" w:after="0"/>
              <w:ind w:left="0" w:right="0" w:hanging="0"/>
              <w:jc w:val="both"/>
              <w:rPr/>
            </w:pPr>
            <w:r>
              <w:rPr/>
              <w:t>​</w:t>
            </w:r>
          </w:p>
        </w:tc>
        <w:tc>
          <w:tcPr>
            <w:tcW w:w="8693" w:type="dxa"/>
            <w:tcBorders/>
            <w:vAlign w:val="center"/>
          </w:tcPr>
          <w:p>
            <w:pPr>
              <w:pStyle w:val="TableContents"/>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Estimate of Excess Inventory</w:t>
            </w:r>
          </w:p>
          <w:p>
            <w:pPr>
              <w:pStyle w:val="TableContents"/>
              <w:shd w:fill="FFFFFF" w:val="clear"/>
              <w:bidi w:val="0"/>
              <w:spacing w:before="0" w:after="0"/>
              <w:ind w:left="0" w:right="0" w:hanging="0"/>
              <w:jc w:val="both"/>
              <w:rPr/>
            </w:pPr>
            <w:r>
              <w:rPr/>
              <w:t>​</w:t>
            </w:r>
          </w:p>
        </w:tc>
      </w:tr>
      <w:tr>
        <w:trPr/>
        <w:tc>
          <w:tcPr>
            <w:tcW w:w="1403" w:type="dxa"/>
            <w:tcBorders/>
            <w:vAlign w:val="center"/>
          </w:tcPr>
          <w:p>
            <w:pPr>
              <w:pStyle w:val="TableContents"/>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shd w:fill="FFFFFF" w:val="clear"/>
              <w:bidi w:val="0"/>
              <w:spacing w:before="0" w:after="0"/>
              <w:ind w:left="0" w:right="0" w:hanging="0"/>
              <w:jc w:val="both"/>
              <w:rPr/>
            </w:pPr>
            <w:r>
              <w:rPr/>
              <w:t>​</w:t>
            </w:r>
          </w:p>
        </w:tc>
        <w:tc>
          <w:tcPr>
            <w:tcW w:w="8693" w:type="dxa"/>
            <w:tcBorders/>
            <w:vAlign w:val="center"/>
          </w:tcPr>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inventories totaled $306.5 million, net, as of December 31, 2023. As described in Note 2 and Note 6 to the consolidated financial statements, the Company records a provision for estimated excess inventory. Management determines the provision using its assumptions of future materials usage, based on estimates of demand and market conditions.</w:t>
            </w:r>
          </w:p>
          <w:p>
            <w:pPr>
              <w:pStyle w:val="TableContents"/>
              <w:shd w:fill="FFFFFF" w:val="clear"/>
              <w:bidi w:val="0"/>
              <w:spacing w:before="0" w:after="0"/>
              <w:ind w:left="0" w:right="0" w:hanging="0"/>
              <w:jc w:val="both"/>
              <w:rPr/>
            </w:pPr>
            <w:r>
              <w:rPr/>
              <w:t>​</w:t>
            </w:r>
          </w:p>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Auditing the Company’s provision for excess inventory is complex due to the highly judgmental nature of the factors used to estimate demand and market conditions. Specifically, the Company’s estimated materials usage may be significantly affected by management’s assumptions of forecasted system sales and the size and utilization of the installed base of systems. Management’s identification and measurement of these factors are forward looking and could be affected by future economic and market conditions that could have a significant effect on the excess inventory reserve.</w:t>
            </w:r>
          </w:p>
          <w:p>
            <w:pPr>
              <w:pStyle w:val="TableContents"/>
              <w:shd w:fill="FFFFFF" w:val="clear"/>
              <w:bidi w:val="0"/>
              <w:spacing w:before="0" w:after="0"/>
              <w:ind w:left="0" w:right="0" w:hanging="0"/>
              <w:jc w:val="both"/>
              <w:rPr/>
            </w:pPr>
            <w:r>
              <w:rPr/>
              <w:t>​</w:t>
            </w:r>
          </w:p>
        </w:tc>
      </w:tr>
      <w:tr>
        <w:trPr/>
        <w:tc>
          <w:tcPr>
            <w:tcW w:w="1403" w:type="dxa"/>
            <w:tcBorders/>
            <w:vAlign w:val="center"/>
          </w:tcPr>
          <w:p>
            <w:pPr>
              <w:pStyle w:val="TableContents"/>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shd w:fill="FFFFFF" w:val="clear"/>
              <w:bidi w:val="0"/>
              <w:spacing w:before="0" w:after="0"/>
              <w:ind w:left="0" w:right="0" w:hanging="0"/>
              <w:jc w:val="both"/>
              <w:rPr/>
            </w:pPr>
            <w:r>
              <w:rPr/>
              <w:t>​</w:t>
            </w:r>
          </w:p>
        </w:tc>
        <w:tc>
          <w:tcPr>
            <w:tcW w:w="8693" w:type="dxa"/>
            <w:tcBorders/>
            <w:vAlign w:val="center"/>
          </w:tcPr>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obtained an understanding, evaluated the design, and tested the operating effectiveness of internal controls, including management review controls, over the Company’s excess inventory reserve estimation process. This included management’s assessment of the assumptions and data underlying the excess inventory provision. For example, we tested controls over management’s review of its systems sales forecasts, as well as management’s review of the assumptions relating to the market size and utilization of installed systems. We also tested management’s controls over the completeness and accuracy of the data used in the estimation model. </w:t>
            </w:r>
          </w:p>
          <w:p>
            <w:pPr>
              <w:pStyle w:val="TableContents"/>
              <w:shd w:fill="FFFFFF" w:val="clear"/>
              <w:bidi w:val="0"/>
              <w:spacing w:before="0" w:after="0"/>
              <w:ind w:left="0" w:right="0" w:hanging="0"/>
              <w:jc w:val="both"/>
              <w:rPr/>
            </w:pPr>
            <w:r>
              <w:rPr/>
              <w:t>​</w:t>
            </w:r>
          </w:p>
          <w:p>
            <w:pPr>
              <w:pStyle w:val="TableContents"/>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substantive audit procedures included, among others, evaluating the significant assumptions stated above and testing the accuracy and completeness of the underlying data used by management to compute the value of excess inventory. For example, we compared the quantities of on-hand inventories to historical and forecasted materials usage and evaluated adjustments to forecasts for specific product considerations, such as technological changes or alternative uses. We also assessed the historical accuracy of management’s estimates and performed sensitivity analyses over the significant assumptions to evaluate the changes in the excess inventory estimates that would result from changes in the underlying assumptions.</w:t>
            </w:r>
          </w:p>
          <w:p>
            <w:pPr>
              <w:pStyle w:val="TableContents"/>
              <w:shd w:fill="FFFFFF" w:val="clear"/>
              <w:bidi w:val="0"/>
              <w:spacing w:before="0" w:after="0"/>
              <w:ind w:left="0" w:right="0" w:hanging="0"/>
              <w:jc w:val="both"/>
              <w:rPr/>
            </w:pPr>
            <w:r>
              <w:rPr/>
              <w:t>​</w:t>
            </w:r>
          </w:p>
        </w:tc>
      </w:tr>
    </w:tbl>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1999.</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Boston, Massachusetts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23,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center"/>
        <w:rPr>
          <w:rFonts w:ascii="Times New Roman;Times;serif" w:hAnsi="Times New Roman;Times;serif"/>
          <w:b/>
          <w:sz w:val="20"/>
        </w:rPr>
      </w:pPr>
      <w:bookmarkStart w:id="54" w:name="_46df2909_8198_4ad5_ba70_7ca3cea1ee15"/>
      <w:bookmarkEnd w:id="54"/>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55" w:name="ConsolidatedStatementsofOperations_78708"/>
      <w:bookmarkStart w:id="56" w:name="StatementsofOperations_982185"/>
      <w:bookmarkEnd w:id="55"/>
      <w:bookmarkEnd w:id="56"/>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dJ6zUuyFgkKBBR2HmUh5CA_32_0"/>
      <w:bookmarkStart w:id="58" w:name="Tc_cAfW0XNkzEWcTcK55iyKlw_31_0"/>
      <w:bookmarkStart w:id="59" w:name="Tc_rErZz3Gy2USyITGr_Wuucg_30_0"/>
      <w:bookmarkStart w:id="60" w:name="Tc_07UImbege06h-8j9kDDSfg_29_8"/>
      <w:bookmarkStart w:id="61" w:name="Tc_ueQ3ifP9ekWESxk-bkmG1A_29_5"/>
      <w:bookmarkStart w:id="62" w:name="Tc_wPC0KoKZlk-13uOggdWrZw_29_2"/>
      <w:bookmarkStart w:id="63" w:name="Tc_zKUHSkdiYEGyy0pNqZNUDw_29_0"/>
      <w:bookmarkStart w:id="64" w:name="Tc_9cK1HuYTkEy4d635DxuzCQ_28_8"/>
      <w:bookmarkStart w:id="65" w:name="Tc_JvS8Uni9IEycbqJXbfXhwg_28_5"/>
      <w:bookmarkStart w:id="66" w:name="Tc_AX4eyYrnE0iGNiMe87refA_28_2"/>
      <w:bookmarkStart w:id="67" w:name="Tc_X_Kh2c8niEaF_7qpgI3d6w_28_0"/>
      <w:bookmarkStart w:id="68" w:name="Tc_qRRWv16e4EmNZcyt2-KK7g_27_0"/>
      <w:bookmarkStart w:id="69" w:name="Tc_NGx07WfwPkuqKsJ1eDwhjw_26_8"/>
      <w:bookmarkStart w:id="70" w:name="Tc_zHkHVGSzekSK5mn5X8f8ag_26_5"/>
      <w:bookmarkStart w:id="71" w:name="Tc_XTjyuNh5EkSiI8gfM-Mkgg_26_2"/>
      <w:bookmarkStart w:id="72" w:name="Tc_5v6zMzOaz0WE1fKGrF3z_w_26_0"/>
      <w:bookmarkStart w:id="73" w:name="Tc_6Fz4jDEdGEOvZtgxXINcSA_25_0"/>
      <w:bookmarkStart w:id="74" w:name="Tc_Bs2tgX5r2kyTjBo6SK_q-w_24_0"/>
      <w:bookmarkStart w:id="75" w:name="Tc_3hJtwjcksUaGJM7zqBPS_w_23_0"/>
      <w:bookmarkStart w:id="76" w:name="Tc_nBZxH61N5kquXtXQJB3jhw_22_0"/>
      <w:bookmarkStart w:id="77" w:name="Tc_5bS3amIJkkyBhmFA-fbJlg_21_0"/>
      <w:bookmarkStart w:id="78" w:name="Tc_fOQoLezkikS888aYobmOgg_20_0"/>
      <w:bookmarkStart w:id="79" w:name="Tc_wab0rJ5k9UeEYZdzoJk4Pg_19_0"/>
      <w:bookmarkStart w:id="80" w:name="Tc_3c09voekU06iC-L2t8Fldg_18_0"/>
      <w:bookmarkStart w:id="81" w:name="Tc_nMl4Hwh6fEe1iHgFYITeZg_17_0"/>
      <w:bookmarkStart w:id="82" w:name="Tc_hG3ln5cOBUOKtttDoPzo1A_16_0"/>
      <w:bookmarkStart w:id="83" w:name="Tc_5XreUOJzBEKFMqLoXUQ66Q_15_0"/>
      <w:bookmarkStart w:id="84" w:name="Tc_ZDfr0vzYX0Gn20-c5T2-5Q_14_0"/>
      <w:bookmarkStart w:id="85" w:name="Tc_ecc5Lq78ek6c19Yn_7aXpA_13_0"/>
      <w:bookmarkStart w:id="86" w:name="Tc_qZhz1T8Ak0SrgU-vnmdg9g_12_0"/>
      <w:bookmarkStart w:id="87" w:name="Tc_xTsp0nZt906EKUuPwgaaog_11_0"/>
      <w:bookmarkStart w:id="88" w:name="Tc_4dj1CZHU2kK4UuiuVjaaGg_10_0"/>
      <w:bookmarkStart w:id="89" w:name="Tc_jsL_6fJiTkO01-xmZUof8w_9_0"/>
      <w:bookmarkStart w:id="90" w:name="Tc_Vlk3L_WOsUSgnuW1Z3Ip2g_8_0"/>
      <w:bookmarkStart w:id="91" w:name="Tc_yNzgmGtBmEifAY6NtrLTrg_7_0"/>
      <w:bookmarkStart w:id="92" w:name="Tc_nA24xgqcuU2Fm8vUa2zePA_6_0"/>
      <w:bookmarkStart w:id="93" w:name="Tc_dKMuxWuWwk-c6oA8UCLrEg_5_8"/>
      <w:bookmarkStart w:id="94" w:name="Tc_PrBeIqzEe0qT1urjGbGbWw_5_5"/>
      <w:bookmarkStart w:id="95" w:name="Tc_Aden3SyS9Ee47yQKIHQg3Q_5_2"/>
      <w:bookmarkStart w:id="96" w:name="Tc_MPSmImIgVU6sRPoNJzDStw_5_0"/>
      <w:bookmarkStart w:id="97" w:name="Tc_LFKhsQtJyku2aSxe-j20gA_4_0"/>
      <w:bookmarkStart w:id="98" w:name="Tc_EgqUg2LAp06gBEHH9V_yoQ_3_8"/>
      <w:bookmarkStart w:id="99" w:name="Tc_zbdkQIGcoESWkTg1aEHt_A_3_5"/>
      <w:bookmarkStart w:id="100" w:name="Tc_GHae6Hz3_U-p9ntI8pQCjA_3_2"/>
      <w:bookmarkStart w:id="101" w:name="Tc_zewUBIbrCEqCzM6GAvo9tg_2_2"/>
      <w:bookmarkStart w:id="102" w:name="Tc_4GN2QF-Oukes-OSFgmsoig_1_2"/>
      <w:bookmarkStart w:id="103" w:name="_96c4d6c2_0ac3_4029_a26e_72ed7d3fa0d1"/>
      <w:bookmarkStart w:id="104" w:name="Tc_dJ6zUuyFgkKBBR2HmUh5CA_32_0"/>
      <w:bookmarkStart w:id="105" w:name="Tc_cAfW0XNkzEWcTcK55iyKlw_31_0"/>
      <w:bookmarkStart w:id="106" w:name="Tc_rErZz3Gy2USyITGr_Wuucg_30_0"/>
      <w:bookmarkStart w:id="107" w:name="Tc_07UImbege06h-8j9kDDSfg_29_8"/>
      <w:bookmarkStart w:id="108" w:name="Tc_ueQ3ifP9ekWESxk-bkmG1A_29_5"/>
      <w:bookmarkStart w:id="109" w:name="Tc_wPC0KoKZlk-13uOggdWrZw_29_2"/>
      <w:bookmarkStart w:id="110" w:name="Tc_zKUHSkdiYEGyy0pNqZNUDw_29_0"/>
      <w:bookmarkStart w:id="111" w:name="Tc_9cK1HuYTkEy4d635DxuzCQ_28_8"/>
      <w:bookmarkStart w:id="112" w:name="Tc_JvS8Uni9IEycbqJXbfXhwg_28_5"/>
      <w:bookmarkStart w:id="113" w:name="Tc_AX4eyYrnE0iGNiMe87refA_28_2"/>
      <w:bookmarkStart w:id="114" w:name="Tc_X_Kh2c8niEaF_7qpgI3d6w_28_0"/>
      <w:bookmarkStart w:id="115" w:name="Tc_qRRWv16e4EmNZcyt2-KK7g_27_0"/>
      <w:bookmarkStart w:id="116" w:name="Tc_NGx07WfwPkuqKsJ1eDwhjw_26_8"/>
      <w:bookmarkStart w:id="117" w:name="Tc_zHkHVGSzekSK5mn5X8f8ag_26_5"/>
      <w:bookmarkStart w:id="118" w:name="Tc_XTjyuNh5EkSiI8gfM-Mkgg_26_2"/>
      <w:bookmarkStart w:id="119" w:name="Tc_5v6zMzOaz0WE1fKGrF3z_w_26_0"/>
      <w:bookmarkStart w:id="120" w:name="Tc_6Fz4jDEdGEOvZtgxXINcSA_25_0"/>
      <w:bookmarkStart w:id="121" w:name="Tc_Bs2tgX5r2kyTjBo6SK_q-w_24_0"/>
      <w:bookmarkStart w:id="122" w:name="Tc_3hJtwjcksUaGJM7zqBPS_w_23_0"/>
      <w:bookmarkStart w:id="123" w:name="Tc_nBZxH61N5kquXtXQJB3jhw_22_0"/>
      <w:bookmarkStart w:id="124" w:name="Tc_5bS3amIJkkyBhmFA-fbJlg_21_0"/>
      <w:bookmarkStart w:id="125" w:name="Tc_fOQoLezkikS888aYobmOgg_20_0"/>
      <w:bookmarkStart w:id="126" w:name="Tc_wab0rJ5k9UeEYZdzoJk4Pg_19_0"/>
      <w:bookmarkStart w:id="127" w:name="Tc_3c09voekU06iC-L2t8Fldg_18_0"/>
      <w:bookmarkStart w:id="128" w:name="Tc_nMl4Hwh6fEe1iHgFYITeZg_17_0"/>
      <w:bookmarkStart w:id="129" w:name="Tc_hG3ln5cOBUOKtttDoPzo1A_16_0"/>
      <w:bookmarkStart w:id="130" w:name="Tc_5XreUOJzBEKFMqLoXUQ66Q_15_0"/>
      <w:bookmarkStart w:id="131" w:name="Tc_ZDfr0vzYX0Gn20-c5T2-5Q_14_0"/>
      <w:bookmarkStart w:id="132" w:name="Tc_ecc5Lq78ek6c19Yn_7aXpA_13_0"/>
      <w:bookmarkStart w:id="133" w:name="Tc_qZhz1T8Ak0SrgU-vnmdg9g_12_0"/>
      <w:bookmarkStart w:id="134" w:name="Tc_xTsp0nZt906EKUuPwgaaog_11_0"/>
      <w:bookmarkStart w:id="135" w:name="Tc_4dj1CZHU2kK4UuiuVjaaGg_10_0"/>
      <w:bookmarkStart w:id="136" w:name="Tc_jsL_6fJiTkO01-xmZUof8w_9_0"/>
      <w:bookmarkStart w:id="137" w:name="Tc_Vlk3L_WOsUSgnuW1Z3Ip2g_8_0"/>
      <w:bookmarkStart w:id="138" w:name="Tc_yNzgmGtBmEifAY6NtrLTrg_7_0"/>
      <w:bookmarkStart w:id="139" w:name="Tc_nA24xgqcuU2Fm8vUa2zePA_6_0"/>
      <w:bookmarkStart w:id="140" w:name="Tc_dKMuxWuWwk-c6oA8UCLrEg_5_8"/>
      <w:bookmarkStart w:id="141" w:name="Tc_PrBeIqzEe0qT1urjGbGbWw_5_5"/>
      <w:bookmarkStart w:id="142" w:name="Tc_Aden3SyS9Ee47yQKIHQg3Q_5_2"/>
      <w:bookmarkStart w:id="143" w:name="Tc_MPSmImIgVU6sRPoNJzDStw_5_0"/>
      <w:bookmarkStart w:id="144" w:name="Tc_LFKhsQtJyku2aSxe-j20gA_4_0"/>
      <w:bookmarkStart w:id="145" w:name="Tc_EgqUg2LAp06gBEHH9V_yoQ_3_8"/>
      <w:bookmarkStart w:id="146" w:name="Tc_zbdkQIGcoESWkTg1aEHt_A_3_5"/>
      <w:bookmarkStart w:id="147" w:name="Tc_GHae6Hz3_U-p9ntI8pQCjA_3_2"/>
      <w:bookmarkStart w:id="148" w:name="Tc_zewUBIbrCEqCzM6GAvo9tg_2_2"/>
      <w:bookmarkStart w:id="149" w:name="Tc_4GN2QF-Oukes-OSFgmsoig_1_2"/>
      <w:bookmarkStart w:id="150" w:name="_96c4d6c2_0ac3_4029_a26e_72ed7d3fa0d1"/>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8481" w:type="dxa"/>
        <w:jc w:val="left"/>
        <w:tblInd w:w="0" w:type="dxa"/>
        <w:tblLayout w:type="fixed"/>
        <w:tblCellMar>
          <w:top w:w="0" w:type="dxa"/>
          <w:left w:w="0" w:type="dxa"/>
          <w:bottom w:w="0" w:type="dxa"/>
          <w:right w:w="0" w:type="dxa"/>
        </w:tblCellMar>
      </w:tblPr>
      <w:tblGrid>
        <w:gridCol w:w="4186"/>
        <w:gridCol w:w="326"/>
        <w:gridCol w:w="211"/>
        <w:gridCol w:w="931"/>
        <w:gridCol w:w="326"/>
        <w:gridCol w:w="211"/>
        <w:gridCol w:w="781"/>
        <w:gridCol w:w="326"/>
        <w:gridCol w:w="211"/>
        <w:gridCol w:w="781"/>
        <w:gridCol w:w="19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658110" cy="175260"/>
                      <wp:effectExtent l="0" t="0" r="0" b="0"/>
                      <wp:wrapNone/>
                      <wp:docPr id="33" name="Frame33"/>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91185" cy="175260"/>
                      <wp:effectExtent l="0" t="0" r="0" b="0"/>
                      <wp:wrapNone/>
                      <wp:docPr id="36"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2" name="Frame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1285" cy="175260"/>
                      <wp:effectExtent l="0" t="0" r="0" b="0"/>
                      <wp:wrapNone/>
                      <wp:docPr id="43" name="Frame4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7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ended</w:t>
            </w:r>
          </w:p>
        </w:tc>
        <w:tc>
          <w:tcPr>
            <w:tcW w:w="191"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7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1,095,650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634,445</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27,983</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919,998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662,428</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608,112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492,104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349,558</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639,303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375,983</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286,445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47,548</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46,141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159,120</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127,325</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(6,897)</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120,428</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98,650</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shares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33,555</w:t>
            </w:r>
          </w:p>
        </w:tc>
        <w:tc>
          <w:tcPr>
            <w:tcW w:w="191" w:type="dxa"/>
            <w:tcBorders/>
            <w:vAlign w:val="center"/>
          </w:tcPr>
          <w:p>
            <w:pPr>
              <w:pStyle w:val="TableContents"/>
              <w:bidi w:val="0"/>
              <w:spacing w:before="0" w:after="0"/>
              <w:ind w:left="0" w:right="0" w:hanging="0"/>
              <w:jc w:val="right"/>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34,268</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center"/>
        <w:rPr>
          <w:rFonts w:ascii="Times New Roman;Times;serif" w:hAnsi="Times New Roman;Times;serif"/>
          <w:b/>
          <w:sz w:val="20"/>
        </w:rPr>
      </w:pPr>
      <w:bookmarkStart w:id="151" w:name="_6591d78e_ec02_4187_8415_6dac888d9816"/>
      <w:bookmarkStart w:id="152" w:name="_contentSection_b2718587_7835_449c_bd7c_"/>
      <w:bookmarkEnd w:id="151"/>
      <w:bookmarkEnd w:id="152"/>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53" w:name="ConsolidatedStatementsofComprehensiveInc"/>
      <w:bookmarkStart w:id="154" w:name="ComprehensiveIncomeLoss_960515"/>
      <w:bookmarkEnd w:id="153"/>
      <w:bookmarkEnd w:id="154"/>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5" w:name="Tc_NpkcjBxpjEu8giiPPjwb_Q_9_8"/>
      <w:bookmarkStart w:id="156" w:name="Tc_K34239BIBEaSIQhczigXGQ_9_5"/>
      <w:bookmarkStart w:id="157" w:name="Tc_37Lih9yqx0iqDQPtSsWQTg_9_2"/>
      <w:bookmarkStart w:id="158" w:name="Tc_9O89ilvg-UGEuI2bJP5gpA_9_0"/>
      <w:bookmarkStart w:id="159" w:name="Tc_9vCeuSi43k-TUoSF-wsbtA_8_0"/>
      <w:bookmarkStart w:id="160" w:name="Tc_uqY4ZVTVGkKXBD0YuzYK9Q_7_0"/>
      <w:bookmarkStart w:id="161" w:name="Tc_0dwvlAOL1UOoVwmjv7lA5Q_6_0"/>
      <w:bookmarkStart w:id="162" w:name="Tc_Pp9IlZ-LM0iaWaB0osLbcQ_5_0"/>
      <w:bookmarkStart w:id="163" w:name="Tc_zxHqScoGoEa77G658mW-XA_4_8"/>
      <w:bookmarkStart w:id="164" w:name="Tc_pA3thyCfGUmmNmbxP_WWBw_4_5"/>
      <w:bookmarkStart w:id="165" w:name="Tc_phR2AnNJDU6sLPHW_FDuAQ_4_2"/>
      <w:bookmarkStart w:id="166" w:name="Tc_KBrA9pMR0Eq-cyBArKpnjw_4_0"/>
      <w:bookmarkStart w:id="167" w:name="Tc_pSJrmyoxIU2gd9jbN94qbg_3_8"/>
      <w:bookmarkStart w:id="168" w:name="Tc_LjmbQnJ7_0Kg1crAPGFpQg_3_5"/>
      <w:bookmarkStart w:id="169" w:name="Tc_uP9pD9_H8UqZceiFIJi4Fg_3_2"/>
      <w:bookmarkStart w:id="170" w:name="Tc_6SldIyntckG-2wUXbMYBjw_2_2"/>
      <w:bookmarkStart w:id="171" w:name="Tc_trV405PE50-JeXII7rwIHA_1_2"/>
      <w:bookmarkStart w:id="172" w:name="_9e2d06a5_d7ee_4a13_aad7_1bccc1841fd6"/>
      <w:bookmarkStart w:id="173" w:name="Tc_NpkcjBxpjEu8giiPPjwb_Q_9_8"/>
      <w:bookmarkStart w:id="174" w:name="Tc_K34239BIBEaSIQhczigXGQ_9_5"/>
      <w:bookmarkStart w:id="175" w:name="Tc_37Lih9yqx0iqDQPtSsWQTg_9_2"/>
      <w:bookmarkStart w:id="176" w:name="Tc_9O89ilvg-UGEuI2bJP5gpA_9_0"/>
      <w:bookmarkStart w:id="177" w:name="Tc_9vCeuSi43k-TUoSF-wsbtA_8_0"/>
      <w:bookmarkStart w:id="178" w:name="Tc_uqY4ZVTVGkKXBD0YuzYK9Q_7_0"/>
      <w:bookmarkStart w:id="179" w:name="Tc_0dwvlAOL1UOoVwmjv7lA5Q_6_0"/>
      <w:bookmarkStart w:id="180" w:name="Tc_Pp9IlZ-LM0iaWaB0osLbcQ_5_0"/>
      <w:bookmarkStart w:id="181" w:name="Tc_zxHqScoGoEa77G658mW-XA_4_8"/>
      <w:bookmarkStart w:id="182" w:name="Tc_pA3thyCfGUmmNmbxP_WWBw_4_5"/>
      <w:bookmarkStart w:id="183" w:name="Tc_phR2AnNJDU6sLPHW_FDuAQ_4_2"/>
      <w:bookmarkStart w:id="184" w:name="Tc_KBrA9pMR0Eq-cyBArKpnjw_4_0"/>
      <w:bookmarkStart w:id="185" w:name="Tc_pSJrmyoxIU2gd9jbN94qbg_3_8"/>
      <w:bookmarkStart w:id="186" w:name="Tc_LjmbQnJ7_0Kg1crAPGFpQg_3_5"/>
      <w:bookmarkStart w:id="187" w:name="Tc_uP9pD9_H8UqZceiFIJi4Fg_3_2"/>
      <w:bookmarkStart w:id="188" w:name="Tc_6SldIyntckG-2wUXbMYBjw_2_2"/>
      <w:bookmarkStart w:id="189" w:name="Tc_trV405PE50-JeXII7rwIHA_1_2"/>
      <w:bookmarkStart w:id="190" w:name="_9e2d06a5_d7ee_4a13_aad7_1bccc1841fd6"/>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6152"/>
        <w:gridCol w:w="326"/>
        <w:gridCol w:w="211"/>
        <w:gridCol w:w="781"/>
        <w:gridCol w:w="326"/>
        <w:gridCol w:w="211"/>
        <w:gridCol w:w="781"/>
        <w:gridCol w:w="326"/>
        <w:gridCol w:w="211"/>
        <w:gridCol w:w="688"/>
        <w:gridCol w:w="192"/>
      </w:tblGrid>
      <w:tr>
        <w:trPr/>
        <w:tc>
          <w:tcPr>
            <w:tcW w:w="6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906520" cy="175260"/>
                      <wp:effectExtent l="0" t="0" r="0" b="0"/>
                      <wp:wrapNone/>
                      <wp:docPr id="44" name="Frame44"/>
                      <a:graphic xmlns:a="http://schemas.openxmlformats.org/drawingml/2006/main">
                        <a:graphicData uri="http://schemas.microsoft.com/office/word/2010/wordprocessingShape">
                          <wps:wsp>
                            <wps:cNvSpPr txBox="1"/>
                            <wps:spPr>
                              <a:xfrm>
                                <a:off x="0" y="0"/>
                                <a:ext cx="390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7" name="Frame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36880" cy="175260"/>
                      <wp:effectExtent l="0" t="0" r="0" b="0"/>
                      <wp:wrapNone/>
                      <wp:docPr id="53" name="Frame53"/>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1920" cy="175260"/>
                      <wp:effectExtent l="0" t="0" r="0" b="0"/>
                      <wp:wrapNone/>
                      <wp:docPr id="54" name="Frame5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35"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ended</w:t>
            </w:r>
          </w:p>
        </w:tc>
        <w:tc>
          <w:tcPr>
            <w:tcW w:w="192" w:type="dxa"/>
            <w:tcBorders/>
            <w:vAlign w:val="center"/>
          </w:tcPr>
          <w:p>
            <w:pPr>
              <w:pStyle w:val="TableContents"/>
              <w:bidi w:val="0"/>
              <w:spacing w:before="0" w:after="0"/>
              <w:ind w:left="0" w:right="0" w:hanging="0"/>
              <w:jc w:val="center"/>
              <w:rPr/>
            </w:pPr>
            <w:r>
              <w:rPr/>
              <w:t> </w:t>
            </w:r>
          </w:p>
        </w:tc>
      </w:tr>
      <w:tr>
        <w:trPr/>
        <w:tc>
          <w:tcPr>
            <w:tcW w:w="61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2" w:type="dxa"/>
            <w:tcBorders/>
            <w:vAlign w:val="center"/>
          </w:tcPr>
          <w:p>
            <w:pPr>
              <w:pStyle w:val="TableContents"/>
              <w:bidi w:val="0"/>
              <w:spacing w:before="0" w:after="0"/>
              <w:ind w:left="0" w:right="0" w:hanging="0"/>
              <w:jc w:val="center"/>
              <w:rPr/>
            </w:pPr>
            <w:r>
              <w:rPr/>
              <w:t>​</w:t>
            </w:r>
          </w:p>
        </w:tc>
      </w:tr>
      <w:tr>
        <w:trPr/>
        <w:tc>
          <w:tcPr>
            <w:tcW w:w="61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2" w:type="dxa"/>
            <w:tcBorders/>
            <w:vAlign w:val="center"/>
          </w:tcPr>
          <w:p>
            <w:pPr>
              <w:pStyle w:val="TableContents"/>
              <w:bidi w:val="0"/>
              <w:spacing w:before="0" w:after="0"/>
              <w:ind w:left="0" w:right="0" w:hanging="0"/>
              <w:jc w:val="center"/>
              <w:rPr/>
            </w:pPr>
            <w:r>
              <w:rPr/>
              <w:t> </w:t>
            </w:r>
          </w:p>
        </w:tc>
      </w:tr>
      <w:tr>
        <w:trPr/>
        <w:tc>
          <w:tcPr>
            <w:tcW w:w="6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actuarial net gain and other adjustments from pension plan,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92" w:type="dxa"/>
            <w:tcBorders/>
            <w:vAlign w:val="center"/>
          </w:tcPr>
          <w:p>
            <w:pPr>
              <w:pStyle w:val="TableContents"/>
              <w:bidi w:val="0"/>
              <w:spacing w:before="0" w:after="0"/>
              <w:ind w:left="0" w:right="0" w:hanging="0"/>
              <w:jc w:val="left"/>
              <w:rPr/>
            </w:pPr>
            <w:r>
              <w:rPr/>
              <w:t>​</w:t>
            </w:r>
          </w:p>
        </w:tc>
      </w:tr>
      <w:tr>
        <w:trPr/>
        <w:tc>
          <w:tcPr>
            <w:tcW w:w="61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1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96,980</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center"/>
        <w:rPr>
          <w:rFonts w:ascii="Times New Roman;Times;serif" w:hAnsi="Times New Roman;Times;serif"/>
          <w:b/>
          <w:sz w:val="20"/>
        </w:rPr>
      </w:pPr>
      <w:bookmarkStart w:id="191" w:name="_daca8526_5655_4d09_afcf_7f915ec7fb6c"/>
      <w:bookmarkStart w:id="192" w:name="_contentSection_5e0d0572_8c14_42f2_ab23_"/>
      <w:bookmarkEnd w:id="191"/>
      <w:bookmarkEnd w:id="192"/>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193" w:name="ConsolidatedBalanceSheets_111583"/>
      <w:bookmarkStart w:id="194" w:name="BalanceSheets_180416"/>
      <w:bookmarkEnd w:id="193"/>
      <w:bookmarkEnd w:id="194"/>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95" w:name="Tc_ySJCN_PaT0qeOeOp-BpgpQ_39_5"/>
      <w:bookmarkStart w:id="196" w:name="Tc_FjokIjMnp0y45C-PUyNhXg_39_2"/>
      <w:bookmarkStart w:id="197" w:name="Tc_QzRyGxDHQ0SdaQJ1x7UGGg_39_0"/>
      <w:bookmarkStart w:id="198" w:name="Tc_o2MONV0odk26Zz1ZbXIVUg_38_0"/>
      <w:bookmarkStart w:id="199" w:name="Tc_gvA6iP2MfEy7m6hIMutW4A_37_0"/>
      <w:bookmarkStart w:id="200" w:name="Tc_cBnrRSCeOk-biPC_vKykOw_36_0"/>
      <w:bookmarkStart w:id="201" w:name="Tc_T26HWJZdEE6su36ucOg_Bg_35_0"/>
      <w:bookmarkStart w:id="202" w:name="Tc_w7vBvkKpcEedyhloGiAttA_34_0"/>
      <w:bookmarkStart w:id="203" w:name="Tc_e5Z5o1epu0qYs-7B7C3PWg_33_0"/>
      <w:bookmarkStart w:id="204" w:name="Tc_8HqpI0C8vkeB_T9TSXd30A_32_0"/>
      <w:bookmarkStart w:id="205" w:name="Tc_7I20cif8jUus741t3myQhQ_31_0"/>
      <w:bookmarkStart w:id="206" w:name="Tc_xgrC_dJ6AEadeoWTXSzO6w_30_0"/>
      <w:bookmarkStart w:id="207" w:name="Tc_j4m8OhBJ6UKjStifdAEhtw_29_0"/>
      <w:bookmarkStart w:id="208" w:name="Tc_04d6cMsfeESnYuRkLCMLjQ_28_0"/>
      <w:bookmarkStart w:id="209" w:name="Tc_gmbG1gPrUUmDcgh6gigZqQ_27_0"/>
      <w:bookmarkStart w:id="210" w:name="Tc_tUeX15-yHUuKztUGt7xY4w_26_0"/>
      <w:bookmarkStart w:id="211" w:name="Tc_c0FyQSnns0KN0J9RBLg32g_25_0"/>
      <w:bookmarkStart w:id="212" w:name="Tc_T8H4WjOmYEu7CaVd9jzuLw_24_0"/>
      <w:bookmarkStart w:id="213" w:name="Tc_ewQ9pBVwW0-Lblejo-IRqw_23_0"/>
      <w:bookmarkStart w:id="214" w:name="Tc_Hmvv9wqxXUqPhIoxXlo6hA_22_0"/>
      <w:bookmarkStart w:id="215" w:name="Tc_LJN4TQ5lwkecMrhDASazZw_21_0"/>
      <w:bookmarkStart w:id="216" w:name="Tc_wF4DfKdyIkubdMld8gPrlQ_20_5"/>
      <w:bookmarkStart w:id="217" w:name="Tc_bOJAexG4K0O4KbnujJWccA_20_2"/>
      <w:bookmarkStart w:id="218" w:name="Tc_7Rfd9vD4KE6fYyv_IQ2kpw_20_0"/>
      <w:bookmarkStart w:id="219" w:name="Tc_MYR2CyjnxUK6tm3TP-zF3w_19_0"/>
      <w:bookmarkStart w:id="220" w:name="Tc_C3pX29_OykGL86m1C7UxlA_18_0"/>
      <w:bookmarkStart w:id="221" w:name="Tc_65R-eJHizUWepTBUGHTGUQ_17_5"/>
      <w:bookmarkStart w:id="222" w:name="Tc_D7pw208yPkG2UlVlRHqumg_17_2"/>
      <w:bookmarkStart w:id="223" w:name="Tc_drvZyGwgp0GwaNhGZ0ccVQ_17_0"/>
      <w:bookmarkStart w:id="224" w:name="Tc_9yIoEc1b2k-FJbgOe8ZI2Q_16_0"/>
      <w:bookmarkStart w:id="225" w:name="Tc_x3W-G1lcyUa_OxrqTSxPig_15_0"/>
      <w:bookmarkStart w:id="226" w:name="Tc_m2H2sRGKsUGVsdG8vuNCKQ_14_0"/>
      <w:bookmarkStart w:id="227" w:name="Tc_uDMISRwsSku7hY5b6GJRQA_13_0"/>
      <w:bookmarkStart w:id="228" w:name="Tc_g0R3gA7oqUO0iWYJvwQQbg_12_0"/>
      <w:bookmarkStart w:id="229" w:name="Tc_xJlZDC9yRkiiHMyryIf0tA_11_0"/>
      <w:bookmarkStart w:id="230" w:name="Tc_0UpXfMV3rk6rthljWNVwhw_10_0"/>
      <w:bookmarkStart w:id="231" w:name="Tc_Ntx2u_-F40uiSizKTZrd8w_9_0"/>
      <w:bookmarkStart w:id="232" w:name="Tc_iPYOjYPgakS9E2OsjQYzqA_8_0"/>
      <w:bookmarkStart w:id="233" w:name="Tc_JUxp4qyFhU-DPRLjcuQ2_w_7_0"/>
      <w:bookmarkStart w:id="234" w:name="Tc_Wx4uGbl4JkawYsvzFEmOKA_6_0"/>
      <w:bookmarkStart w:id="235" w:name="Tc_-bxRWNIhiU-968EEt1KRcw_5_5"/>
      <w:bookmarkStart w:id="236" w:name="Tc_aqDXKtVfmki_1Jzy3YTACQ_5_2"/>
      <w:bookmarkStart w:id="237" w:name="Tc_9gUYGSJR60-23Y8y3xEfZQ_5_0"/>
      <w:bookmarkStart w:id="238" w:name="Tc_eYW9LxqxMkeqpPFm-LkWIw_4_0"/>
      <w:bookmarkStart w:id="239" w:name="Tc_s2PrPGPNh0qXvALl-dhx9w_3_0"/>
      <w:bookmarkStart w:id="240" w:name="Tc_Y6xhffzV-kaZF_YKb96N_Q_2_5"/>
      <w:bookmarkStart w:id="241" w:name="Tc_yoaqLQNoNEWcdZFpQAG4vQ_2_2"/>
      <w:bookmarkStart w:id="242" w:name="Tc_asDO3k3kbkeE6OiGVbjpzw_1_5"/>
      <w:bookmarkStart w:id="243" w:name="Tc_JsAnwPV-_EyEE_U2U29t7w_1_2"/>
      <w:bookmarkStart w:id="244" w:name="_78fd2bf4_8f7d_4c34_8841_6d8dbf117f5c"/>
      <w:bookmarkStart w:id="245" w:name="Tc_ySJCN_PaT0qeOeOp-BpgpQ_39_5"/>
      <w:bookmarkStart w:id="246" w:name="Tc_FjokIjMnp0y45C-PUyNhXg_39_2"/>
      <w:bookmarkStart w:id="247" w:name="Tc_QzRyGxDHQ0SdaQJ1x7UGGg_39_0"/>
      <w:bookmarkStart w:id="248" w:name="Tc_o2MONV0odk26Zz1ZbXIVUg_38_0"/>
      <w:bookmarkStart w:id="249" w:name="Tc_gvA6iP2MfEy7m6hIMutW4A_37_0"/>
      <w:bookmarkStart w:id="250" w:name="Tc_cBnrRSCeOk-biPC_vKykOw_36_0"/>
      <w:bookmarkStart w:id="251" w:name="Tc_T26HWJZdEE6su36ucOg_Bg_35_0"/>
      <w:bookmarkStart w:id="252" w:name="Tc_w7vBvkKpcEedyhloGiAttA_34_0"/>
      <w:bookmarkStart w:id="253" w:name="Tc_e5Z5o1epu0qYs-7B7C3PWg_33_0"/>
      <w:bookmarkStart w:id="254" w:name="Tc_8HqpI0C8vkeB_T9TSXd30A_32_0"/>
      <w:bookmarkStart w:id="255" w:name="Tc_7I20cif8jUus741t3myQhQ_31_0"/>
      <w:bookmarkStart w:id="256" w:name="Tc_xgrC_dJ6AEadeoWTXSzO6w_30_0"/>
      <w:bookmarkStart w:id="257" w:name="Tc_j4m8OhBJ6UKjStifdAEhtw_29_0"/>
      <w:bookmarkStart w:id="258" w:name="Tc_04d6cMsfeESnYuRkLCMLjQ_28_0"/>
      <w:bookmarkStart w:id="259" w:name="Tc_gmbG1gPrUUmDcgh6gigZqQ_27_0"/>
      <w:bookmarkStart w:id="260" w:name="Tc_tUeX15-yHUuKztUGt7xY4w_26_0"/>
      <w:bookmarkStart w:id="261" w:name="Tc_c0FyQSnns0KN0J9RBLg32g_25_0"/>
      <w:bookmarkStart w:id="262" w:name="Tc_T8H4WjOmYEu7CaVd9jzuLw_24_0"/>
      <w:bookmarkStart w:id="263" w:name="Tc_ewQ9pBVwW0-Lblejo-IRqw_23_0"/>
      <w:bookmarkStart w:id="264" w:name="Tc_Hmvv9wqxXUqPhIoxXlo6hA_22_0"/>
      <w:bookmarkStart w:id="265" w:name="Tc_LJN4TQ5lwkecMrhDASazZw_21_0"/>
      <w:bookmarkStart w:id="266" w:name="Tc_wF4DfKdyIkubdMld8gPrlQ_20_5"/>
      <w:bookmarkStart w:id="267" w:name="Tc_bOJAexG4K0O4KbnujJWccA_20_2"/>
      <w:bookmarkStart w:id="268" w:name="Tc_7Rfd9vD4KE6fYyv_IQ2kpw_20_0"/>
      <w:bookmarkStart w:id="269" w:name="Tc_MYR2CyjnxUK6tm3TP-zF3w_19_0"/>
      <w:bookmarkStart w:id="270" w:name="Tc_C3pX29_OykGL86m1C7UxlA_18_0"/>
      <w:bookmarkStart w:id="271" w:name="Tc_65R-eJHizUWepTBUGHTGUQ_17_5"/>
      <w:bookmarkStart w:id="272" w:name="Tc_D7pw208yPkG2UlVlRHqumg_17_2"/>
      <w:bookmarkStart w:id="273" w:name="Tc_drvZyGwgp0GwaNhGZ0ccVQ_17_0"/>
      <w:bookmarkStart w:id="274" w:name="Tc_9yIoEc1b2k-FJbgOe8ZI2Q_16_0"/>
      <w:bookmarkStart w:id="275" w:name="Tc_x3W-G1lcyUa_OxrqTSxPig_15_0"/>
      <w:bookmarkStart w:id="276" w:name="Tc_m2H2sRGKsUGVsdG8vuNCKQ_14_0"/>
      <w:bookmarkStart w:id="277" w:name="Tc_uDMISRwsSku7hY5b6GJRQA_13_0"/>
      <w:bookmarkStart w:id="278" w:name="Tc_g0R3gA7oqUO0iWYJvwQQbg_12_0"/>
      <w:bookmarkStart w:id="279" w:name="Tc_xJlZDC9yRkiiHMyryIf0tA_11_0"/>
      <w:bookmarkStart w:id="280" w:name="Tc_0UpXfMV3rk6rthljWNVwhw_10_0"/>
      <w:bookmarkStart w:id="281" w:name="Tc_Ntx2u_-F40uiSizKTZrd8w_9_0"/>
      <w:bookmarkStart w:id="282" w:name="Tc_iPYOjYPgakS9E2OsjQYzqA_8_0"/>
      <w:bookmarkStart w:id="283" w:name="Tc_JUxp4qyFhU-DPRLjcuQ2_w_7_0"/>
      <w:bookmarkStart w:id="284" w:name="Tc_Wx4uGbl4JkawYsvzFEmOKA_6_0"/>
      <w:bookmarkStart w:id="285" w:name="Tc_-bxRWNIhiU-968EEt1KRcw_5_5"/>
      <w:bookmarkStart w:id="286" w:name="Tc_aqDXKtVfmki_1Jzy3YTACQ_5_2"/>
      <w:bookmarkStart w:id="287" w:name="Tc_9gUYGSJR60-23Y8y3xEfZQ_5_0"/>
      <w:bookmarkStart w:id="288" w:name="Tc_eYW9LxqxMkeqpPFm-LkWIw_4_0"/>
      <w:bookmarkStart w:id="289" w:name="Tc_s2PrPGPNh0qXvALl-dhx9w_3_0"/>
      <w:bookmarkStart w:id="290" w:name="Tc_Y6xhffzV-kaZF_YKb96N_Q_2_5"/>
      <w:bookmarkStart w:id="291" w:name="Tc_yoaqLQNoNEWcdZFpQAG4vQ_2_2"/>
      <w:bookmarkStart w:id="292" w:name="Tc_asDO3k3kbkeE6OiGVbjpzw_1_5"/>
      <w:bookmarkStart w:id="293" w:name="Tc_JsAnwPV-_EyEE_U2U29t7w_1_2"/>
      <w:bookmarkStart w:id="294" w:name="_78fd2bf4_8f7d_4c34_8841_6d8dbf117f5c"/>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bl>
      <w:tblPr>
        <w:tblW w:w="10205" w:type="dxa"/>
        <w:jc w:val="left"/>
        <w:tblInd w:w="0" w:type="dxa"/>
        <w:tblLayout w:type="fixed"/>
        <w:tblCellMar>
          <w:top w:w="0" w:type="dxa"/>
          <w:left w:w="0" w:type="dxa"/>
          <w:bottom w:w="0" w:type="dxa"/>
          <w:right w:w="0" w:type="dxa"/>
        </w:tblCellMar>
      </w:tblPr>
      <w:tblGrid>
        <w:gridCol w:w="7041"/>
        <w:gridCol w:w="326"/>
        <w:gridCol w:w="214"/>
        <w:gridCol w:w="945"/>
        <w:gridCol w:w="326"/>
        <w:gridCol w:w="214"/>
        <w:gridCol w:w="945"/>
        <w:gridCol w:w="194"/>
      </w:tblGrid>
      <w:tr>
        <w:trPr/>
        <w:tc>
          <w:tcPr>
            <w:tcW w:w="7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471035" cy="175260"/>
                      <wp:effectExtent l="0" t="0" r="0" b="0"/>
                      <wp:wrapNone/>
                      <wp:docPr id="55" name="Frame55"/>
                      <a:graphic xmlns:a="http://schemas.openxmlformats.org/drawingml/2006/main">
                        <a:graphicData uri="http://schemas.microsoft.com/office/word/2010/wordprocessingShape">
                          <wps:wsp>
                            <wps:cNvSpPr txBox="1"/>
                            <wps:spPr>
                              <a:xfrm>
                                <a:off x="0" y="0"/>
                                <a:ext cx="447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5890" cy="175260"/>
                      <wp:effectExtent l="0" t="0" r="0" b="0"/>
                      <wp:wrapNone/>
                      <wp:docPr id="57" name="Frame5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00075" cy="175260"/>
                      <wp:effectExtent l="0" t="0" r="0" b="0"/>
                      <wp:wrapNone/>
                      <wp:docPr id="58" name="Frame58"/>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5890" cy="175260"/>
                      <wp:effectExtent l="0" t="0" r="0" b="0"/>
                      <wp:wrapNone/>
                      <wp:docPr id="60" name="Frame6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00075" cy="175260"/>
                      <wp:effectExtent l="0" t="0" r="0" b="0"/>
                      <wp:wrapNone/>
                      <wp:docPr id="61" name="Frame61"/>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3190" cy="175260"/>
                      <wp:effectExtent l="0" t="0" r="0" b="0"/>
                      <wp:wrapNone/>
                      <wp:docPr id="62" name="Frame62"/>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326" w:type="dxa"/>
            <w:tcBorders/>
            <w:vAlign w:val="center"/>
          </w:tcPr>
          <w:p>
            <w:pPr>
              <w:pStyle w:val="TableContents"/>
              <w:bidi w:val="0"/>
              <w:spacing w:before="0" w:after="0"/>
              <w:ind w:left="0" w:right="0" w:hanging="0"/>
              <w:jc w:val="center"/>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December 31, </w:t>
            </w:r>
          </w:p>
        </w:tc>
        <w:tc>
          <w:tcPr>
            <w:tcW w:w="194" w:type="dxa"/>
            <w:tcBorders/>
            <w:vAlign w:val="center"/>
          </w:tcPr>
          <w:p>
            <w:pPr>
              <w:pStyle w:val="TableContents"/>
              <w:bidi w:val="0"/>
              <w:spacing w:before="0" w:after="0"/>
              <w:ind w:left="0" w:right="0" w:hanging="0"/>
              <w:jc w:val="center"/>
              <w:rPr/>
            </w:pPr>
            <w:r>
              <w:rPr/>
              <w:t> </w:t>
            </w:r>
          </w:p>
        </w:tc>
      </w:tr>
      <w:tr>
        <w:trPr/>
        <w:tc>
          <w:tcPr>
            <w:tcW w:w="7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center"/>
              <w:rPr/>
            </w:pPr>
            <w:r>
              <w:rPr/>
              <w:t>​</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194" w:type="dxa"/>
            <w:tcBorders/>
            <w:vAlign w:val="center"/>
          </w:tcPr>
          <w:p>
            <w:pPr>
              <w:pStyle w:val="TableContents"/>
              <w:bidi w:val="0"/>
              <w:spacing w:before="0" w:after="0"/>
              <w:ind w:left="0" w:right="0" w:hanging="0"/>
              <w:jc w:val="center"/>
              <w:rPr/>
            </w:pPr>
            <w:r>
              <w:rPr/>
              <w:t> </w:t>
            </w:r>
          </w:p>
        </w:tc>
      </w:tr>
      <w:tr>
        <w:trPr/>
        <w:tc>
          <w:tcPr>
            <w:tcW w:w="10011"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167,297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185,595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338,851</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246,571</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217,964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169,773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306,482</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242,406</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1,079,991</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877,645</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30,716</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12,146</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restricted cash</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6,654</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40,575</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33,791</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1,281,967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1,013,641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10011" w:type="dxa"/>
            <w:gridSpan w:val="7"/>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54,400</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62,346</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8,299</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6,164</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164,677</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123,471</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finance lease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12,834</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285,129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248,132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finance lease obligation</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43,674</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45,185</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46,208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42,074</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21,762</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417,085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346,385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16)</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5"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$0.001 par value, 75,000 shares authorized; 32,685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2023; 32,775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2022</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547,189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550,299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319,506</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118,892</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864,882</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667,256</w:t>
            </w:r>
          </w:p>
        </w:tc>
        <w:tc>
          <w:tcPr>
            <w:tcW w:w="194" w:type="dxa"/>
            <w:tcBorders/>
            <w:vAlign w:val="center"/>
          </w:tcPr>
          <w:p>
            <w:pPr>
              <w:pStyle w:val="TableContents"/>
              <w:bidi w:val="0"/>
              <w:spacing w:before="0" w:after="0"/>
              <w:ind w:left="0" w:right="0" w:hanging="0"/>
              <w:jc w:val="left"/>
              <w:rPr/>
            </w:pPr>
            <w:r>
              <w:rPr/>
              <w:t>​</w:t>
            </w:r>
          </w:p>
        </w:tc>
      </w:tr>
      <w:tr>
        <w:trPr/>
        <w:tc>
          <w:tcPr>
            <w:tcW w:w="7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1,281,967</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1,013,641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5"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center"/>
        <w:rPr>
          <w:rFonts w:ascii="Times New Roman;Times;serif" w:hAnsi="Times New Roman;Times;serif"/>
          <w:b/>
          <w:sz w:val="20"/>
        </w:rPr>
      </w:pPr>
      <w:bookmarkStart w:id="295" w:name="_a0f193cb_b1f2_4eeb_b4dd_d9e88d29e574"/>
      <w:bookmarkStart w:id="296" w:name="_contentSection_06757861_c75f_449f_a2dd_"/>
      <w:bookmarkEnd w:id="295"/>
      <w:bookmarkEnd w:id="296"/>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297" w:name="StatementsofStockholdersEquity_804831"/>
      <w:bookmarkEnd w:id="297"/>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8" w:name="Tc_6AJExDbiEkavY5okjokInw_32_17"/>
      <w:bookmarkStart w:id="299" w:name="Tc_yq9bKbz040ikLrX2NaIJ3A_32_14"/>
      <w:bookmarkStart w:id="300" w:name="Tc_Ntgo9nE9eE6LJRp92ZsDxA_32_11"/>
      <w:bookmarkStart w:id="301" w:name="Tc_hUNXHsTH20G4DaMBTRlWvg_32_8"/>
      <w:bookmarkStart w:id="302" w:name="Tc_vuXUkPYQxkqDt6Q5Ig8xDw_32_5"/>
      <w:bookmarkStart w:id="303" w:name="Tc_l_rndXtY4ESKAKMhHVoKOg_32_0"/>
      <w:bookmarkStart w:id="304" w:name="Tc_H7RoMqska0GGsnZktUCHwQ_31_15"/>
      <w:bookmarkStart w:id="305" w:name="Tc_Cl9te3QZBkqEky6Styy1kg_31_6"/>
      <w:bookmarkStart w:id="306" w:name="Tc_h7sNzHRng0ayokQM9oVbcA_31_0"/>
      <w:bookmarkStart w:id="307" w:name="Tc_B9JPzJl1YkCd7BMmj5MZYg_30_15"/>
      <w:bookmarkStart w:id="308" w:name="Tc_UcApV7ehbkSDLEf55XyHaQ_30_12"/>
      <w:bookmarkStart w:id="309" w:name="Tc_RUv1llUeu0ibsinToSOT-Q_30_6"/>
      <w:bookmarkStart w:id="310" w:name="Tc_OIHd1no5r0OGyZ8wkl3hzA_30_3"/>
      <w:bookmarkStart w:id="311" w:name="Tc_f3oBBxEUwUqirBEfZa4HAw_30_0"/>
      <w:bookmarkStart w:id="312" w:name="Tc_kMg6XuB4rEChY_UdUuxTfQ_29_15"/>
      <w:bookmarkStart w:id="313" w:name="Tc_IeqQJoZxg0iBBZmIG1v23Q_29_12"/>
      <w:bookmarkStart w:id="314" w:name="Tc_MwW7X-3DuUyJgoNhPtbFOQ_29_6"/>
      <w:bookmarkStart w:id="315" w:name="Tc_OwLERxya3kGlMsFtBKkuJg_29_0"/>
      <w:bookmarkStart w:id="316" w:name="Tc_YD8z4RI1_0e0XUS1RUFnaA_28_15"/>
      <w:bookmarkStart w:id="317" w:name="Tc_4e4vSOChK0Cv_Sj7wYX0SA_28_12"/>
      <w:bookmarkStart w:id="318" w:name="Tc_Xl1a5O72jEiCT7EqRblSeQ_28_6"/>
      <w:bookmarkStart w:id="319" w:name="Tc_fFyYMnMjCEabh5NpRgxOnA_28_0"/>
      <w:bookmarkStart w:id="320" w:name="Tc_PXUV-R827k--HD7S8xvzmA_27_15"/>
      <w:bookmarkStart w:id="321" w:name="Tc_9w2dGMfQ50iKHGIpzWjIDA_27_12"/>
      <w:bookmarkStart w:id="322" w:name="Tc_nC2i0epwsk-h5PkKiFKVfA_27_6"/>
      <w:bookmarkStart w:id="323" w:name="Tc_XQZB_e1cZkSk8-h3nrPVpw_27_0"/>
      <w:bookmarkStart w:id="324" w:name="Tc_539341Lzx0ifSCI-Ci7nwA_26_12"/>
      <w:bookmarkStart w:id="325" w:name="Tc_55xhJVJOykqtD-59IrAhJQ_26_9"/>
      <w:bookmarkStart w:id="326" w:name="Tc_3S4N1FrFx0C_2vlpHsdtDg_26_6"/>
      <w:bookmarkStart w:id="327" w:name="Tc__I-6bCGs-0qgYSLru_MIUw_26_3"/>
      <w:bookmarkStart w:id="328" w:name="Tc_iLRiyNZ3ikmio_qIUgUHyQ_26_0"/>
      <w:bookmarkStart w:id="329" w:name="Tc_8uyRhrlcRES6bKasoVqYag_25_12"/>
      <w:bookmarkStart w:id="330" w:name="Tc_AGX9NnNXoUaDLiqqVFhy9w_25_9"/>
      <w:bookmarkStart w:id="331" w:name="Tc_4ebCP36hGUGfF0Rf30PCDA_25_6"/>
      <w:bookmarkStart w:id="332" w:name="Tc_ps-QOv3BTUGTAe4JgOC7HA_25_3"/>
      <w:bookmarkStart w:id="333" w:name="Tc_Vhj2dQhBrk-fyEtAjzN-FQ_25_0"/>
      <w:bookmarkStart w:id="334" w:name="Tc_BoaJjeQPeUa158ZrzL-xRA_24_15"/>
      <w:bookmarkStart w:id="335" w:name="Tc_Vv1XlamObUC4Iv2ODDTUnQ_24_9"/>
      <w:bookmarkStart w:id="336" w:name="Tc_V6dP73043UyS6MQf-_HTIg_24_6"/>
      <w:bookmarkStart w:id="337" w:name="Tc_XorWHzwANUGcg0U3PHX7tg_24_3"/>
      <w:bookmarkStart w:id="338" w:name="Tc_fOW8Z5zl60eHCDBpIXIY6A_24_0"/>
      <w:bookmarkStart w:id="339" w:name="Tc_kzYSlB8WYEmHAOAjbD38nw_23_0"/>
      <w:bookmarkStart w:id="340" w:name="Tc_VZ-Yz1G7QUmZPwNQgXqflg_22_15"/>
      <w:bookmarkStart w:id="341" w:name="Tc_iyU5a8qslkerL9QpGN2nKQ_22_6"/>
      <w:bookmarkStart w:id="342" w:name="Tc_CMXUqi6E70Oe-83YLkIeLQ_22_0"/>
      <w:bookmarkStart w:id="343" w:name="Tc_msOY5Q9tvE-TLC8wkfZFCw_21_15"/>
      <w:bookmarkStart w:id="344" w:name="Tc_s_KFL7LOzU2doKC36pxEyw_21_12"/>
      <w:bookmarkStart w:id="345" w:name="Tc_V9BMH5uaV06rYSISFPqc1Q_21_6"/>
      <w:bookmarkStart w:id="346" w:name="Tc_41B4lvYHfkygCALhezulBQ_21_3"/>
      <w:bookmarkStart w:id="347" w:name="Tc_IE-YCbeG8E-C0TTX5I3H4g_21_0"/>
      <w:bookmarkStart w:id="348" w:name="Tc_hNAgYDLM4ECF5p1ENAPRaw_20_15"/>
      <w:bookmarkStart w:id="349" w:name="Tc_sa6bG-Lq5kS-ISRsbxeL-A_20_12"/>
      <w:bookmarkStart w:id="350" w:name="Tc_TQ2olpyttEWl5Ctgow0NuA_20_6"/>
      <w:bookmarkStart w:id="351" w:name="Tc_Khy6aoZQjkyV0RFlNAZETQ_20_0"/>
      <w:bookmarkStart w:id="352" w:name="Tc_42-T-5b9YESXa6YcTWwZjg_19_15"/>
      <w:bookmarkStart w:id="353" w:name="Tc_iCh0vDWTvEayugMQH2d3sQ_19_12"/>
      <w:bookmarkStart w:id="354" w:name="Tc__WO2dPGDWkGwN2z1qJFTWA_19_6"/>
      <w:bookmarkStart w:id="355" w:name="Tc_QmD7Dda8zk-xvCSsFIZxZg_19_0"/>
      <w:bookmarkStart w:id="356" w:name="Tc_o-eFN9fVTk-i4KjzM02GHg_18_15"/>
      <w:bookmarkStart w:id="357" w:name="Tc_pQ0dzBy420mYZXXdvkE0mw_18_12"/>
      <w:bookmarkStart w:id="358" w:name="Tc_tx8GS_4n80-9scsfQ31ODg_18_6"/>
      <w:bookmarkStart w:id="359" w:name="Tc_Z1EUobbkM0q9VqSVLIqcow_18_0"/>
      <w:bookmarkStart w:id="360" w:name="Tc_4bg2KJLgH0GWy9FSWwT81Q_17_12"/>
      <w:bookmarkStart w:id="361" w:name="Tc_5TwZzz3go0igw1bHZeDwDg_17_9"/>
      <w:bookmarkStart w:id="362" w:name="Tc_mOH3BdBqaku2MI5o0vjhLQ_17_6"/>
      <w:bookmarkStart w:id="363" w:name="Tc_CO_8sHVdAU6UJgJV5sIzjw_17_3"/>
      <w:bookmarkStart w:id="364" w:name="Tc_nYV4rW5ZZEq7MXeBRm00Yg_17_0"/>
      <w:bookmarkStart w:id="365" w:name="Tc_aSpd1bxfrkO_JvmQJPC56w_16_12"/>
      <w:bookmarkStart w:id="366" w:name="Tc_0VUtz-ExG0qIO3osYqXD5g_16_9"/>
      <w:bookmarkStart w:id="367" w:name="Tc_AO1FuUrK0kGNhcxo4XK25Q_16_6"/>
      <w:bookmarkStart w:id="368" w:name="Tc__Ml_qyCzo0qZ8Xq0SPQirA_16_3"/>
      <w:bookmarkStart w:id="369" w:name="Tc_Xrazc2Z1002iMr8O3blW3w_16_0"/>
      <w:bookmarkStart w:id="370" w:name="Tc_4WA9pGvG0k2b4Bgn4IoOLQ_15_15"/>
      <w:bookmarkStart w:id="371" w:name="Tc_xEpgNpwWlEG7PheKH8d9bA_15_9"/>
      <w:bookmarkStart w:id="372" w:name="Tc_sHxBwpAz1k-dvfyokR8n9g_15_6"/>
      <w:bookmarkStart w:id="373" w:name="Tc_QBXT4aDhZkOta3HtoJaTqg_15_3"/>
      <w:bookmarkStart w:id="374" w:name="Tc_fuJ6LucBc0ig--2A6idoHA_15_0"/>
      <w:bookmarkStart w:id="375" w:name="Tc_lxpewE0LREKZlef_aXhTBg_14_0"/>
      <w:bookmarkStart w:id="376" w:name="Tc_r0_QVxsQBECFKSsNER1dIQ_13_15"/>
      <w:bookmarkStart w:id="377" w:name="Tc_T1uUOg3vGEucA3hMj--UAA_13_0"/>
      <w:bookmarkStart w:id="378" w:name="Tc_3XrAFr661Uqxdz7wUeF3Fg_12_15"/>
      <w:bookmarkStart w:id="379" w:name="Tc_EO8iXRW9jUS979kzfdQOBQ_12_12"/>
      <w:bookmarkStart w:id="380" w:name="Tc_I6yvb5I_LkKPwL9TQx2Cfg_12_6"/>
      <w:bookmarkStart w:id="381" w:name="Tc_d6yR-WZ8sUuykELGx34c-A_12_3"/>
      <w:bookmarkStart w:id="382" w:name="Tc_xIUy5LIgbEGe_0IIHVLlDQ_12_0"/>
      <w:bookmarkStart w:id="383" w:name="Tc_mO6s2nGKFEmuSBkr9FEw8Q_11_15"/>
      <w:bookmarkStart w:id="384" w:name="Tc_IEIku9hnQUqM5Ol9UNe2DQ_11_12"/>
      <w:bookmarkStart w:id="385" w:name="Tc_eh-9jGF1CkOSmNi0sVyj5A_11_6"/>
      <w:bookmarkStart w:id="386" w:name="Tc_zrFMkmxD3EuCt5P9Et6vCg_11_0"/>
      <w:bookmarkStart w:id="387" w:name="Tc_T4sH70nKvESWv_aWqzV_lA_10_15"/>
      <w:bookmarkStart w:id="388" w:name="Tc_GGJBO8BMykWh02csnSqiOg_10_12"/>
      <w:bookmarkStart w:id="389" w:name="Tc_gd4bRQfoQ0K0sMRR64_foA_10_6"/>
      <w:bookmarkStart w:id="390" w:name="Tc_8n0v8uvNRUqPpd2QU4FBGg_10_0"/>
      <w:bookmarkStart w:id="391" w:name="Tc_18gUnsPnAkeyOB9awfr7xQ_9_15"/>
      <w:bookmarkStart w:id="392" w:name="Tc_xoXXIs3rKEW1OY8Mh5P_tA_9_12"/>
      <w:bookmarkStart w:id="393" w:name="Tc_Qv9FcMXTsEKPn8TGfd4ftA_9_6"/>
      <w:bookmarkStart w:id="394" w:name="Tc_u-Rp8aIalkGBhRtR6_AT9A_9_0"/>
      <w:bookmarkStart w:id="395" w:name="Tc_0fpKFJgJsE2D_LyRuQXGow_8_12"/>
      <w:bookmarkStart w:id="396" w:name="Tc_KWcZH50Vu0qJGhPdO4savg_8_9"/>
      <w:bookmarkStart w:id="397" w:name="Tc_dLl8YjxfVkOMGcagP-apYQ_8_6"/>
      <w:bookmarkStart w:id="398" w:name="Tc_-wS_aH7bVEaaBKuiwrwijg_8_3"/>
      <w:bookmarkStart w:id="399" w:name="Tc_VNJss1sd10CJ0e1Dy-9zRg_8_0"/>
      <w:bookmarkStart w:id="400" w:name="Tc_7Hiz1Ohfq0-atf6H0a1zew_7_12"/>
      <w:bookmarkStart w:id="401" w:name="Tc_VPTLpiNQUUqv-7vBMOs-GA_7_9"/>
      <w:bookmarkStart w:id="402" w:name="Tc_dOhFHnq71UiZSXmgeOWJWw_7_6"/>
      <w:bookmarkStart w:id="403" w:name="Tc_GrOwg26AWkm9tjUOsM-Q_A_7_3"/>
      <w:bookmarkStart w:id="404" w:name="Tc_IgKaUiIK60-O1ZHRHxpBdA_7_0"/>
      <w:bookmarkStart w:id="405" w:name="Tc_4xtWZP7bAUy9Rm-4Ua_uBA_6_15"/>
      <w:bookmarkStart w:id="406" w:name="Tc_9a5zvg8z406-lp7U7zFJ1A_6_9"/>
      <w:bookmarkStart w:id="407" w:name="Tc_imyOA5jJJ02kvTxex0EmQw_6_6"/>
      <w:bookmarkStart w:id="408" w:name="Tc_eVO7tj6M6UWYYwF5VT9Ksw_6_3"/>
      <w:bookmarkStart w:id="409" w:name="Tc_NsU19nHkyUOVmYT2cjqSxw_6_0"/>
      <w:bookmarkStart w:id="410" w:name="Tc_g2r3MX59IU-YGr5iYfjjmg_5_17"/>
      <w:bookmarkStart w:id="411" w:name="Tc_pWQ3rG0Ig0ugA-yQ85UAEA_5_14"/>
      <w:bookmarkStart w:id="412" w:name="Tc_fnrCq0m1aUGTmUEtLEt49A_5_11"/>
      <w:bookmarkStart w:id="413" w:name="Tc_M1yInzEnv0-qrewJoC1u8w_5_8"/>
      <w:bookmarkStart w:id="414" w:name="Tc_q8K-AdUe00me1VDYKxwecg_5_5"/>
      <w:bookmarkStart w:id="415" w:name="Tc_eRQacas0NEqcH5swV0OyHA_5_0"/>
      <w:bookmarkStart w:id="416" w:name="Tc_tMRBnq_t_EOrcMBX84CqHw_4_17"/>
      <w:bookmarkStart w:id="417" w:name="Tc__PAk8O6WxkaqkvdJxVCJsw_4_14"/>
      <w:bookmarkStart w:id="418" w:name="Tc_M2nyBsETxkSRpOdb8Q_Osg_4_11"/>
      <w:bookmarkStart w:id="419" w:name="Tc_rz3jRD8240uKbmdNEmlDWQ_4_8"/>
      <w:bookmarkStart w:id="420" w:name="Tc_wujpJMW64kCGvkoV_9P70A_4_5"/>
      <w:bookmarkStart w:id="421" w:name="Tc_z8KDhGLUtUWXGPy5pd3hsA_4_3"/>
      <w:bookmarkStart w:id="422" w:name="Tc_yD4it5vL8E6WvQCd6poXfg_3_17"/>
      <w:bookmarkStart w:id="423" w:name="Tc_PutBz9KJgU6wbNaVXngYWw_3_14"/>
      <w:bookmarkStart w:id="424" w:name="Tc_FHEj-sFleU-2DQUf9TXR4g_3_11"/>
      <w:bookmarkStart w:id="425" w:name="Tc_u7U5KwMaSkOdBGvNBZTS_w_3_8"/>
      <w:bookmarkStart w:id="426" w:name="Tc_AN7RM-2iP0W3vD88vAiYfA_3_3"/>
      <w:bookmarkStart w:id="427" w:name="Tc_wB3omFns0U2n70lv_QYezw_2_17"/>
      <w:bookmarkStart w:id="428" w:name="Tc_IkwaGvInJk-gdeo_0PBCSA_2_14"/>
      <w:bookmarkStart w:id="429" w:name="Tc_aWrqjiEZ8EacIum4L91OFw_2_11"/>
      <w:bookmarkStart w:id="430" w:name="Tc_0dnrAGEU0kWOBVPD7piNmA_2_8"/>
      <w:bookmarkStart w:id="431" w:name="Tc_rkJ6bcZEaEqxEHQ6nYHqVg_1_14"/>
      <w:bookmarkStart w:id="432" w:name="Tc_WtoUO6VYYE2vjulm_sWYDQ_1_11"/>
      <w:bookmarkStart w:id="433" w:name="_f1f9239d_5d93_4971_abfc_545262dfba19"/>
      <w:bookmarkStart w:id="434" w:name="Tc_6AJExDbiEkavY5okjokInw_32_17"/>
      <w:bookmarkStart w:id="435" w:name="Tc_yq9bKbz040ikLrX2NaIJ3A_32_14"/>
      <w:bookmarkStart w:id="436" w:name="Tc_Ntgo9nE9eE6LJRp92ZsDxA_32_11"/>
      <w:bookmarkStart w:id="437" w:name="Tc_hUNXHsTH20G4DaMBTRlWvg_32_8"/>
      <w:bookmarkStart w:id="438" w:name="Tc_vuXUkPYQxkqDt6Q5Ig8xDw_32_5"/>
      <w:bookmarkStart w:id="439" w:name="Tc_l_rndXtY4ESKAKMhHVoKOg_32_0"/>
      <w:bookmarkStart w:id="440" w:name="Tc_H7RoMqska0GGsnZktUCHwQ_31_15"/>
      <w:bookmarkStart w:id="441" w:name="Tc_Cl9te3QZBkqEky6Styy1kg_31_6"/>
      <w:bookmarkStart w:id="442" w:name="Tc_h7sNzHRng0ayokQM9oVbcA_31_0"/>
      <w:bookmarkStart w:id="443" w:name="Tc_B9JPzJl1YkCd7BMmj5MZYg_30_15"/>
      <w:bookmarkStart w:id="444" w:name="Tc_UcApV7ehbkSDLEf55XyHaQ_30_12"/>
      <w:bookmarkStart w:id="445" w:name="Tc_RUv1llUeu0ibsinToSOT-Q_30_6"/>
      <w:bookmarkStart w:id="446" w:name="Tc_OIHd1no5r0OGyZ8wkl3hzA_30_3"/>
      <w:bookmarkStart w:id="447" w:name="Tc_f3oBBxEUwUqirBEfZa4HAw_30_0"/>
      <w:bookmarkStart w:id="448" w:name="Tc_kMg6XuB4rEChY_UdUuxTfQ_29_15"/>
      <w:bookmarkStart w:id="449" w:name="Tc_IeqQJoZxg0iBBZmIG1v23Q_29_12"/>
      <w:bookmarkStart w:id="450" w:name="Tc_MwW7X-3DuUyJgoNhPtbFOQ_29_6"/>
      <w:bookmarkStart w:id="451" w:name="Tc_OwLERxya3kGlMsFtBKkuJg_29_0"/>
      <w:bookmarkStart w:id="452" w:name="Tc_YD8z4RI1_0e0XUS1RUFnaA_28_15"/>
      <w:bookmarkStart w:id="453" w:name="Tc_4e4vSOChK0Cv_Sj7wYX0SA_28_12"/>
      <w:bookmarkStart w:id="454" w:name="Tc_Xl1a5O72jEiCT7EqRblSeQ_28_6"/>
      <w:bookmarkStart w:id="455" w:name="Tc_fFyYMnMjCEabh5NpRgxOnA_28_0"/>
      <w:bookmarkStart w:id="456" w:name="Tc_PXUV-R827k--HD7S8xvzmA_27_15"/>
      <w:bookmarkStart w:id="457" w:name="Tc_9w2dGMfQ50iKHGIpzWjIDA_27_12"/>
      <w:bookmarkStart w:id="458" w:name="Tc_nC2i0epwsk-h5PkKiFKVfA_27_6"/>
      <w:bookmarkStart w:id="459" w:name="Tc_XQZB_e1cZkSk8-h3nrPVpw_27_0"/>
      <w:bookmarkStart w:id="460" w:name="Tc_539341Lzx0ifSCI-Ci7nwA_26_12"/>
      <w:bookmarkStart w:id="461" w:name="Tc_55xhJVJOykqtD-59IrAhJQ_26_9"/>
      <w:bookmarkStart w:id="462" w:name="Tc_3S4N1FrFx0C_2vlpHsdtDg_26_6"/>
      <w:bookmarkStart w:id="463" w:name="Tc__I-6bCGs-0qgYSLru_MIUw_26_3"/>
      <w:bookmarkStart w:id="464" w:name="Tc_iLRiyNZ3ikmio_qIUgUHyQ_26_0"/>
      <w:bookmarkStart w:id="465" w:name="Tc_8uyRhrlcRES6bKasoVqYag_25_12"/>
      <w:bookmarkStart w:id="466" w:name="Tc_AGX9NnNXoUaDLiqqVFhy9w_25_9"/>
      <w:bookmarkStart w:id="467" w:name="Tc_4ebCP36hGUGfF0Rf30PCDA_25_6"/>
      <w:bookmarkStart w:id="468" w:name="Tc_ps-QOv3BTUGTAe4JgOC7HA_25_3"/>
      <w:bookmarkStart w:id="469" w:name="Tc_Vhj2dQhBrk-fyEtAjzN-FQ_25_0"/>
      <w:bookmarkStart w:id="470" w:name="Tc_BoaJjeQPeUa158ZrzL-xRA_24_15"/>
      <w:bookmarkStart w:id="471" w:name="Tc_Vv1XlamObUC4Iv2ODDTUnQ_24_9"/>
      <w:bookmarkStart w:id="472" w:name="Tc_V6dP73043UyS6MQf-_HTIg_24_6"/>
      <w:bookmarkStart w:id="473" w:name="Tc_XorWHzwANUGcg0U3PHX7tg_24_3"/>
      <w:bookmarkStart w:id="474" w:name="Tc_fOW8Z5zl60eHCDBpIXIY6A_24_0"/>
      <w:bookmarkStart w:id="475" w:name="Tc_kzYSlB8WYEmHAOAjbD38nw_23_0"/>
      <w:bookmarkStart w:id="476" w:name="Tc_VZ-Yz1G7QUmZPwNQgXqflg_22_15"/>
      <w:bookmarkStart w:id="477" w:name="Tc_iyU5a8qslkerL9QpGN2nKQ_22_6"/>
      <w:bookmarkStart w:id="478" w:name="Tc_CMXUqi6E70Oe-83YLkIeLQ_22_0"/>
      <w:bookmarkStart w:id="479" w:name="Tc_msOY5Q9tvE-TLC8wkfZFCw_21_15"/>
      <w:bookmarkStart w:id="480" w:name="Tc_s_KFL7LOzU2doKC36pxEyw_21_12"/>
      <w:bookmarkStart w:id="481" w:name="Tc_V9BMH5uaV06rYSISFPqc1Q_21_6"/>
      <w:bookmarkStart w:id="482" w:name="Tc_41B4lvYHfkygCALhezulBQ_21_3"/>
      <w:bookmarkStart w:id="483" w:name="Tc_IE-YCbeG8E-C0TTX5I3H4g_21_0"/>
      <w:bookmarkStart w:id="484" w:name="Tc_hNAgYDLM4ECF5p1ENAPRaw_20_15"/>
      <w:bookmarkStart w:id="485" w:name="Tc_sa6bG-Lq5kS-ISRsbxeL-A_20_12"/>
      <w:bookmarkStart w:id="486" w:name="Tc_TQ2olpyttEWl5Ctgow0NuA_20_6"/>
      <w:bookmarkStart w:id="487" w:name="Tc_Khy6aoZQjkyV0RFlNAZETQ_20_0"/>
      <w:bookmarkStart w:id="488" w:name="Tc_42-T-5b9YESXa6YcTWwZjg_19_15"/>
      <w:bookmarkStart w:id="489" w:name="Tc_iCh0vDWTvEayugMQH2d3sQ_19_12"/>
      <w:bookmarkStart w:id="490" w:name="Tc__WO2dPGDWkGwN2z1qJFTWA_19_6"/>
      <w:bookmarkStart w:id="491" w:name="Tc_QmD7Dda8zk-xvCSsFIZxZg_19_0"/>
      <w:bookmarkStart w:id="492" w:name="Tc_o-eFN9fVTk-i4KjzM02GHg_18_15"/>
      <w:bookmarkStart w:id="493" w:name="Tc_pQ0dzBy420mYZXXdvkE0mw_18_12"/>
      <w:bookmarkStart w:id="494" w:name="Tc_tx8GS_4n80-9scsfQ31ODg_18_6"/>
      <w:bookmarkStart w:id="495" w:name="Tc_Z1EUobbkM0q9VqSVLIqcow_18_0"/>
      <w:bookmarkStart w:id="496" w:name="Tc_4bg2KJLgH0GWy9FSWwT81Q_17_12"/>
      <w:bookmarkStart w:id="497" w:name="Tc_5TwZzz3go0igw1bHZeDwDg_17_9"/>
      <w:bookmarkStart w:id="498" w:name="Tc_mOH3BdBqaku2MI5o0vjhLQ_17_6"/>
      <w:bookmarkStart w:id="499" w:name="Tc_CO_8sHVdAU6UJgJV5sIzjw_17_3"/>
      <w:bookmarkStart w:id="500" w:name="Tc_nYV4rW5ZZEq7MXeBRm00Yg_17_0"/>
      <w:bookmarkStart w:id="501" w:name="Tc_aSpd1bxfrkO_JvmQJPC56w_16_12"/>
      <w:bookmarkStart w:id="502" w:name="Tc_0VUtz-ExG0qIO3osYqXD5g_16_9"/>
      <w:bookmarkStart w:id="503" w:name="Tc_AO1FuUrK0kGNhcxo4XK25Q_16_6"/>
      <w:bookmarkStart w:id="504" w:name="Tc__Ml_qyCzo0qZ8Xq0SPQirA_16_3"/>
      <w:bookmarkStart w:id="505" w:name="Tc_Xrazc2Z1002iMr8O3blW3w_16_0"/>
      <w:bookmarkStart w:id="506" w:name="Tc_4WA9pGvG0k2b4Bgn4IoOLQ_15_15"/>
      <w:bookmarkStart w:id="507" w:name="Tc_xEpgNpwWlEG7PheKH8d9bA_15_9"/>
      <w:bookmarkStart w:id="508" w:name="Tc_sHxBwpAz1k-dvfyokR8n9g_15_6"/>
      <w:bookmarkStart w:id="509" w:name="Tc_QBXT4aDhZkOta3HtoJaTqg_15_3"/>
      <w:bookmarkStart w:id="510" w:name="Tc_fuJ6LucBc0ig--2A6idoHA_15_0"/>
      <w:bookmarkStart w:id="511" w:name="Tc_lxpewE0LREKZlef_aXhTBg_14_0"/>
      <w:bookmarkStart w:id="512" w:name="Tc_r0_QVxsQBECFKSsNER1dIQ_13_15"/>
      <w:bookmarkStart w:id="513" w:name="Tc_T1uUOg3vGEucA3hMj--UAA_13_0"/>
      <w:bookmarkStart w:id="514" w:name="Tc_3XrAFr661Uqxdz7wUeF3Fg_12_15"/>
      <w:bookmarkStart w:id="515" w:name="Tc_EO8iXRW9jUS979kzfdQOBQ_12_12"/>
      <w:bookmarkStart w:id="516" w:name="Tc_I6yvb5I_LkKPwL9TQx2Cfg_12_6"/>
      <w:bookmarkStart w:id="517" w:name="Tc_d6yR-WZ8sUuykELGx34c-A_12_3"/>
      <w:bookmarkStart w:id="518" w:name="Tc_xIUy5LIgbEGe_0IIHVLlDQ_12_0"/>
      <w:bookmarkStart w:id="519" w:name="Tc_mO6s2nGKFEmuSBkr9FEw8Q_11_15"/>
      <w:bookmarkStart w:id="520" w:name="Tc_IEIku9hnQUqM5Ol9UNe2DQ_11_12"/>
      <w:bookmarkStart w:id="521" w:name="Tc_eh-9jGF1CkOSmNi0sVyj5A_11_6"/>
      <w:bookmarkStart w:id="522" w:name="Tc_zrFMkmxD3EuCt5P9Et6vCg_11_0"/>
      <w:bookmarkStart w:id="523" w:name="Tc_T4sH70nKvESWv_aWqzV_lA_10_15"/>
      <w:bookmarkStart w:id="524" w:name="Tc_GGJBO8BMykWh02csnSqiOg_10_12"/>
      <w:bookmarkStart w:id="525" w:name="Tc_gd4bRQfoQ0K0sMRR64_foA_10_6"/>
      <w:bookmarkStart w:id="526" w:name="Tc_8n0v8uvNRUqPpd2QU4FBGg_10_0"/>
      <w:bookmarkStart w:id="527" w:name="Tc_18gUnsPnAkeyOB9awfr7xQ_9_15"/>
      <w:bookmarkStart w:id="528" w:name="Tc_xoXXIs3rKEW1OY8Mh5P_tA_9_12"/>
      <w:bookmarkStart w:id="529" w:name="Tc_Qv9FcMXTsEKPn8TGfd4ftA_9_6"/>
      <w:bookmarkStart w:id="530" w:name="Tc_u-Rp8aIalkGBhRtR6_AT9A_9_0"/>
      <w:bookmarkStart w:id="531" w:name="Tc_0fpKFJgJsE2D_LyRuQXGow_8_12"/>
      <w:bookmarkStart w:id="532" w:name="Tc_KWcZH50Vu0qJGhPdO4savg_8_9"/>
      <w:bookmarkStart w:id="533" w:name="Tc_dLl8YjxfVkOMGcagP-apYQ_8_6"/>
      <w:bookmarkStart w:id="534" w:name="Tc_-wS_aH7bVEaaBKuiwrwijg_8_3"/>
      <w:bookmarkStart w:id="535" w:name="Tc_VNJss1sd10CJ0e1Dy-9zRg_8_0"/>
      <w:bookmarkStart w:id="536" w:name="Tc_7Hiz1Ohfq0-atf6H0a1zew_7_12"/>
      <w:bookmarkStart w:id="537" w:name="Tc_VPTLpiNQUUqv-7vBMOs-GA_7_9"/>
      <w:bookmarkStart w:id="538" w:name="Tc_dOhFHnq71UiZSXmgeOWJWw_7_6"/>
      <w:bookmarkStart w:id="539" w:name="Tc_GrOwg26AWkm9tjUOsM-Q_A_7_3"/>
      <w:bookmarkStart w:id="540" w:name="Tc_IgKaUiIK60-O1ZHRHxpBdA_7_0"/>
      <w:bookmarkStart w:id="541" w:name="Tc_4xtWZP7bAUy9Rm-4Ua_uBA_6_15"/>
      <w:bookmarkStart w:id="542" w:name="Tc_9a5zvg8z406-lp7U7zFJ1A_6_9"/>
      <w:bookmarkStart w:id="543" w:name="Tc_imyOA5jJJ02kvTxex0EmQw_6_6"/>
      <w:bookmarkStart w:id="544" w:name="Tc_eVO7tj6M6UWYYwF5VT9Ksw_6_3"/>
      <w:bookmarkStart w:id="545" w:name="Tc_NsU19nHkyUOVmYT2cjqSxw_6_0"/>
      <w:bookmarkStart w:id="546" w:name="Tc_g2r3MX59IU-YGr5iYfjjmg_5_17"/>
      <w:bookmarkStart w:id="547" w:name="Tc_pWQ3rG0Ig0ugA-yQ85UAEA_5_14"/>
      <w:bookmarkStart w:id="548" w:name="Tc_fnrCq0m1aUGTmUEtLEt49A_5_11"/>
      <w:bookmarkStart w:id="549" w:name="Tc_M1yInzEnv0-qrewJoC1u8w_5_8"/>
      <w:bookmarkStart w:id="550" w:name="Tc_q8K-AdUe00me1VDYKxwecg_5_5"/>
      <w:bookmarkStart w:id="551" w:name="Tc_eRQacas0NEqcH5swV0OyHA_5_0"/>
      <w:bookmarkStart w:id="552" w:name="Tc_tMRBnq_t_EOrcMBX84CqHw_4_17"/>
      <w:bookmarkStart w:id="553" w:name="Tc__PAk8O6WxkaqkvdJxVCJsw_4_14"/>
      <w:bookmarkStart w:id="554" w:name="Tc_M2nyBsETxkSRpOdb8Q_Osg_4_11"/>
      <w:bookmarkStart w:id="555" w:name="Tc_rz3jRD8240uKbmdNEmlDWQ_4_8"/>
      <w:bookmarkStart w:id="556" w:name="Tc_wujpJMW64kCGvkoV_9P70A_4_5"/>
      <w:bookmarkStart w:id="557" w:name="Tc_z8KDhGLUtUWXGPy5pd3hsA_4_3"/>
      <w:bookmarkStart w:id="558" w:name="Tc_yD4it5vL8E6WvQCd6poXfg_3_17"/>
      <w:bookmarkStart w:id="559" w:name="Tc_PutBz9KJgU6wbNaVXngYWw_3_14"/>
      <w:bookmarkStart w:id="560" w:name="Tc_FHEj-sFleU-2DQUf9TXR4g_3_11"/>
      <w:bookmarkStart w:id="561" w:name="Tc_u7U5KwMaSkOdBGvNBZTS_w_3_8"/>
      <w:bookmarkStart w:id="562" w:name="Tc_AN7RM-2iP0W3vD88vAiYfA_3_3"/>
      <w:bookmarkStart w:id="563" w:name="Tc_wB3omFns0U2n70lv_QYezw_2_17"/>
      <w:bookmarkStart w:id="564" w:name="Tc_IkwaGvInJk-gdeo_0PBCSA_2_14"/>
      <w:bookmarkStart w:id="565" w:name="Tc_aWrqjiEZ8EacIum4L91OFw_2_11"/>
      <w:bookmarkStart w:id="566" w:name="Tc_0dnrAGEU0kWOBVPD7piNmA_2_8"/>
      <w:bookmarkStart w:id="567" w:name="Tc_rkJ6bcZEaEqxEHQ6nYHqVg_1_14"/>
      <w:bookmarkStart w:id="568" w:name="Tc_WtoUO6VYYE2vjulm_sWYDQ_1_11"/>
      <w:bookmarkStart w:id="569" w:name="_f1f9239d_5d93_4971_abfc_545262dfba19"/>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tbl>
      <w:tblPr>
        <w:tblW w:w="10205" w:type="dxa"/>
        <w:jc w:val="left"/>
        <w:tblInd w:w="0" w:type="dxa"/>
        <w:tblLayout w:type="fixed"/>
        <w:tblCellMar>
          <w:top w:w="0" w:type="dxa"/>
          <w:left w:w="0" w:type="dxa"/>
          <w:bottom w:w="0" w:type="dxa"/>
          <w:right w:w="0" w:type="dxa"/>
        </w:tblCellMar>
      </w:tblPr>
      <w:tblGrid>
        <w:gridCol w:w="2260"/>
        <w:gridCol w:w="326"/>
        <w:gridCol w:w="109"/>
        <w:gridCol w:w="680"/>
        <w:gridCol w:w="326"/>
        <w:gridCol w:w="261"/>
        <w:gridCol w:w="430"/>
        <w:gridCol w:w="326"/>
        <w:gridCol w:w="211"/>
        <w:gridCol w:w="785"/>
        <w:gridCol w:w="326"/>
        <w:gridCol w:w="223"/>
        <w:gridCol w:w="828"/>
        <w:gridCol w:w="326"/>
        <w:gridCol w:w="304"/>
        <w:gridCol w:w="912"/>
        <w:gridCol w:w="326"/>
        <w:gridCol w:w="223"/>
        <w:gridCol w:w="830"/>
        <w:gridCol w:w="193"/>
      </w:tblGrid>
      <w:tr>
        <w:trPr/>
        <w:tc>
          <w:tcPr>
            <w:tcW w:w="2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0" cy="175260"/>
                      <wp:effectExtent l="0" t="0" r="0" b="0"/>
                      <wp:wrapNone/>
                      <wp:docPr id="63" name="Frame63"/>
                      <a:graphic xmlns:a="http://schemas.openxmlformats.org/drawingml/2006/main">
                        <a:graphicData uri="http://schemas.microsoft.com/office/word/2010/wordprocessingShape">
                          <wps:wsp>
                            <wps:cNvSpPr txBox="1"/>
                            <wps:spPr>
                              <a:xfrm>
                                <a:off x="0" y="0"/>
                                <a:ext cx="143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1800" cy="175260"/>
                      <wp:effectExtent l="0" t="0" r="0" b="0"/>
                      <wp:wrapNone/>
                      <wp:docPr id="66" name="Frame6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5735" cy="175260"/>
                      <wp:effectExtent l="0" t="0" r="0" b="0"/>
                      <wp:wrapNone/>
                      <wp:docPr id="68" name="Frame6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73050" cy="175260"/>
                      <wp:effectExtent l="0" t="0" r="0" b="0"/>
                      <wp:wrapNone/>
                      <wp:docPr id="69" name="Frame6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8475" cy="175260"/>
                      <wp:effectExtent l="0" t="0" r="0" b="0"/>
                      <wp:wrapNone/>
                      <wp:docPr id="72" name="Frame72"/>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41605" cy="175260"/>
                      <wp:effectExtent l="0" t="0" r="0" b="0"/>
                      <wp:wrapNone/>
                      <wp:docPr id="74" name="Frame7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5780" cy="175260"/>
                      <wp:effectExtent l="0" t="0" r="0" b="0"/>
                      <wp:wrapNone/>
                      <wp:docPr id="75" name="Frame7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93040" cy="175260"/>
                      <wp:effectExtent l="0" t="0" r="0" b="0"/>
                      <wp:wrapNone/>
                      <wp:docPr id="77" name="Frame77"/>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79120" cy="175260"/>
                      <wp:effectExtent l="0" t="0" r="0" b="0"/>
                      <wp:wrapNone/>
                      <wp:docPr id="78" name="Frame7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1605" cy="175260"/>
                      <wp:effectExtent l="0" t="0" r="0" b="0"/>
                      <wp:wrapNone/>
                      <wp:docPr id="80" name="Frame8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27050" cy="175260"/>
                      <wp:effectExtent l="0" t="0" r="0" b="0"/>
                      <wp:wrapNone/>
                      <wp:docPr id="81" name="Frame81"/>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2555" cy="175260"/>
                      <wp:effectExtent l="0" t="0" r="0" b="0"/>
                      <wp:wrapNone/>
                      <wp:docPr id="82" name="Frame82"/>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223" w:type="dxa"/>
            <w:tcBorders/>
            <w:vAlign w:val="center"/>
          </w:tcPr>
          <w:p>
            <w:pPr>
              <w:pStyle w:val="TableContents"/>
              <w:bidi w:val="0"/>
              <w:spacing w:before="0" w:after="0"/>
              <w:ind w:left="0" w:right="0" w:hanging="0"/>
              <w:jc w:val="center"/>
              <w:rPr/>
            </w:pPr>
            <w:r>
              <w:rPr/>
              <w:t>​</w:t>
            </w:r>
          </w:p>
        </w:tc>
        <w:tc>
          <w:tcPr>
            <w:tcW w:w="830"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center"/>
              <w:rPr/>
            </w:pPr>
            <w:r>
              <w:rPr/>
              <w:t> </w:t>
            </w:r>
          </w:p>
        </w:tc>
      </w:tr>
      <w:tr>
        <w:trPr/>
        <w:tc>
          <w:tcPr>
            <w:tcW w:w="22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 /</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0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3" w:type="dxa"/>
            <w:tcBorders/>
            <w:vAlign w:val="center"/>
          </w:tcPr>
          <w:p>
            <w:pPr>
              <w:pStyle w:val="TableContents"/>
              <w:bidi w:val="0"/>
              <w:spacing w:before="0" w:after="0"/>
              <w:ind w:left="0" w:right="0" w:hanging="0"/>
              <w:jc w:val="center"/>
              <w:rPr/>
            </w:pPr>
            <w:r>
              <w:rPr/>
              <w:t> </w:t>
            </w:r>
          </w:p>
        </w:tc>
      </w:tr>
      <w:tr>
        <w:trPr/>
        <w:tc>
          <w:tcPr>
            <w:tcW w:w="22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9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9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93" w:type="dxa"/>
            <w:tcBorders/>
            <w:vAlign w:val="center"/>
          </w:tcPr>
          <w:p>
            <w:pPr>
              <w:pStyle w:val="TableContents"/>
              <w:bidi w:val="0"/>
              <w:spacing w:before="0" w:after="0"/>
              <w:ind w:left="0" w:right="0" w:hanging="0"/>
              <w:jc w:val="center"/>
              <w:rPr/>
            </w:pPr>
            <w:r>
              <w:rPr/>
              <w:t> </w:t>
            </w:r>
          </w:p>
        </w:tc>
      </w:tr>
      <w:tr>
        <w:trPr/>
        <w:tc>
          <w:tcPr>
            <w:tcW w:w="22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0"/>
              <w:ind w:left="0" w:right="0" w:hanging="0"/>
              <w:jc w:val="center"/>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93" w:type="dxa"/>
            <w:tcBorders/>
            <w:vAlign w:val="center"/>
          </w:tcPr>
          <w:p>
            <w:pPr>
              <w:pStyle w:val="TableContents"/>
              <w:bidi w:val="0"/>
              <w:spacing w:before="0" w:after="0"/>
              <w:ind w:left="0" w:right="0" w:hanging="0"/>
              <w:jc w:val="center"/>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570,102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(91,969)</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481,602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98,650</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98,650</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pension obligation, net of tax</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stock under Employee Stock Purchase Plan</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common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(20,588)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(29,403)</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33,240</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559,883</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(22,722)</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538,959</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183,079</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pension obligation,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stock under Employee Stock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common shares</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(9,907)</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13,444</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(16,030)</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(41,465)</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(57,495)</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32,775</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550,299</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118,892</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667,256</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246,263</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246,263</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pension obligation, net of tax</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stock under Employee Stock Purchase Plan</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common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 </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righ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(16,611)</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right"/>
              <w:rPr/>
            </w:pPr>
            <w:r>
              <w:rPr/>
              <w:t> </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18,269</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2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righ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18,269</w:t>
            </w:r>
          </w:p>
        </w:tc>
        <w:tc>
          <w:tcPr>
            <w:tcW w:w="193" w:type="dxa"/>
            <w:tcBorders/>
            <w:vAlign w:val="center"/>
          </w:tcPr>
          <w:p>
            <w:pPr>
              <w:pStyle w:val="TableContents"/>
              <w:bidi w:val="0"/>
              <w:spacing w:before="0" w:after="0"/>
              <w:ind w:left="0" w:right="0" w:hanging="0"/>
              <w:jc w:val="left"/>
              <w:rPr/>
            </w:pPr>
            <w:r>
              <w:rPr/>
              <w:t>​</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(45,649)</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(52,499)</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32,685</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547,189</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319,506</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864,882</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center"/>
        <w:rPr>
          <w:rFonts w:ascii="Times New Roman;Times;serif" w:hAnsi="Times New Roman;Times;serif"/>
          <w:b/>
          <w:sz w:val="20"/>
        </w:rPr>
      </w:pPr>
      <w:bookmarkStart w:id="570" w:name="_1728bf60_fe51_462c_a886_b9e1ba93a512"/>
      <w:bookmarkEnd w:id="570"/>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571" w:name="ConsolidatedStatementsofCashFlow_556249"/>
      <w:bookmarkStart w:id="572" w:name="StatementsofCashFlow_454915"/>
      <w:bookmarkEnd w:id="571"/>
      <w:bookmarkEnd w:id="572"/>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73" w:name="Tc_gIaTNPqLkU-k-y3O3whM2g_47_8"/>
      <w:bookmarkStart w:id="574" w:name="Tc_WB4nGi_z_UuZyJbCaTemdw_47_5"/>
      <w:bookmarkStart w:id="575" w:name="Tc_2MgiwjNxkE6zvTFIpwz3CQ_47_2"/>
      <w:bookmarkStart w:id="576" w:name="Tc_1x6HpxfrL0izoTn7IFezFQ_47_0"/>
      <w:bookmarkStart w:id="577" w:name="Tc_1655rvvL2U-usRslE2uEXg_46_8"/>
      <w:bookmarkStart w:id="578" w:name="Tc_X3zgCMsAMUuk2pYr5mtaVg_46_5"/>
      <w:bookmarkStart w:id="579" w:name="Tc_-NyCDHQjdEOUQp0qSnQZ-g_46_2"/>
      <w:bookmarkStart w:id="580" w:name="Tc_shziD5H8mU2kxBv-sB9ruQ_46_0"/>
      <w:bookmarkStart w:id="581" w:name="Tc_Xu0ztYiytEGuRuidkVx05w_45_0"/>
      <w:bookmarkStart w:id="582" w:name="Tc_697nbsiCKUqSoTiJskNbIA_44_0"/>
      <w:bookmarkStart w:id="583" w:name="Tc_XeASCMaPTkeqYk9X9pigGQ_42_8"/>
      <w:bookmarkStart w:id="584" w:name="Tc_6E7VQVps5UmTH_fhlCoBBA_42_5"/>
      <w:bookmarkStart w:id="585" w:name="Tc_5dCBqnqiE0ydJu0WCIjx8Q_42_2"/>
      <w:bookmarkStart w:id="586" w:name="Tc_liQRIDjxuk2qD2B_MHCUTg_42_0"/>
      <w:bookmarkStart w:id="587" w:name="Tc_yHOwoYoEFkabbsnrDHkcsw_41_0"/>
      <w:bookmarkStart w:id="588" w:name="Tc_6UAgO6PbBEKWc4xHgErJWg_39_0"/>
      <w:bookmarkStart w:id="589" w:name="Tc_4VDIsbZLDUOFz8XLoES2Gw_38_0"/>
      <w:bookmarkStart w:id="590" w:name="Tc_lPCacNYUmE2f8zqlBKpV0A_36_0"/>
      <w:bookmarkStart w:id="591" w:name="Tc_Hzf0O24buUe58EHMPlQ4cQ_35_0"/>
      <w:bookmarkStart w:id="592" w:name="Tc_7cbLSCuU7kKvBdvlqvjdoQ_34_0"/>
      <w:bookmarkStart w:id="593" w:name="Tc_UEa8jMXtMUez67MJm-xZ7Q_33_0"/>
      <w:bookmarkStart w:id="594" w:name="Tc_j0eGOeV9IUWGkzAnqY2UYg_32_0"/>
      <w:bookmarkStart w:id="595" w:name="Tc_qckbXxfyDkSve4i_aoeGVQ_31_0"/>
      <w:bookmarkStart w:id="596" w:name="Tc_jhJjjYerFU2FHbW4OX35TQ_30_0"/>
      <w:bookmarkStart w:id="597" w:name="Tc_X87VSYMIik2PWMNlleDw7Q_28_0"/>
      <w:bookmarkStart w:id="598" w:name="Tc_36hXbzRZJkWgnynwlfez9g_27_9"/>
      <w:bookmarkStart w:id="599" w:name="Tc_b5qIb-WDLkCWy-8cM7lHgQ_27_6"/>
      <w:bookmarkStart w:id="600" w:name="Tc_g-5ND18AwUG77uCIXhLL2A_27_0"/>
      <w:bookmarkStart w:id="601" w:name="Tc_-kzc9BYdakSZwE9B26cj2A_26_9"/>
      <w:bookmarkStart w:id="602" w:name="Tc_P66m39PSykW3sOzrCVoyWg_26_0"/>
      <w:bookmarkStart w:id="603" w:name="Tc_Ghac7tV8ukKWT7Kpn-lVNA_25_0"/>
      <w:bookmarkStart w:id="604" w:name="Tc_TEs-UyyI2UCw40O1xG7AXw_24_0"/>
      <w:bookmarkStart w:id="605" w:name="Tc_ByYWMqnBs0i8fnnGwTD2pw_22_0"/>
      <w:bookmarkStart w:id="606" w:name="Tc_n2FaShAZd0SqZwJk0e_nrQ_21_0"/>
      <w:bookmarkStart w:id="607" w:name="Tc_M-w5JUtn2022pgQY2_OvnQ_20_0"/>
      <w:bookmarkStart w:id="608" w:name="Tc_TdBlxnqwK0OZILltHEUUwg_19_0"/>
      <w:bookmarkStart w:id="609" w:name="Tc_E_qIba-svU6ZSP8P9Vu8RA_18_0"/>
      <w:bookmarkStart w:id="610" w:name="Tc_7clhTvcqN06i1hkmZoW1Mg_17_0"/>
      <w:bookmarkStart w:id="611" w:name="Tc__QZ6pPOiD0iWEw__dp_nUA_16_0"/>
      <w:bookmarkStart w:id="612" w:name="Tc_PF8CkcjdHkWchyRIPrifWw_15_0"/>
      <w:bookmarkStart w:id="613" w:name="Tc_-D9EuRxRxUygTqRD9oMNig_14_0"/>
      <w:bookmarkStart w:id="614" w:name="Tc_ufr8Kni0T0W1pMflmLqUQg_13_9"/>
      <w:bookmarkStart w:id="615" w:name="Tc_QWrLJOJk-kmH5A7bm7i7Jw_13_0"/>
      <w:bookmarkStart w:id="616" w:name="Tc_-V3RNcqFuUyGG8PzZ95KUA_12_9"/>
      <w:bookmarkStart w:id="617" w:name="Tc_wjuO9lcroUWqioTVWRCGsQ_12_6"/>
      <w:bookmarkStart w:id="618" w:name="Tc_iVqZChGGXUC5n_DU9kZISg_12_0"/>
      <w:bookmarkStart w:id="619" w:name="Tc_4J9tVpu3PUWxdMFnVOWW7g_11_0"/>
      <w:bookmarkStart w:id="620" w:name="Tc_YjAFl6KDAUGf4Z_C64FH5A_10_9"/>
      <w:bookmarkStart w:id="621" w:name="Tc_Kjdv5vVtMEOKHirh-ip3Og_10_6"/>
      <w:bookmarkStart w:id="622" w:name="Tc_vyFU-tDv9kWGl645JqF3BA_10_0"/>
      <w:bookmarkStart w:id="623" w:name="Tc_D45I_g8FuEmrSLwc9SmYtg_9_0"/>
      <w:bookmarkStart w:id="624" w:name="Tc_pop8gd9MTEu-jD38e6TAUA_8_0"/>
      <w:bookmarkStart w:id="625" w:name="Tc_7is_ZYHcskmyQA9hvChvDQ_7_0"/>
      <w:bookmarkStart w:id="626" w:name="Tc_gs_lD2UOAEmuYs66MuJpzA_6_0"/>
      <w:bookmarkStart w:id="627" w:name="Tc_V1M5MEveDUiLwgfc-BTRDg_5_8"/>
      <w:bookmarkStart w:id="628" w:name="Tc_Fs_zVyDUOE6m67eYowZMpQ_5_5"/>
      <w:bookmarkStart w:id="629" w:name="Tc_Dgzjv2NalkaaPgrD1U5A7A_5_2"/>
      <w:bookmarkStart w:id="630" w:name="Tc_42mPK25vnke2lIevCspwSg_5_0"/>
      <w:bookmarkStart w:id="631" w:name="Tc_zsBUBGAS9kKPWhxgH77mVA_4_0"/>
      <w:bookmarkStart w:id="632" w:name="Tc_AzpW9ErCDEaKH73iAXQ8Wg_3_8"/>
      <w:bookmarkStart w:id="633" w:name="Tc_i-FKWha8PEqdqrsSmq20GQ_3_5"/>
      <w:bookmarkStart w:id="634" w:name="Tc_HxHRAdhgv0ulF_USt37Qlw_3_2"/>
      <w:bookmarkStart w:id="635" w:name="Tc_FVVRcyTif0-R3ta32VkBpQ_2_2"/>
      <w:bookmarkStart w:id="636" w:name="Tc_p7vs1X9vZEi-yikOzjYpnw_1_2"/>
      <w:bookmarkStart w:id="637" w:name="_e8e54cfc_5455_4c7f_95ec_e50d299f89ab"/>
      <w:bookmarkStart w:id="638" w:name="Tc_gIaTNPqLkU-k-y3O3whM2g_47_8"/>
      <w:bookmarkStart w:id="639" w:name="Tc_WB4nGi_z_UuZyJbCaTemdw_47_5"/>
      <w:bookmarkStart w:id="640" w:name="Tc_2MgiwjNxkE6zvTFIpwz3CQ_47_2"/>
      <w:bookmarkStart w:id="641" w:name="Tc_1x6HpxfrL0izoTn7IFezFQ_47_0"/>
      <w:bookmarkStart w:id="642" w:name="Tc_1655rvvL2U-usRslE2uEXg_46_8"/>
      <w:bookmarkStart w:id="643" w:name="Tc_X3zgCMsAMUuk2pYr5mtaVg_46_5"/>
      <w:bookmarkStart w:id="644" w:name="Tc_-NyCDHQjdEOUQp0qSnQZ-g_46_2"/>
      <w:bookmarkStart w:id="645" w:name="Tc_shziD5H8mU2kxBv-sB9ruQ_46_0"/>
      <w:bookmarkStart w:id="646" w:name="Tc_Xu0ztYiytEGuRuidkVx05w_45_0"/>
      <w:bookmarkStart w:id="647" w:name="Tc_697nbsiCKUqSoTiJskNbIA_44_0"/>
      <w:bookmarkStart w:id="648" w:name="Tc_XeASCMaPTkeqYk9X9pigGQ_42_8"/>
      <w:bookmarkStart w:id="649" w:name="Tc_6E7VQVps5UmTH_fhlCoBBA_42_5"/>
      <w:bookmarkStart w:id="650" w:name="Tc_5dCBqnqiE0ydJu0WCIjx8Q_42_2"/>
      <w:bookmarkStart w:id="651" w:name="Tc_liQRIDjxuk2qD2B_MHCUTg_42_0"/>
      <w:bookmarkStart w:id="652" w:name="Tc_yHOwoYoEFkabbsnrDHkcsw_41_0"/>
      <w:bookmarkStart w:id="653" w:name="Tc_6UAgO6PbBEKWc4xHgErJWg_39_0"/>
      <w:bookmarkStart w:id="654" w:name="Tc_4VDIsbZLDUOFz8XLoES2Gw_38_0"/>
      <w:bookmarkStart w:id="655" w:name="Tc_lPCacNYUmE2f8zqlBKpV0A_36_0"/>
      <w:bookmarkStart w:id="656" w:name="Tc_Hzf0O24buUe58EHMPlQ4cQ_35_0"/>
      <w:bookmarkStart w:id="657" w:name="Tc_7cbLSCuU7kKvBdvlqvjdoQ_34_0"/>
      <w:bookmarkStart w:id="658" w:name="Tc_UEa8jMXtMUez67MJm-xZ7Q_33_0"/>
      <w:bookmarkStart w:id="659" w:name="Tc_j0eGOeV9IUWGkzAnqY2UYg_32_0"/>
      <w:bookmarkStart w:id="660" w:name="Tc_qckbXxfyDkSve4i_aoeGVQ_31_0"/>
      <w:bookmarkStart w:id="661" w:name="Tc_jhJjjYerFU2FHbW4OX35TQ_30_0"/>
      <w:bookmarkStart w:id="662" w:name="Tc_X87VSYMIik2PWMNlleDw7Q_28_0"/>
      <w:bookmarkStart w:id="663" w:name="Tc_36hXbzRZJkWgnynwlfez9g_27_9"/>
      <w:bookmarkStart w:id="664" w:name="Tc_b5qIb-WDLkCWy-8cM7lHgQ_27_6"/>
      <w:bookmarkStart w:id="665" w:name="Tc_g-5ND18AwUG77uCIXhLL2A_27_0"/>
      <w:bookmarkStart w:id="666" w:name="Tc_-kzc9BYdakSZwE9B26cj2A_26_9"/>
      <w:bookmarkStart w:id="667" w:name="Tc_P66m39PSykW3sOzrCVoyWg_26_0"/>
      <w:bookmarkStart w:id="668" w:name="Tc_Ghac7tV8ukKWT7Kpn-lVNA_25_0"/>
      <w:bookmarkStart w:id="669" w:name="Tc_TEs-UyyI2UCw40O1xG7AXw_24_0"/>
      <w:bookmarkStart w:id="670" w:name="Tc_ByYWMqnBs0i8fnnGwTD2pw_22_0"/>
      <w:bookmarkStart w:id="671" w:name="Tc_n2FaShAZd0SqZwJk0e_nrQ_21_0"/>
      <w:bookmarkStart w:id="672" w:name="Tc_M-w5JUtn2022pgQY2_OvnQ_20_0"/>
      <w:bookmarkStart w:id="673" w:name="Tc_TdBlxnqwK0OZILltHEUUwg_19_0"/>
      <w:bookmarkStart w:id="674" w:name="Tc_E_qIba-svU6ZSP8P9Vu8RA_18_0"/>
      <w:bookmarkStart w:id="675" w:name="Tc_7clhTvcqN06i1hkmZoW1Mg_17_0"/>
      <w:bookmarkStart w:id="676" w:name="Tc__QZ6pPOiD0iWEw__dp_nUA_16_0"/>
      <w:bookmarkStart w:id="677" w:name="Tc_PF8CkcjdHkWchyRIPrifWw_15_0"/>
      <w:bookmarkStart w:id="678" w:name="Tc_-D9EuRxRxUygTqRD9oMNig_14_0"/>
      <w:bookmarkStart w:id="679" w:name="Tc_ufr8Kni0T0W1pMflmLqUQg_13_9"/>
      <w:bookmarkStart w:id="680" w:name="Tc_QWrLJOJk-kmH5A7bm7i7Jw_13_0"/>
      <w:bookmarkStart w:id="681" w:name="Tc_-V3RNcqFuUyGG8PzZ95KUA_12_9"/>
      <w:bookmarkStart w:id="682" w:name="Tc_wjuO9lcroUWqioTVWRCGsQ_12_6"/>
      <w:bookmarkStart w:id="683" w:name="Tc_iVqZChGGXUC5n_DU9kZISg_12_0"/>
      <w:bookmarkStart w:id="684" w:name="Tc_4J9tVpu3PUWxdMFnVOWW7g_11_0"/>
      <w:bookmarkStart w:id="685" w:name="Tc_YjAFl6KDAUGf4Z_C64FH5A_10_9"/>
      <w:bookmarkStart w:id="686" w:name="Tc_Kjdv5vVtMEOKHirh-ip3Og_10_6"/>
      <w:bookmarkStart w:id="687" w:name="Tc_vyFU-tDv9kWGl645JqF3BA_10_0"/>
      <w:bookmarkStart w:id="688" w:name="Tc_D45I_g8FuEmrSLwc9SmYtg_9_0"/>
      <w:bookmarkStart w:id="689" w:name="Tc_pop8gd9MTEu-jD38e6TAUA_8_0"/>
      <w:bookmarkStart w:id="690" w:name="Tc_7is_ZYHcskmyQA9hvChvDQ_7_0"/>
      <w:bookmarkStart w:id="691" w:name="Tc_gs_lD2UOAEmuYs66MuJpzA_6_0"/>
      <w:bookmarkStart w:id="692" w:name="Tc_V1M5MEveDUiLwgfc-BTRDg_5_8"/>
      <w:bookmarkStart w:id="693" w:name="Tc_Fs_zVyDUOE6m67eYowZMpQ_5_5"/>
      <w:bookmarkStart w:id="694" w:name="Tc_Dgzjv2NalkaaPgrD1U5A7A_5_2"/>
      <w:bookmarkStart w:id="695" w:name="Tc_42mPK25vnke2lIevCspwSg_5_0"/>
      <w:bookmarkStart w:id="696" w:name="Tc_zsBUBGAS9kKPWhxgH77mVA_4_0"/>
      <w:bookmarkStart w:id="697" w:name="Tc_AzpW9ErCDEaKH73iAXQ8Wg_3_8"/>
      <w:bookmarkStart w:id="698" w:name="Tc_i-FKWha8PEqdqrsSmq20GQ_3_5"/>
      <w:bookmarkStart w:id="699" w:name="Tc_HxHRAdhgv0ulF_USt37Qlw_3_2"/>
      <w:bookmarkStart w:id="700" w:name="Tc_FVVRcyTif0-R3ta32VkBpQ_2_2"/>
      <w:bookmarkStart w:id="701" w:name="Tc_p7vs1X9vZEi-yikOzjYpnw_1_2"/>
      <w:bookmarkStart w:id="702" w:name="_e8e54cfc_5455_4c7f_95ec_e50d299f89ab"/>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tbl>
      <w:tblPr>
        <w:tblW w:w="10205" w:type="dxa"/>
        <w:jc w:val="left"/>
        <w:tblInd w:w="0" w:type="dxa"/>
        <w:tblLayout w:type="fixed"/>
        <w:tblCellMar>
          <w:top w:w="0" w:type="dxa"/>
          <w:left w:w="0" w:type="dxa"/>
          <w:bottom w:w="0" w:type="dxa"/>
          <w:right w:w="0" w:type="dxa"/>
        </w:tblCellMar>
      </w:tblPr>
      <w:tblGrid>
        <w:gridCol w:w="5827"/>
        <w:gridCol w:w="326"/>
        <w:gridCol w:w="211"/>
        <w:gridCol w:w="891"/>
        <w:gridCol w:w="326"/>
        <w:gridCol w:w="211"/>
        <w:gridCol w:w="891"/>
        <w:gridCol w:w="326"/>
        <w:gridCol w:w="211"/>
        <w:gridCol w:w="793"/>
        <w:gridCol w:w="192"/>
      </w:tblGrid>
      <w:tr>
        <w:trPr/>
        <w:tc>
          <w:tcPr>
            <w:tcW w:w="5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700145" cy="175260"/>
                      <wp:effectExtent l="0" t="0" r="0" b="0"/>
                      <wp:wrapNone/>
                      <wp:docPr id="83" name="Frame83"/>
                      <a:graphic xmlns:a="http://schemas.openxmlformats.org/drawingml/2006/main">
                        <a:graphicData uri="http://schemas.microsoft.com/office/word/2010/wordprocessingShape">
                          <wps:wsp>
                            <wps:cNvSpPr txBox="1"/>
                            <wps:spPr>
                              <a:xfrm>
                                <a:off x="0" y="0"/>
                                <a:ext cx="3700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65785" cy="175260"/>
                      <wp:effectExtent l="0" t="0" r="0" b="0"/>
                      <wp:wrapNone/>
                      <wp:docPr id="86" name="Frame86"/>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5785" cy="175260"/>
                      <wp:effectExtent l="0" t="0" r="0" b="0"/>
                      <wp:wrapNone/>
                      <wp:docPr id="89" name="Frame89"/>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3555" cy="175260"/>
                      <wp:effectExtent l="0" t="0" r="0" b="0"/>
                      <wp:wrapNone/>
                      <wp:docPr id="92" name="Frame9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1920" cy="175260"/>
                      <wp:effectExtent l="0" t="0" r="0" b="0"/>
                      <wp:wrapNone/>
                      <wp:docPr id="93" name="Frame9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6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Twelve months ended</w:t>
            </w:r>
          </w:p>
        </w:tc>
        <w:tc>
          <w:tcPr>
            <w:tcW w:w="192" w:type="dxa"/>
            <w:tcBorders/>
            <w:vAlign w:val="center"/>
          </w:tcPr>
          <w:p>
            <w:pPr>
              <w:pStyle w:val="TableContents"/>
              <w:bidi w:val="0"/>
              <w:spacing w:before="0" w:after="0"/>
              <w:ind w:left="0" w:right="0" w:hanging="0"/>
              <w:jc w:val="center"/>
              <w:rPr/>
            </w:pPr>
            <w:r>
              <w:rPr/>
              <w:t> </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2" w:type="dxa"/>
            <w:tcBorders/>
            <w:vAlign w:val="center"/>
          </w:tcPr>
          <w:p>
            <w:pPr>
              <w:pStyle w:val="TableContents"/>
              <w:bidi w:val="0"/>
              <w:spacing w:before="0" w:after="0"/>
              <w:ind w:left="0" w:right="0" w:hanging="0"/>
              <w:jc w:val="center"/>
              <w:rPr/>
            </w:pPr>
            <w:r>
              <w:rPr/>
              <w:t> </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2" w:type="dxa"/>
            <w:tcBorders/>
            <w:vAlign w:val="center"/>
          </w:tcPr>
          <w:p>
            <w:pPr>
              <w:pStyle w:val="TableContents"/>
              <w:bidi w:val="0"/>
              <w:spacing w:before="0" w:after="0"/>
              <w:ind w:left="0" w:right="0" w:hanging="0"/>
              <w:jc w:val="center"/>
              <w:rPr/>
            </w:pPr>
            <w:r>
              <w:rPr/>
              <w:t> </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98,650</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10,818</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12,067</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doubtful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excess and obsolete 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3,755</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discounts and premiums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loss on foreign denominated transactions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(18,146)</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45,385</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150,190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plant and equipment and capitalized software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(8,718)</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settlement on restricted stock grants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Employee Stock Purchase Plan purchases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payments on finance lease obligation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3,687</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(52,453)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91,448</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295,680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204,232</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295,680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c>
          <w:tcPr>
            <w:tcW w:w="192" w:type="dxa"/>
            <w:tcBorders/>
            <w:vAlign w:val="center"/>
          </w:tcPr>
          <w:p>
            <w:pPr>
              <w:pStyle w:val="TableContents"/>
              <w:bidi w:val="0"/>
              <w:spacing w:before="0" w:after="0"/>
              <w:ind w:left="0" w:right="0" w:hanging="0"/>
              <w:jc w:val="left"/>
              <w:rPr/>
            </w:pPr>
            <w:r>
              <w:rPr/>
              <w:t>​</w:t>
            </w:r>
          </w:p>
        </w:tc>
      </w:tr>
      <w:tr>
        <w:trPr/>
        <w:tc>
          <w:tcPr>
            <w:tcW w:w="5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these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before="0" w:after="0"/>
        <w:ind w:left="0" w:right="0" w:hanging="0"/>
        <w:jc w:val="center"/>
        <w:rPr>
          <w:rFonts w:ascii="Times New Roman;Times;serif" w:hAnsi="Times New Roman;Times;serif"/>
          <w:b/>
          <w:sz w:val="20"/>
        </w:rPr>
      </w:pPr>
      <w:bookmarkStart w:id="703" w:name="NotestoConsolidatedFinancialStatements_5"/>
      <w:bookmarkStart w:id="704" w:name="NotestoConsolidatedFinancialStatements_7"/>
      <w:bookmarkEnd w:id="703"/>
      <w:bookmarkEnd w:id="704"/>
      <w:r>
        <w:rPr>
          <w:rFonts w:ascii="Times New Roman;Times;serif" w:hAnsi="Times New Roman;Times;serif"/>
          <w:b/>
          <w:sz w:val="20"/>
        </w:rPr>
        <w:t>Notes to Consolidated Financial Statements</w:t>
      </w:r>
    </w:p>
    <w:p>
      <w:pPr>
        <w:pStyle w:val="TextBody"/>
        <w:bidi w:val="0"/>
        <w:spacing w:before="0" w:after="0"/>
        <w:ind w:left="0" w:right="0" w:hanging="0"/>
        <w:jc w:val="center"/>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Note 1. Nature of Business</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Axcelis Technologies, Inc. (“Axcelis” or the “Company”) was incorporated in Delaware in 1995, and is a worldwide producer of ion implantation and other processing equipment used in the fabrication of semiconductor chips in the United States, Europe and Asia. In addition to equipment, we provide extensive aftermarket lifecycle products and services, including spare parts, equipment upgrades, maintenance services and customer training.</w:t>
      </w:r>
    </w:p>
    <w:p>
      <w:pPr>
        <w:pStyle w:val="TextBody"/>
        <w:bidi w:val="0"/>
        <w:spacing w:before="0" w:after="0"/>
        <w:ind w:left="0" w:right="0" w:firstLine="72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consolidated financial statements reflect the application of certain significant accounting policies as described in this note and elsewhere in the footnotes.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Basis of Presentation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consolidated financial statements include the consolidated accounts of the Company and its wholly-owned, controlled subsidiaries. All intercompany balances and transactions have been eliminated in consolidation.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Events occurring subsequent to December 31, 2023 have been evaluated for potential recognition or disclosure in the consolidated financial statements.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these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periods. On an ongoing basis, we evaluate our estimates and judgments, including those related to revenue recognition, the realizable value of accounts receivable and inventories, warranty reserves, valuing stock-based compensation instruments and reserves relating to tax assets and liabilities. Actual amounts could differ from these estimates. Changes in estimates are recorded in the period in which they become known.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          Foreign Currency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 and expenses. The resulting translation adjustments are recorded in stockholders’ equity as an element of accumulated other comprehensive income (loss). Foreign currency transaction gains and losses are included in other income (expense) in the Consolidated Statements of Operations.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years ended December 31, 2023, 2022, and 2021, we had foreign exchange losses of $0.5 million, $6.6 million, and $2.5 million, respectively.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          Cash, Cash Equivalents and Short-term Investments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Cash and cash equivalents consist of cash on hand and highly liquid investments with original maturities of ninety days or less. Cash equivalents consist primarily of money market funds, U.S. Government and Agency Securities and deposit accounts. Cash equivalents are carried on the balance sheet at fair market value. Short-term investments are h</w:t>
      </w:r>
      <w:r>
        <w:rPr>
          <w:rFonts w:ascii="Times New Roman;Times;serif" w:hAnsi="Times New Roman;Times;serif"/>
          <w:sz w:val="20"/>
          <w:shd w:fill="FFFFFF" w:val="clear"/>
        </w:rPr>
        <w:t>ighly liquid investments with original maturities of greater than 90 days but less than one year from date of purchase and are carried on the balance sheet at amortized cost. Our short-term investments consist primarily of U.S. Government and Agency securities and are classified as held-to-maturity based on our positive intent and ability to hold the securities to maturity. Income related to these securities is recorded in interest income in the Consolidated Statements of Operations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          Inventories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Inventories are carried at the lower of cost or net realizable value, determined using the first-in, first-out (“FIFO”) method. We periodically review our inventories and make provisions as necessary for estimated obsolescence or damaged goods to ensure values approximate lower of cost or net realizable value. The amount of such markdowns is equal to the difference between cost of inventory and the estimated market value based upon assumptions about future demands, selling prices, and market conditions.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 a provision for estimated excess inventory. The provision is determined using management’s assumptions of materials usage, based on estimates of demand, market conditions, and the size and utilization of our installed base. If actual market conditions become less favorable than those projected by management, additional inventory write-downs may be required.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          Property, Plant and Equipment and Leased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are stated at cost, less accumulated depreciation and amortization.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January 30, 2015, we sold our corporate headquarters facility. As part of this sale, we also entered into a 22-year lease agreement. We accounted for the sale leaseback transaction as a financing arrangement for financial reporting purposes. We retained the historical costs of the property and the related accumulated depreciation on our financial books within property, plant and equipment and will continue to depreciate the property for financial reporting purposes over the lesser of its remaining useful life or its initial lease term of </w:t>
      </w:r>
      <w:r>
        <w:rPr>
          <w:rFonts w:ascii="Times New Roman;Times;serif" w:hAnsi="Times New Roman;Times;serif"/>
          <w:b w:val="false"/>
          <w:i w:val="false"/>
          <w:caps w:val="false"/>
          <w:smallCaps w:val="false"/>
          <w:sz w:val="20"/>
        </w:rPr>
        <w:t>22 years</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Depreciation and amortization are recorded using the straight-line method over the estimated useful lives of the related assets as follows:</w:t>
      </w:r>
    </w:p>
    <w:p>
      <w:pPr>
        <w:pStyle w:val="TextBody"/>
        <w:bidi w:val="0"/>
        <w:spacing w:before="0" w:after="0"/>
        <w:ind w:left="0" w:right="0" w:firstLine="720"/>
        <w:jc w:val="left"/>
        <w:rPr/>
      </w:pPr>
      <w:r>
        <w:rPr/>
        <w:t>​</w:t>
      </w:r>
    </w:p>
    <w:tbl>
      <w:tblPr>
        <w:tblW w:w="9265" w:type="dxa"/>
        <w:jc w:val="left"/>
        <w:tblInd w:w="0" w:type="dxa"/>
        <w:tblLayout w:type="fixed"/>
        <w:tblCellMar>
          <w:top w:w="0" w:type="dxa"/>
          <w:left w:w="0" w:type="dxa"/>
          <w:bottom w:w="0" w:type="dxa"/>
          <w:right w:w="0" w:type="dxa"/>
        </w:tblCellMar>
      </w:tblPr>
      <w:tblGrid>
        <w:gridCol w:w="3751"/>
        <w:gridCol w:w="326"/>
        <w:gridCol w:w="109"/>
        <w:gridCol w:w="4816"/>
        <w:gridCol w:w="109"/>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81885" cy="175260"/>
                      <wp:effectExtent l="0" t="0" r="0" b="0"/>
                      <wp:wrapNone/>
                      <wp:docPr id="94" name="Frame94"/>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058160" cy="175260"/>
                      <wp:effectExtent l="0" t="0" r="0" b="0"/>
                      <wp:wrapNone/>
                      <wp:docPr id="97" name="Frame9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7790" cy="175260"/>
                      <wp:effectExtent l="0" t="0" r="0" b="0"/>
                      <wp:wrapNone/>
                      <wp:docPr id="99" name="Frame9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 Classification</w:t>
            </w:r>
          </w:p>
        </w:tc>
        <w:tc>
          <w:tcPr>
            <w:tcW w:w="326" w:type="dxa"/>
            <w:tcBorders/>
            <w:vAlign w:val="center"/>
          </w:tcPr>
          <w:p>
            <w:pPr>
              <w:pStyle w:val="TableContents"/>
              <w:bidi w:val="0"/>
              <w:spacing w:before="0" w:after="0"/>
              <w:ind w:left="0" w:right="0" w:hanging="0"/>
              <w:jc w:val="center"/>
              <w:rPr/>
            </w:pPr>
            <w:r>
              <w:rPr/>
              <w:t>    </w:t>
            </w:r>
          </w:p>
        </w:tc>
        <w:tc>
          <w:tcPr>
            <w:tcW w:w="5188" w:type="dxa"/>
            <w:gridSpan w:val="4"/>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Estimated Useful Life</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buildings and equipment (under lease)</w:t>
            </w:r>
          </w:p>
        </w:tc>
        <w:tc>
          <w:tcPr>
            <w:tcW w:w="32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Lesser of the lease term or estimated useful life of the asset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to 10 years</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Repairs and maintenance costs are expensed as incurred. Expenditures greater than $2.5 thousand for renewals and betterments are capitalized and depreciated over their useful lives.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          Impairment of Long-Lived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 impairment losses on long-lived assets when events and circumstances indicate that these assets might not be recoverable. Recoverability is assessed by a comparison of the assets’ carrying amount to their expected future undiscounted net cash flows. If such assets are considered to be impaired, the impairment is measured based on the amount by which the carrying value exceeds its fair value.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did not have any indicators of impairment during the period ending December 31, 2023. We did not record an impairment charge in the years ended December 31, 2023, 2022, or 2021.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Actual performance could be materially different from our current forecasts, which could impact estimates of undiscounted cash flows and may result in the impairment of the carrying amount of the long-lived assets in the future. This could be caused by strategic decisions made in response to economic and competitive conditions, the impact of the economic environment on our customer base, or a material adverse change in our relationships with significant customers.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         Concentration of Risk and Off-Balance Sheet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Financial instruments that potentially subject us to concentrations of credit risk are principally cash equivalents, short-term investments and accounts receivable. Our cash equivalents and short-term investments are principally maintained in investment grade money-market funds, U.S. Government and Agency Securities and deposit accounts.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no significant off-balance-sheet risk such as currency exchange contracts, option contracts or other hedging arrangements.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exposure to market risk for changes in interest rates relates primarily to cash equivalents and short-term investments. The primary objective of our investment activities is to preserve principal without significantly increasing risk. This is accomplished by investing in marketable investment grade securities. We do not use derivative financial instruments to manage our investment portfolio and do not expect operating results or cash flows to be affected to any significant degree by any change in market interest rates.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perform ongoing credit evaluations of our customers’ financial condition and generally require no collateral to secure accounts receivable. For selected overseas sales, we require customers to obtain letters of credit before product is shipped. We maintain an allowance for doubtful accounts based on our assessment of the collectability of accounts receivable. We review the allowance for doubtful accounts quarterly. We do not have any off-balance sheet credit exposure related to our customers.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customers consist of semiconductor chip manufacturers located throughout the world and net sales to our ten largest customers accounted for 51.7%, 59.4% and 69.5% of revenue in 2023, 2022 and 2021,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December 31, 2023, we had no customers representing 10% or greater of total revenue. For the year ended December 31, 2022, we had two customers representing 13.1% and 11.5% of total revenue, respectively. For the year ended December 31, 2021, we had two customers representing 17.8% and 15.4% of total revenue, respectively.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had one customer account for 12.2% of consolidated accounts receivable. As of December 31, 2022, we had two customers account for 19.4% and 11.5% of consolidated accounts receivable, respectively.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Some of the components and sub-assemblies included in our products are obtained either from a sole source or a limited group of suppliers. Disruption to our supply source, resulting either from economic conditions or other factors, could affect our ability to deliver products to our customers.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          Revenue Recognition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revenue in accordance with Accounting Standards Codification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or (“ASC 606”). Under ASC 606, revenue is recognized when a customer obtains control of promised goods or services in an amount that reflects the consideration we expect to receive in exchange for those goods or services. We measure revenue based on the consideration specified in the customer arrangement, and revenue is recognized when the performance obligations in the customer arrangement are satisfied. A performance obligation is a promise in a contract to transfer a distinct product or service to the customer. The transaction price of a contract is allocated to each distinct performance obligation based upon the relative standalone selling price for each performance obligation and recognized as revenue when, or as, the customer receives the benefit of the performance obligation. To account for and measure revenue, we apply the following five steps:</w:t>
      </w:r>
    </w:p>
    <w:p>
      <w:pPr>
        <w:pStyle w:val="TextBody"/>
        <w:bidi w:val="0"/>
        <w:spacing w:before="0" w:after="0"/>
        <w:ind w:left="0" w:right="0" w:hanging="0"/>
        <w:jc w:val="left"/>
        <w:rPr/>
      </w:pPr>
      <w:r>
        <w:rPr/>
        <w:t>​</w:t>
      </w:r>
    </w:p>
    <w:tbl>
      <w:tblPr>
        <w:tblW w:w="3587" w:type="dxa"/>
        <w:jc w:val="left"/>
        <w:tblInd w:w="0" w:type="dxa"/>
        <w:tblLayout w:type="fixed"/>
        <w:tblCellMar>
          <w:top w:w="0" w:type="dxa"/>
          <w:left w:w="0" w:type="dxa"/>
          <w:bottom w:w="0" w:type="dxa"/>
          <w:right w:w="0" w:type="dxa"/>
        </w:tblCellMar>
      </w:tblPr>
      <w:tblGrid>
        <w:gridCol w:w="286"/>
        <w:gridCol w:w="3301"/>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330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Identify the contract with the customer</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 </w:t>
      </w:r>
    </w:p>
    <w:p>
      <w:pPr>
        <w:pStyle w:val="TextBody"/>
        <w:bidi w:val="0"/>
        <w:spacing w:before="100" w:after="100"/>
        <w:ind w:left="0" w:right="0" w:firstLine="720"/>
        <w:jc w:val="left"/>
        <w:rPr/>
      </w:pPr>
      <w:r>
        <w:rPr/>
        <w:t>​</w:t>
      </w:r>
    </w:p>
    <w:tbl>
      <w:tblPr>
        <w:tblW w:w="4682" w:type="dxa"/>
        <w:jc w:val="left"/>
        <w:tblInd w:w="0" w:type="dxa"/>
        <w:tblLayout w:type="fixed"/>
        <w:tblCellMar>
          <w:top w:w="0" w:type="dxa"/>
          <w:left w:w="0" w:type="dxa"/>
          <w:bottom w:w="0" w:type="dxa"/>
          <w:right w:w="0" w:type="dxa"/>
        </w:tblCellMar>
      </w:tblPr>
      <w:tblGrid>
        <w:gridCol w:w="286"/>
        <w:gridCol w:w="4396"/>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439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Identify the performance obligations in the contract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are capable of being distinct and distinct in the context of the contract. If these criteria are not met, the promised goods and services are accounted for as a combined performance obligation.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Systems sales consist of multiple performance obligations, including the system itself and obligations that are not delivered simultaneously with the system. These undelivered obligations might include a combination of installation services, extended warranty and support and spare parts, all of which are generally covered by a single sales price.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Aftermarket business includes both products and services type arrangements. Performance obligations in these contracts consist of used tools, spare parts, equipment upgrades, maintenance services and customer training.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Customers who purchase new systems are provided an assurance-type warranty for one year after acceptance of the tool. For aftermarket transactions, we provide customers an assurance-type warranty for 90 days. Customers can choose to purchase extended warranty terms with enhanced support similar to a service-type warranty ranging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In accordance with ASC 606, assurance-type warranties are not considered a performance obligation, whereas service-type warranties are. </w:t>
      </w:r>
    </w:p>
    <w:p>
      <w:pPr>
        <w:pStyle w:val="TextBody"/>
        <w:bidi w:val="0"/>
        <w:spacing w:before="0" w:after="0"/>
        <w:ind w:left="0" w:right="0" w:firstLine="720"/>
        <w:jc w:val="left"/>
        <w:rPr/>
      </w:pPr>
      <w:r>
        <w:rPr/>
        <w:t>​</w:t>
      </w:r>
    </w:p>
    <w:tbl>
      <w:tblPr>
        <w:tblW w:w="3077" w:type="dxa"/>
        <w:jc w:val="left"/>
        <w:tblInd w:w="0" w:type="dxa"/>
        <w:tblLayout w:type="fixed"/>
        <w:tblCellMar>
          <w:top w:w="0" w:type="dxa"/>
          <w:left w:w="0" w:type="dxa"/>
          <w:bottom w:w="0" w:type="dxa"/>
          <w:right w:w="0" w:type="dxa"/>
        </w:tblCellMar>
      </w:tblPr>
      <w:tblGrid>
        <w:gridCol w:w="286"/>
        <w:gridCol w:w="2791"/>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279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Determine the transaction price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 In applying this guidance, Companies must also consider whether any significant financing components exist.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transaction price for all transactions is based on the price reflected in the individual customer’s purchase order. Variable consideration has not been identified as a significant component of the transaction price for any of our transactions.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those transactions where all performance obligations will be satisfied within one year or less, we apply the practical expedient outlined in ASC 606-10-32-18. This practical expedient allows us not to adjust promised consideration for the effects of a significant financing component if we expect at contract inception that the period between when we transfer the promised good or service to a customer and when the customer pays for that good or service will be one year or less.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 </w:t>
      </w:r>
    </w:p>
    <w:p>
      <w:pPr>
        <w:pStyle w:val="TextBody"/>
        <w:bidi w:val="0"/>
        <w:spacing w:before="0" w:after="0"/>
        <w:ind w:left="0" w:right="0" w:firstLine="720"/>
        <w:jc w:val="left"/>
        <w:rPr/>
      </w:pPr>
      <w:r>
        <w:rPr/>
        <w:t>​</w:t>
      </w:r>
    </w:p>
    <w:tbl>
      <w:tblPr>
        <w:tblW w:w="6407" w:type="dxa"/>
        <w:jc w:val="left"/>
        <w:tblInd w:w="0" w:type="dxa"/>
        <w:tblLayout w:type="fixed"/>
        <w:tblCellMar>
          <w:top w:w="0" w:type="dxa"/>
          <w:left w:w="0" w:type="dxa"/>
          <w:bottom w:w="0" w:type="dxa"/>
          <w:right w:w="0" w:type="dxa"/>
        </w:tblCellMar>
      </w:tblPr>
      <w:tblGrid>
        <w:gridCol w:w="286"/>
        <w:gridCol w:w="6121"/>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612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Allocate the transaction price to performance obligations in the contract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Where required, we determine standalone selling price (“SSP”) for each obligation based on consideration of both market and Company specific factors, including the selling price and profit margin for similar products, the cost to produce, and the anticipated margin.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those contracts that contain multiple performance obligations (primarily systems sales, as well as some aftermarket contracts requiring both time and material inputs), we must determine the SSP. We use a cost plus margin approach in determining the SSP for any materials related performance obligations (such as upgrades, spare parts, systems). To determine the SSP for labor related performance obligations (such as the labor component of installation), we 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directly observable inputs based on the standalone sale prices for these services. </w:t>
      </w:r>
    </w:p>
    <w:p>
      <w:pPr>
        <w:pStyle w:val="TextBody"/>
        <w:bidi w:val="0"/>
        <w:spacing w:before="0" w:after="0"/>
        <w:ind w:left="0" w:right="0" w:hanging="0"/>
        <w:jc w:val="left"/>
        <w:rPr/>
      </w:pPr>
      <w:r>
        <w:rPr/>
        <w:t>​</w:t>
      </w:r>
    </w:p>
    <w:tbl>
      <w:tblPr>
        <w:tblW w:w="6527" w:type="dxa"/>
        <w:jc w:val="left"/>
        <w:tblInd w:w="0" w:type="dxa"/>
        <w:tblLayout w:type="fixed"/>
        <w:tblCellMar>
          <w:top w:w="0" w:type="dxa"/>
          <w:left w:w="0" w:type="dxa"/>
          <w:bottom w:w="0" w:type="dxa"/>
          <w:right w:w="0" w:type="dxa"/>
        </w:tblCellMar>
      </w:tblPr>
      <w:tblGrid>
        <w:gridCol w:w="286"/>
        <w:gridCol w:w="6241"/>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624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Recognize revenue when or as we have satisfied a performance obligation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satisfy performance obligations either over time or at a point in time. Revenue is recognized over time if either 1) 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Examples of control are using the asset to produce goods or services, enhance the value of other assets or settle liabilities, and holding or selling the asset. For over time recognition, ASC 606 requires us to select a single revenue recognition method for the performance obligation that faithfully depicts our performance in transferring control of the goods and services. The guidance allows entities to choose between two methods to measure progress toward complete satisfaction of a performance obligation: </w:t>
      </w:r>
    </w:p>
    <w:p>
      <w:pPr>
        <w:pStyle w:val="TextBody"/>
        <w:bidi w:val="0"/>
        <w:spacing w:before="100" w:after="10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 xml:space="preserve">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produced or units delivered); and </w:t>
      </w:r>
    </w:p>
    <w:p>
      <w:pPr>
        <w:pStyle w:val="TextBody"/>
        <w:bidi w:val="0"/>
        <w:spacing w:before="100" w:after="10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pStyle w:val="TextBody"/>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the right to consideration from a customer in an amount that corresponds directly with the value to the customer of the entity’s performance completed to date (i.e., certain aftermarket contracts), as such we have elected a practical expedient to recognize revenue in the amount to which the entity has a right to invoice for such services.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Product related revenues (whether for systems or aftermarket business) are recognized at a point in time, when they are shipped or delivered, depending on shipping terms.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installation services, revenue is recognized at a point in time, once the installation of the tool is complete. The nature of the installation services is such that the customer does not simultaneously receive and consume the benefits provided by the entity’s performance, nor does performance of installation services create or enhance an asset that the customer controls. Installation services do not create an asset with an alternative use to the entity, and the entity does not have an enforceable right to payment for performance completed to date.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liabilities are reflected as deferred revenue on the consolidated balance sheet. Contract liabilities relate to payments invoiced or received in advance of completion of performance obligations under a contract. Contract liabilities are recognized as revenue upon the fulfillment of performance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Service-type warranties for any product are recognized over time, as these represent a stand ready obligation to service the product during the warranty period. Progress in the satisfaction of these performance obligations is measured using an input method of time elapsed.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Maintenance and service contracts are recognized over time. Progress in the satisfaction of these performance obligations is measured using an input method of either time elapsed in the case of fixed period contracts, or labor hours expended, in the case of project-based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          Recognizing Assets related to Recoverable Customer Contract Costs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an asset related to incremental costs incurred by us to obtain a contract with a customer if we expect to recover those costs. We will recognize an asset from costs incurred to fulfill a contract only if such costs relate directly to a contract with an entity that we can specifically identify, the costs incurred will generate or enhance resources that will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used in satisfying performance obligations in the future, and the costs are expected to be recovered. Any assets recognized related to costs to obtain or fulfill a contract are amortized on a systematic basis that is consistent with the transfer to the customer of the goods or services to which the asset relates.</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substantially all of our business transactions, we incur incremental costs to obtain contracts with customers, in the form of sales commissions. We maintain a commission program which awards our employees for System sales, aftermarket activity and other individual goals. Under ASC 606, an asset is amortized on a systematic basis that is consistent with the transfer to the customer of the goods or services to which the asset relates. However, ASC 606 provides a practical expedient to allow for the recognition of commission expense when incurred if the amortization period of the asset that the entity otherwise would have recognized is one year or less. Based on the nature of our commission agreements, all commissions are expensed as incurred based upon the expectation that the amortization period would be one year or less.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          Shipping and Handling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Shipping and handling costs are included in cost of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          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generally recognize compensation expense for all stock-based payments to employees and directors, including grants of stock options and restricted stock units, based on the grant-date fair value of those stock-based payments. For stock option awards, we use the Black-Scholes option pricing model, adjusted for expected forfeitures. Other valuation models may be utilized in the limited circumstances where awards with market-based vesting considerations, such as the price of our common stock, or performance-based awards, are granted. Stock-based compensation expense is recognized ratably over the requisite service period. For each stock option or restricted stock unit grant with vesting based on a combination of time, market or performance conditions, where vesting will occur if either condition is met, the related compensation costs are recognized over the shorter of the explicit service period or the derived service period.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13 for additional information relating to stock-based compensation.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operating loss and tax credit carryforwards.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consolidated financial statements contain certain deferred tax assets which have arisen primarily as a result of operating losses, as well as other temporary differences between financial and tax basis accounting. We establish a valuation allowance if the likelihood of realization of the deferred tax assets is reduced based on an evaluation of objective verifiable evidence. Significant management judgment is required in determining our provision for income taxes, our deferred tax assets and liabilities and any valuation allowance recorded against those net deferred tax assets. We evaluate the weight of all available evidence to determine whether it is more likely than not that some portion or all of the net deferred income tax assets will not be realized.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taxes include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within operating expense in the consolidated statements of operations.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18 for additional information relating to income taxes.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rFonts w:ascii="Times New Roman;Times;serif" w:hAnsi="Times New Roman;Times;serif"/>
          <w:b/>
          <w:sz w:val="20"/>
        </w:rPr>
      </w:pPr>
      <w:bookmarkStart w:id="705" w:name="Tc_SURlrMplwEW6pjoSs5S6xg_6_8"/>
      <w:bookmarkStart w:id="706" w:name="Tc_JI8UVSQ3yk-kXP1VUcxU3Q_6_5"/>
      <w:bookmarkStart w:id="707" w:name="Tc_HuRc23sMn0icST1y-haOjg_6_2"/>
      <w:bookmarkStart w:id="708" w:name="Tc_UQQw8so__0yuWA8gi_6RCA_6_0"/>
      <w:bookmarkStart w:id="709" w:name="Tc_k144bSlU00e6XCT2HGfTlg_5_0"/>
      <w:bookmarkStart w:id="710" w:name="Tc_jj6XTe2Hhk-e4i1JbDc7-A_4_8"/>
      <w:bookmarkStart w:id="711" w:name="Tc_otiFw5U4_0-_fhSFZcH_Zw_4_5"/>
      <w:bookmarkStart w:id="712" w:name="Tc_Znah4OBuo0CneduLnH31WQ_4_2"/>
      <w:bookmarkStart w:id="713" w:name="Tc_nrCTyfDlH0eBqUl0dVyk7Q_4_0"/>
      <w:bookmarkStart w:id="714" w:name="Tc_wPbL7N34EE6QHTTGfr0IvA_3_2"/>
      <w:bookmarkStart w:id="715" w:name="Tc_0n7qakvLYU2Sao6mTh1DNw_2_8"/>
      <w:bookmarkStart w:id="716" w:name="Tc__nVwkEUS2U6pemMcM2pKjw_2_5"/>
      <w:bookmarkStart w:id="717" w:name="Tc_7Loo8EKnVUK1RahKmwWfcg_2_2"/>
      <w:bookmarkStart w:id="718" w:name="Tc_mK8e4uBiXkyLkHfOdm34YQ_1_5"/>
      <w:bookmarkStart w:id="719" w:name="Tc_4zl3p3ec9keMWoY5EShVTg_1_2"/>
      <w:bookmarkStart w:id="720" w:name="Tc_DzxR3iUoP0C2ZQdanMEkvw_11_8"/>
      <w:bookmarkStart w:id="721" w:name="Tc_3X2JCvUsakyX7sVMBzk50Q_11_5"/>
      <w:bookmarkStart w:id="722" w:name="Tc___fKr_sJPEaxzazULPw41A_11_2"/>
      <w:bookmarkStart w:id="723" w:name="Tc_3CvWHzXMpE27PhVA_URoHQ_11_0"/>
      <w:bookmarkStart w:id="724" w:name="Tc_2lx8WYQ3FEyrI7o4mNr6Mw_10_8"/>
      <w:bookmarkStart w:id="725" w:name="Tc_JUUfr6dJpkG2f4aeScmhcg_10_5"/>
      <w:bookmarkStart w:id="726" w:name="Tc_HGmlpX0Wh0iwt54OUxmYqw_10_2"/>
      <w:bookmarkStart w:id="727" w:name="Tc_Z_1jjfxsz0m7TFy6yBAqbQ_10_0"/>
      <w:bookmarkStart w:id="728" w:name="Tc_4e8yGpPUN0CWkONWwby-MA_9_0"/>
      <w:bookmarkStart w:id="729" w:name="Tc_G8ZSfZly40G6fKzMUEswkg_8_0"/>
      <w:bookmarkStart w:id="730" w:name="Tc_8H4RtgZiEEOPUuD04UTOGg_7_0"/>
      <w:bookmarkStart w:id="731" w:name="Tc_xlfwQx9WakC4rt6c5UDGmA_6_0"/>
      <w:bookmarkStart w:id="732" w:name="Tc_DB5QesD-9UirJFugzNOc_Q_5_8"/>
      <w:bookmarkStart w:id="733" w:name="Tc_MiGLNX31-0Cs94npvEeBSQ_5_5"/>
      <w:bookmarkStart w:id="734" w:name="Tc_V-4n0T7oVE2rKROlGU6Tfg_5_2"/>
      <w:bookmarkStart w:id="735" w:name="Tc_0ZRnTlMtREa69DHl5eOr4w_5_0"/>
      <w:bookmarkStart w:id="736" w:name="Tc_Lmj2kGyj_02meATm1L0STg_4_2"/>
      <w:bookmarkStart w:id="737" w:name="Tc_cqx0etO4DUy3gZqBPLPGIQ_3_8"/>
      <w:bookmarkStart w:id="738" w:name="Tc_kH0PazAg40ehwtKfBnwTxQ_3_5"/>
      <w:bookmarkStart w:id="739" w:name="Tc_wE6kvTpJO0qDbrH9v8pYLg_3_2"/>
      <w:bookmarkStart w:id="740" w:name="Tc_luLkKyWO4UqDtGBKJ8rrJw_2_2"/>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Times New Roman;Times;serif" w:hAnsi="Times New Roman;Times;serif"/>
          <w:b/>
          <w:sz w:val="20"/>
        </w:rPr>
        <w:t>(n)         Computation of Net Income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to include the number of additional common shares that would have been outstanding if the potentially dilutive common shares had been issued, calculated using the treasury stock method.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income per share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165"/>
        <w:gridCol w:w="326"/>
        <w:gridCol w:w="211"/>
        <w:gridCol w:w="781"/>
        <w:gridCol w:w="326"/>
        <w:gridCol w:w="211"/>
        <w:gridCol w:w="781"/>
        <w:gridCol w:w="326"/>
        <w:gridCol w:w="211"/>
        <w:gridCol w:w="676"/>
        <w:gridCol w:w="191"/>
      </w:tblGrid>
      <w:tr>
        <w:trPr/>
        <w:tc>
          <w:tcPr>
            <w:tcW w:w="6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914775" cy="175260"/>
                      <wp:effectExtent l="0" t="0" r="0" b="0"/>
                      <wp:wrapNone/>
                      <wp:docPr id="100" name="Frame100"/>
                      <a:graphic xmlns:a="http://schemas.openxmlformats.org/drawingml/2006/main">
                        <a:graphicData uri="http://schemas.microsoft.com/office/word/2010/wordprocessingShape">
                          <wps:wsp>
                            <wps:cNvSpPr txBox="1"/>
                            <wps:spPr>
                              <a:xfrm>
                                <a:off x="0" y="0"/>
                                <a:ext cx="3914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95935" cy="175260"/>
                      <wp:effectExtent l="0" t="0" r="0" b="0"/>
                      <wp:wrapNone/>
                      <wp:docPr id="103"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6"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1285" cy="175260"/>
                      <wp:effectExtent l="0" t="0" r="0" b="0"/>
                      <wp:wrapNone/>
                      <wp:docPr id="110" name="Frame1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23" w:type="dxa"/>
            <w:gridSpan w:val="8"/>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61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Year ended December 31, </w:t>
            </w:r>
          </w:p>
        </w:tc>
        <w:tc>
          <w:tcPr>
            <w:tcW w:w="191" w:type="dxa"/>
            <w:tcBorders/>
            <w:vAlign w:val="center"/>
          </w:tcPr>
          <w:p>
            <w:pPr>
              <w:pStyle w:val="TableContents"/>
              <w:bidi w:val="0"/>
              <w:spacing w:before="0" w:after="0"/>
              <w:ind w:left="0" w:right="0" w:hanging="0"/>
              <w:jc w:val="center"/>
              <w:rPr/>
            </w:pPr>
            <w:r>
              <w:rPr/>
              <w:t>​</w:t>
            </w:r>
          </w:p>
        </w:tc>
      </w:tr>
      <w:tr>
        <w:trPr/>
        <w:tc>
          <w:tcPr>
            <w:tcW w:w="61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61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23"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c>
          <w:tcPr>
            <w:tcW w:w="191" w:type="dxa"/>
            <w:tcBorders/>
            <w:vAlign w:val="center"/>
          </w:tcPr>
          <w:p>
            <w:pPr>
              <w:pStyle w:val="TableContents"/>
              <w:bidi w:val="0"/>
              <w:spacing w:before="0" w:after="0"/>
              <w:ind w:left="0" w:right="0" w:hanging="0"/>
              <w:jc w:val="center"/>
              <w:rPr/>
            </w:pPr>
            <w:r>
              <w:rPr/>
              <w:t> </w:t>
            </w:r>
          </w:p>
        </w:tc>
      </w:tr>
      <w:tr>
        <w:trPr/>
        <w:tc>
          <w:tcPr>
            <w:tcW w:w="6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98,650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in computing basic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33,555</w:t>
            </w:r>
          </w:p>
        </w:tc>
        <w:tc>
          <w:tcPr>
            <w:tcW w:w="191" w:type="dxa"/>
            <w:tcBorders/>
            <w:vAlign w:val="center"/>
          </w:tcPr>
          <w:p>
            <w:pPr>
              <w:pStyle w:val="TableContents"/>
              <w:bidi w:val="0"/>
              <w:spacing w:before="0" w:after="0"/>
              <w:ind w:left="0" w:right="0" w:hanging="0"/>
              <w:jc w:val="left"/>
              <w:rPr/>
            </w:pPr>
            <w:r>
              <w:rPr/>
              <w:t>​</w:t>
            </w:r>
          </w:p>
        </w:tc>
      </w:tr>
      <w:tr>
        <w:trPr/>
        <w:tc>
          <w:tcPr>
            <w:tcW w:w="6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options and RSUs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used in computing diluted net income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34,268</w:t>
            </w:r>
          </w:p>
        </w:tc>
        <w:tc>
          <w:tcPr>
            <w:tcW w:w="191" w:type="dxa"/>
            <w:tcBorders/>
            <w:vAlign w:val="center"/>
          </w:tcPr>
          <w:p>
            <w:pPr>
              <w:pStyle w:val="TableContents"/>
              <w:bidi w:val="0"/>
              <w:spacing w:before="0" w:after="0"/>
              <w:ind w:left="0" w:right="0" w:hanging="0"/>
              <w:jc w:val="left"/>
              <w:rPr/>
            </w:pPr>
            <w:r>
              <w:rPr/>
              <w:t>​</w:t>
            </w:r>
          </w:p>
        </w:tc>
      </w:tr>
      <w:tr>
        <w:trPr/>
        <w:tc>
          <w:tcPr>
            <w:tcW w:w="6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191" w:type="dxa"/>
            <w:tcBorders/>
            <w:vAlign w:val="center"/>
          </w:tcPr>
          <w:p>
            <w:pPr>
              <w:pStyle w:val="TableContents"/>
              <w:bidi w:val="0"/>
              <w:spacing w:before="0" w:after="0"/>
              <w:ind w:left="0" w:right="0" w:hanging="0"/>
              <w:jc w:val="left"/>
              <w:rPr/>
            </w:pPr>
            <w:r>
              <w:rPr/>
              <w:t>​</w:t>
            </w:r>
          </w:p>
        </w:tc>
      </w:tr>
      <w:tr>
        <w:trPr/>
        <w:tc>
          <w:tcPr>
            <w:tcW w:w="6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Diluted weighted average common shares outstanding does not include restricted stock units outstanding to purchase 6,025, 4,929 and 2,554 common equivalent shares for the periods ended December 31, 2023, 2022 and 2021, respectively, as their effect would have been anti-dilutive.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          Accumulated Other Comprehensive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changes in accumulated other comprehensive loss, net of tax, by component, for the year ended December 31, 2023:</w:t>
      </w:r>
    </w:p>
    <w:p>
      <w:pPr>
        <w:pStyle w:val="TextBody"/>
        <w:bidi w:val="0"/>
        <w:spacing w:before="0" w:after="0"/>
        <w:ind w:left="0" w:right="0" w:firstLine="720"/>
        <w:jc w:val="left"/>
        <w:rPr/>
      </w:pPr>
      <w:r>
        <w:rPr/>
        <w:t>​</w:t>
      </w:r>
    </w:p>
    <w:tbl>
      <w:tblPr>
        <w:tblW w:w="9140" w:type="dxa"/>
        <w:jc w:val="left"/>
        <w:tblInd w:w="0" w:type="dxa"/>
        <w:tblLayout w:type="fixed"/>
        <w:tblCellMar>
          <w:top w:w="0" w:type="dxa"/>
          <w:left w:w="0" w:type="dxa"/>
          <w:bottom w:w="0" w:type="dxa"/>
          <w:right w:w="0" w:type="dxa"/>
        </w:tblCellMar>
      </w:tblPr>
      <w:tblGrid>
        <w:gridCol w:w="4801"/>
        <w:gridCol w:w="326"/>
        <w:gridCol w:w="211"/>
        <w:gridCol w:w="691"/>
        <w:gridCol w:w="326"/>
        <w:gridCol w:w="456"/>
        <w:gridCol w:w="910"/>
        <w:gridCol w:w="326"/>
        <w:gridCol w:w="211"/>
        <w:gridCol w:w="691"/>
        <w:gridCol w:w="19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048635" cy="175260"/>
                      <wp:effectExtent l="0" t="0" r="0" b="0"/>
                      <wp:wrapNone/>
                      <wp:docPr id="111" name="Frame111"/>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8785" cy="175260"/>
                      <wp:effectExtent l="0" t="0" r="0" b="0"/>
                      <wp:wrapNone/>
                      <wp:docPr id="114" name="Frame1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9560" cy="175260"/>
                      <wp:effectExtent l="0" t="0" r="0" b="0"/>
                      <wp:wrapNone/>
                      <wp:docPr id="116" name="Frame116"/>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77850" cy="175260"/>
                      <wp:effectExtent l="0" t="0" r="0" b="0"/>
                      <wp:wrapNone/>
                      <wp:docPr id="117" name="Frame117"/>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0" name="Frame1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1285" cy="175260"/>
                      <wp:effectExtent l="0" t="0" r="0" b="0"/>
                      <wp:wrapNone/>
                      <wp:docPr id="121" name="Frame1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Foreign</w:t>
            </w:r>
          </w:p>
        </w:tc>
        <w:tc>
          <w:tcPr>
            <w:tcW w:w="326" w:type="dxa"/>
            <w:tcBorders/>
            <w:vAlign w:val="center"/>
          </w:tcPr>
          <w:p>
            <w:pPr>
              <w:pStyle w:val="TableContents"/>
              <w:bidi w:val="0"/>
              <w:spacing w:before="0" w:after="0"/>
              <w:ind w:left="0" w:right="0" w:hanging="0"/>
              <w:jc w:val="center"/>
              <w:rPr/>
            </w:pPr>
            <w:r>
              <w:rPr/>
              <w:t>    </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Defined benefit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4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326" w:type="dxa"/>
            <w:tcBorders/>
            <w:vAlign w:val="center"/>
          </w:tcPr>
          <w:p>
            <w:pPr>
              <w:pStyle w:val="TableContents"/>
              <w:bidi w:val="0"/>
              <w:spacing w:before="0" w:after="0"/>
              <w:ind w:left="0" w:right="0" w:hanging="0"/>
              <w:jc w:val="center"/>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pension plan</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191" w:type="dxa"/>
            <w:tcBorders/>
            <w:vAlign w:val="center"/>
          </w:tcPr>
          <w:p>
            <w:pPr>
              <w:pStyle w:val="TableContents"/>
              <w:bidi w:val="0"/>
              <w:spacing w:before="0" w:after="0"/>
              <w:ind w:left="0" w:right="0" w:hanging="0"/>
              <w:jc w:val="center"/>
              <w:rPr/>
            </w:pPr>
            <w:r>
              <w:rPr/>
              <w:t> </w:t>
            </w:r>
          </w:p>
        </w:tc>
      </w:tr>
      <w:tr>
        <w:trPr/>
        <w:tc>
          <w:tcPr>
            <w:tcW w:w="914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22"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and pension reclassification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91"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w:t>
            </w:r>
          </w:p>
        </w:tc>
        <w:tc>
          <w:tcPr>
            <w:tcW w:w="326" w:type="dxa"/>
            <w:tcBorders/>
            <w:shd w:fill="CCEEFF" w:val="clear"/>
            <w:vAlign w:val="center"/>
          </w:tcPr>
          <w:p>
            <w:pPr>
              <w:pStyle w:val="TableContents"/>
              <w:bidi w:val="0"/>
              <w:spacing w:before="0" w:after="0"/>
              <w:ind w:left="0" w:right="0" w:hanging="0"/>
              <w:jc w:val="left"/>
              <w:rPr/>
            </w:pPr>
            <w:r>
              <w:rPr/>
              <w:t>​</w:t>
            </w:r>
          </w:p>
        </w:tc>
        <w:tc>
          <w:tcPr>
            <w:tcW w:w="4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         Recent Accounting Guidance</w:t>
      </w:r>
    </w:p>
    <w:p>
      <w:pPr>
        <w:pStyle w:val="TextBody"/>
        <w:bidi w:val="0"/>
        <w:spacing w:before="280" w:after="0"/>
        <w:ind w:left="0" w:right="0" w:hanging="0"/>
        <w:jc w:val="left"/>
        <w:rPr>
          <w:rFonts w:ascii="Times New Roman;Times;serif" w:hAnsi="Times New Roman;Times;serif"/>
          <w:sz w:val="24"/>
        </w:rPr>
      </w:pPr>
      <w:r>
        <w:rPr>
          <w:rFonts w:ascii="Times New Roman;Times;serif" w:hAnsi="Times New Roman;Times;serif"/>
          <w:sz w:val="20"/>
        </w:rPr>
        <w:t xml:space="preserve">In November 2023 the Financial Accounting Standards Board (“FASB”) issued Accounting Standards Update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4"/>
        </w:rPr>
        <w:t xml:space="preserve"> </w:t>
      </w:r>
      <w:r>
        <w:rPr>
          <w:rFonts w:ascii="Times New Roman;Times;serif" w:hAnsi="Times New Roman;Times;serif"/>
          <w:sz w:val="20"/>
        </w:rPr>
        <w:t xml:space="preserve">("ASU 2023-07"). ASU 2023-07 is intended to enhance disclosures for significant segment expenses for all public entities required to report segment information in accordance with ASC Topic 280, </w:t>
      </w:r>
      <w:r>
        <w:rPr>
          <w:rFonts w:ascii="Times New Roman;Times;serif" w:hAnsi="Times New Roman;Times;serif"/>
          <w:i/>
          <w:sz w:val="20"/>
        </w:rPr>
        <w:t>Segment Reporting</w:t>
      </w:r>
      <w:r>
        <w:rPr>
          <w:rFonts w:ascii="Times New Roman;Times;serif" w:hAnsi="Times New Roman;Times;serif"/>
          <w:sz w:val="24"/>
        </w:rPr>
        <w:t xml:space="preserve"> </w:t>
      </w:r>
      <w:r>
        <w:rPr>
          <w:rFonts w:ascii="Times New Roman;Times;serif" w:hAnsi="Times New Roman;Times;serif"/>
          <w:sz w:val="20"/>
        </w:rPr>
        <w:t xml:space="preserve">("ASC 280"). ASC 280 requires a public entity to report for each reportable segment a measure of segment profit or loss that its chief operating decision maker (“CODM”) uses to assess segment performance and to make decisions about resource allocations. ASU 2023-07 is intended to improve financial reporting by requiring disclosure of incremental segment information on an annual and interim basis for all public entities to enable investors to develop more useful financial analyses. ASU 2023-07 is effective for fiscal years beginning after December 15, 2023, and interim periods within fiscal years beginning after December 15, 2024. Early adoption is permitted. A public entity should apply ASU 2023-07 retrospectively to all prior periods presented in the consolidated financial statements. The Company is currently evaluating the impact of </w:t>
      </w:r>
      <w:r>
        <w:rPr>
          <w:rFonts w:ascii="Times New Roman;Times;serif" w:hAnsi="Times New Roman;Times;serif"/>
          <w:i/>
          <w:sz w:val="20"/>
        </w:rPr>
        <w:t>ASU 2023-07</w:t>
      </w:r>
      <w:r>
        <w:rPr>
          <w:rFonts w:ascii="Times New Roman;Times;serif" w:hAnsi="Times New Roman;Times;serif"/>
          <w:sz w:val="24"/>
        </w:rPr>
        <w:t xml:space="preserve"> </w:t>
      </w:r>
      <w:r>
        <w:rPr>
          <w:rFonts w:ascii="Times New Roman;Times;serif" w:hAnsi="Times New Roman;Times;serif"/>
          <w:sz w:val="20"/>
        </w:rPr>
        <w:t>on its future consolidated financial statements and related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2023 the FASB issued Accounting Standards Update 2023-09, </w:t>
      </w:r>
      <w:r>
        <w:rPr>
          <w:rFonts w:ascii="Times New Roman;Times;serif" w:hAnsi="Times New Roman;Times;serif"/>
          <w:i/>
          <w:sz w:val="20"/>
        </w:rPr>
        <w:t xml:space="preserve">Income Taxes (Topic 740): Improvements to Income Tax Disclosures </w:t>
      </w:r>
      <w:r>
        <w:rPr>
          <w:rFonts w:ascii="Times New Roman;Times;serif" w:hAnsi="Times New Roman;Times;serif"/>
          <w:sz w:val="20"/>
        </w:rPr>
        <w:t>("ASU 2023-09")</w:t>
      </w:r>
      <w:r>
        <w:rPr>
          <w:rFonts w:ascii="Times New Roman;Times;serif" w:hAnsi="Times New Roman;Times;serif"/>
          <w:i/>
          <w:sz w:val="20"/>
        </w:rPr>
        <w:t xml:space="preserve">. </w:t>
      </w:r>
      <w:r>
        <w:rPr>
          <w:rFonts w:ascii="Times New Roman;Times;serif" w:hAnsi="Times New Roman;Times;serif"/>
          <w:color w:val="1D1C1D"/>
          <w:sz w:val="20"/>
        </w:rPr>
        <w:t>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is currently evaluating the impact of ASU 2023-09 on its future consolidated financial statements and related disclosures.</w:t>
      </w:r>
    </w:p>
    <w:p>
      <w:pPr>
        <w:pStyle w:val="TextBody"/>
        <w:bidi w:val="0"/>
        <w:spacing w:before="280" w:after="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pPr>
      <w:bookmarkStart w:id="741" w:name="_contentSection_d6ce1257_e369_493a_9cf5_"/>
      <w:bookmarkEnd w:id="741"/>
      <w:r>
        <w:rPr/>
        <w:t>​</w:t>
      </w:r>
    </w:p>
    <w:p>
      <w:pPr>
        <w:pStyle w:val="TextBody"/>
        <w:pBdr/>
        <w:bidi w:val="0"/>
        <w:spacing w:before="0" w:after="0"/>
        <w:ind w:left="0" w:right="0" w:hanging="360"/>
        <w:jc w:val="left"/>
        <w:rPr>
          <w:rFonts w:ascii="Times New Roman;Times;serif" w:hAnsi="Times New Roman;Times;serif"/>
          <w:b/>
          <w:sz w:val="20"/>
        </w:rPr>
      </w:pPr>
      <w:bookmarkStart w:id="742" w:name="Tc_tNVnBZIDC0Wlj0O167WHgg_8_8"/>
      <w:bookmarkStart w:id="743" w:name="Tc_RiyR6wIe8EuVfdv-DxoEiQ_8_5"/>
      <w:bookmarkStart w:id="744" w:name="Tc_AKrGt--m4k6utRqoLgiEdQ_8_2"/>
      <w:bookmarkStart w:id="745" w:name="Tc_AtUUWSvLUk-CuwAXzlpiMA_8_0"/>
      <w:bookmarkStart w:id="746" w:name="Tc_JyuUknKx6EuHTvmBAbG-3w_7_0"/>
      <w:bookmarkStart w:id="747" w:name="Tc_0TGJ6djA7Ea8OlCWoUJTHQ_6_0"/>
      <w:bookmarkStart w:id="748" w:name="Tc_ew7dyfdKj0WEAU58MnnS0A_5_8"/>
      <w:bookmarkStart w:id="749" w:name="Tc_Q4h42QGZnEm3O3NNxDBPcA_5_5"/>
      <w:bookmarkStart w:id="750" w:name="Tc_sI-8pws-80arNVDlXKSDjQ_5_2"/>
      <w:bookmarkStart w:id="751" w:name="Tc_0hIbhfhdokWDrS7T6CbRMg_5_0"/>
      <w:bookmarkStart w:id="752" w:name="Tc_QabBxFA2l028hUnsFTPjjA_4_2"/>
      <w:bookmarkStart w:id="753" w:name="Tc_mjwHy3FcXkaQA6hwpg3I-Q_3_8"/>
      <w:bookmarkStart w:id="754" w:name="Tc_dU5K5jDRtEi3QmM4XE1z_Q_3_5"/>
      <w:bookmarkStart w:id="755" w:name="Tc_PRO5z8zh50ySsSym8L26zg_3_2"/>
      <w:bookmarkStart w:id="756" w:name="Tc_IqeJwroZtEWA1PUgg01ANw_2_2"/>
      <w:bookmarkStart w:id="757" w:name="Tc_i-oUBwhWdEqXd81mwsNvcw_1_2"/>
      <w:bookmarkStart w:id="758" w:name="Tc_OS1ymGmiYUm4Jbovl1EVVQ_7_8"/>
      <w:bookmarkStart w:id="759" w:name="Tc_elOw_OcTkkCj8rQJJlY6OQ_7_5"/>
      <w:bookmarkStart w:id="760" w:name="Tc_0_MzLdrum0ipZT00HlJ7xg_7_2"/>
      <w:bookmarkStart w:id="761" w:name="Tc_Ll25CAzJlESjhHoazAb8dQ_7_0"/>
      <w:bookmarkStart w:id="762" w:name="Tc_uM5M_Anl3UKDaT9Sl0DqCQ_6_0"/>
      <w:bookmarkStart w:id="763" w:name="Tc_-1AcTNajc0ieqPs4P_u-aw_5_8"/>
      <w:bookmarkStart w:id="764" w:name="Tc_RdMPWrUI802pX_Ure7LNVA_5_5"/>
      <w:bookmarkStart w:id="765" w:name="Tc_Am7R-WLvDUqrR-q7xbWeQA_5_2"/>
      <w:bookmarkStart w:id="766" w:name="Tc_TqdwC9itiU-p46go6bOaNQ_5_0"/>
      <w:bookmarkStart w:id="767" w:name="Tc_yj4WotVZ5E6Ou0FHc8gFEA_4_2"/>
      <w:bookmarkStart w:id="768" w:name="Tc_UE3BlRq_F0eLI8I0u7-LSg_3_8"/>
      <w:bookmarkStart w:id="769" w:name="Tc_vLjEOiH5eUWarItUQcycOg_3_5"/>
      <w:bookmarkStart w:id="770" w:name="Tc_xRrQnGfFbk6q865rJ4JunA_3_2"/>
      <w:bookmarkStart w:id="771" w:name="Tc_USP-Zb0QV0uDgnyfSSdlhg_2_2"/>
      <w:bookmarkStart w:id="772" w:name="Tc_9huJJEabYE67Qv6ZuTnkMQ_1_2"/>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b/>
          <w:sz w:val="20"/>
        </w:rPr>
        <w:t>Note 3. Revenue</w:t>
      </w:r>
    </w:p>
    <w:p>
      <w:pPr>
        <w:pStyle w:val="TextBody"/>
        <w:pBdr/>
        <w:bidi w:val="0"/>
        <w:spacing w:before="0" w:after="0"/>
        <w:ind w:left="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design, manufacture and service ion implantation and other processing equipment used in the fabrication of semiconductor chips and sell our products to leading semiconductor chip manufacturers worldwide. We offer a complete line of high energy, high current and medium current implanters for all application requirements. In addition, we provide extensive aftermarket lifecycle products and services, including used tools, spare parts, equipment upgrades, maintenance service and customer training. Our revenue recognition policies are set forth in Section (i) of Note 2, Summary of Significant Accounting Policies. </w:t>
      </w:r>
    </w:p>
    <w:p>
      <w:pPr>
        <w:pStyle w:val="TextBody"/>
        <w:bidi w:val="0"/>
        <w:spacing w:before="0" w:after="0"/>
        <w:ind w:left="0" w:right="0" w:firstLine="720"/>
        <w:jc w:val="left"/>
        <w:rPr/>
      </w:pPr>
      <w:r>
        <w:rPr/>
        <w:t>​</w:t>
      </w:r>
    </w:p>
    <w:tbl>
      <w:tblPr>
        <w:tblW w:w="6201" w:type="dxa"/>
        <w:jc w:val="left"/>
        <w:tblInd w:w="0" w:type="dxa"/>
        <w:tblLayout w:type="fixed"/>
        <w:tblCellMar>
          <w:top w:w="28" w:type="dxa"/>
          <w:left w:w="28" w:type="dxa"/>
          <w:bottom w:w="28" w:type="dxa"/>
          <w:right w:w="28" w:type="dxa"/>
        </w:tblCellMar>
      </w:tblPr>
      <w:tblGrid>
        <w:gridCol w:w="124"/>
        <w:gridCol w:w="331"/>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Operational Revenue Categories used by Management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reflect the organization of our business operations, management reviews revenue in two categories: revenue from sales of new systems and revenue arising from the sale of used systems, parts and labor to customers who own systems, which we refer to as “CS&amp;I” or “aftermarket.”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Below are the revenues by categories used by management for the periods covered in this report:</w:t>
      </w:r>
    </w:p>
    <w:p>
      <w:pPr>
        <w:pStyle w:val="TextBody"/>
        <w:bidi w:val="0"/>
        <w:spacing w:before="0" w:after="0"/>
        <w:ind w:left="0" w:right="0" w:firstLine="720"/>
        <w:jc w:val="left"/>
        <w:rPr/>
      </w:pPr>
      <w:r>
        <w:rPr/>
        <w:t>​</w:t>
      </w:r>
    </w:p>
    <w:tbl>
      <w:tblPr>
        <w:tblW w:w="4504" w:type="dxa"/>
        <w:jc w:val="left"/>
        <w:tblInd w:w="0" w:type="dxa"/>
        <w:tblLayout w:type="fixed"/>
        <w:tblCellMar>
          <w:top w:w="0" w:type="dxa"/>
          <w:left w:w="0" w:type="dxa"/>
          <w:bottom w:w="0" w:type="dxa"/>
          <w:right w:w="0" w:type="dxa"/>
        </w:tblCellMar>
      </w:tblPr>
      <w:tblGrid>
        <w:gridCol w:w="1141"/>
        <w:gridCol w:w="109"/>
        <w:gridCol w:w="196"/>
        <w:gridCol w:w="871"/>
        <w:gridCol w:w="109"/>
        <w:gridCol w:w="196"/>
        <w:gridCol w:w="736"/>
        <w:gridCol w:w="109"/>
        <w:gridCol w:w="196"/>
        <w:gridCol w:w="841"/>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24535" cy="175260"/>
                      <wp:effectExtent l="0" t="0" r="0" b="0"/>
                      <wp:wrapNone/>
                      <wp:docPr id="122" name="Frame1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53085" cy="175260"/>
                      <wp:effectExtent l="0" t="0" r="0" b="0"/>
                      <wp:wrapNone/>
                      <wp:docPr id="125" name="Frame12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460" cy="175260"/>
                      <wp:effectExtent l="0" t="0" r="0" b="0"/>
                      <wp:wrapNone/>
                      <wp:docPr id="127"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67360" cy="175260"/>
                      <wp:effectExtent l="0" t="0" r="0" b="0"/>
                      <wp:wrapNone/>
                      <wp:docPr id="128" name="Frame12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4460" cy="175260"/>
                      <wp:effectExtent l="0" t="0" r="0" b="0"/>
                      <wp:wrapNone/>
                      <wp:docPr id="130"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34035" cy="175260"/>
                      <wp:effectExtent l="0" t="0" r="0" b="0"/>
                      <wp:wrapNone/>
                      <wp:docPr id="131" name="Frame1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50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1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Systems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883,604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692,061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454,598 </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Aftermarket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247,000</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227,937</w:t>
            </w:r>
          </w:p>
        </w:tc>
        <w:tc>
          <w:tcPr>
            <w:tcW w:w="109"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207,830</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1,130,604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919,998 </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 xml:space="preserve">662,428 </w:t>
            </w:r>
          </w:p>
        </w:tc>
      </w:tr>
    </w:tbl>
    <w:p>
      <w:pPr>
        <w:pStyle w:val="TextBody"/>
        <w:bidi w:val="0"/>
        <w:spacing w:before="0" w:after="0"/>
        <w:ind w:left="0" w:right="0" w:firstLine="720"/>
        <w:jc w:val="left"/>
        <w:rPr/>
      </w:pPr>
      <w:r>
        <w:rPr/>
        <w:t>​</w:t>
      </w:r>
    </w:p>
    <w:tbl>
      <w:tblPr>
        <w:tblW w:w="7176" w:type="dxa"/>
        <w:jc w:val="left"/>
        <w:tblInd w:w="0" w:type="dxa"/>
        <w:tblLayout w:type="fixed"/>
        <w:tblCellMar>
          <w:top w:w="28" w:type="dxa"/>
          <w:left w:w="28" w:type="dxa"/>
          <w:bottom w:w="28" w:type="dxa"/>
          <w:right w:w="28" w:type="dxa"/>
        </w:tblCellMar>
      </w:tblPr>
      <w:tblGrid>
        <w:gridCol w:w="124"/>
        <w:gridCol w:w="331"/>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Economic Factors Affecting our Revenue: Geographic Breakdown of Revenue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Global economic conditions have a direct impact on our revenue. We are substantially dependent on sales of our products and services to customers outside of the United States. Adverse economic conditions, political instability, potential adverse tax consequences, regulatory changes and volatility in exchange rates pose a risk that our clients may reduce, postpone or cancel spending for our products and services, which would impact our revenue.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by geographic markets is determined based upon the location to which our products are shipped and where our services are performed. Revenue in our principal geographic markets is as follows: </w:t>
      </w:r>
    </w:p>
    <w:p>
      <w:pPr>
        <w:pStyle w:val="TextBody"/>
        <w:bidi w:val="0"/>
        <w:spacing w:before="0" w:after="0"/>
        <w:ind w:left="0" w:right="0" w:firstLine="720"/>
        <w:jc w:val="left"/>
        <w:rPr/>
      </w:pPr>
      <w:r>
        <w:rPr/>
        <w:t>​</w:t>
      </w:r>
    </w:p>
    <w:tbl>
      <w:tblPr>
        <w:tblW w:w="4459" w:type="dxa"/>
        <w:jc w:val="left"/>
        <w:tblInd w:w="0" w:type="dxa"/>
        <w:tblLayout w:type="fixed"/>
        <w:tblCellMar>
          <w:top w:w="0" w:type="dxa"/>
          <w:left w:w="0" w:type="dxa"/>
          <w:bottom w:w="0" w:type="dxa"/>
          <w:right w:w="0" w:type="dxa"/>
        </w:tblCellMar>
      </w:tblPr>
      <w:tblGrid>
        <w:gridCol w:w="1231"/>
        <w:gridCol w:w="109"/>
        <w:gridCol w:w="196"/>
        <w:gridCol w:w="826"/>
        <w:gridCol w:w="109"/>
        <w:gridCol w:w="196"/>
        <w:gridCol w:w="691"/>
        <w:gridCol w:w="109"/>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781685" cy="175260"/>
                      <wp:effectExtent l="0" t="0" r="0" b="0"/>
                      <wp:wrapNone/>
                      <wp:docPr id="132" name="Frame13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34" name="Frame1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24510" cy="175260"/>
                      <wp:effectExtent l="0" t="0" r="0" b="0"/>
                      <wp:wrapNone/>
                      <wp:docPr id="135" name="Frame13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7" name="Frame1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38" name="Frame1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9"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4460" cy="175260"/>
                      <wp:effectExtent l="0" t="0" r="0" b="0"/>
                      <wp:wrapNone/>
                      <wp:docPr id="140" name="Frame1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05460" cy="175260"/>
                      <wp:effectExtent l="0" t="0" r="0" b="0"/>
                      <wp:wrapNone/>
                      <wp:docPr id="141" name="Frame1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45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9"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North America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174,810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143,701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48,715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 Pacific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811,308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673,752</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516,105</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Europe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144,486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102,545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97,608</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1,130,604</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919,998</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662,428</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Normal"/>
        <w:bidi w:val="0"/>
        <w:spacing w:before="0" w:after="0"/>
        <w:ind w:left="600" w:right="600" w:hanging="0"/>
        <w:jc w:val="left"/>
        <w:rPr>
          <w:sz w:val="4"/>
          <w:szCs w:val="4"/>
        </w:rPr>
      </w:pPr>
      <w:r>
        <w:rPr>
          <w:sz w:val="4"/>
          <w:szCs w:val="4"/>
        </w:rPr>
      </w:r>
      <w:bookmarkStart w:id="773" w:name="Tc_th95oZ8siEeVmYFaeJfO6A_8_8"/>
      <w:bookmarkStart w:id="774" w:name="Tc_dBN8aRT30k-aDC5w_MBO4A_8_5"/>
      <w:bookmarkStart w:id="775" w:name="Tc_hsxCjSnDqESiEFcgtgO63w_8_2"/>
      <w:bookmarkStart w:id="776" w:name="Tc_VYZ2fUPldk-Wa-GTldrUBQ_8_0"/>
      <w:bookmarkStart w:id="777" w:name="Tc_xHLN0bMG5U-bLRx_w3LFHQ_7_0"/>
      <w:bookmarkStart w:id="778" w:name="Tc_BwjQ7Dv6QEaQync7F5-nTA_6_0"/>
      <w:bookmarkStart w:id="779" w:name="Tc_vFQXwzjpnkiRsoSC7dG7tw_5_8"/>
      <w:bookmarkStart w:id="780" w:name="Tc_tYiUJQ-ci0W2skX3oEVo8A_5_5"/>
      <w:bookmarkStart w:id="781" w:name="Tc_TvLnUVI6bUuRB9l_m7RZUg_5_2"/>
      <w:bookmarkStart w:id="782" w:name="Tc_iKNppU3LNUaC1HfbxbNjOw_5_0"/>
      <w:bookmarkStart w:id="783" w:name="Tc_HyAbhU2wGEeNJsA7fLb8lg_4_2"/>
      <w:bookmarkStart w:id="784" w:name="Tc_tU35ohaHAkCpYXIcL94BOQ_3_8"/>
      <w:bookmarkStart w:id="785" w:name="Tc_J-sMUHNsPU6u0mFsREeGGw_3_5"/>
      <w:bookmarkStart w:id="786" w:name="Tc_RmdvIOzWQUagzvYvKpVFNA_3_2"/>
      <w:bookmarkStart w:id="787" w:name="Tc_7gnj-JYoNEG4KuLKAmc34g_2_2"/>
      <w:bookmarkStart w:id="788" w:name="Tc_WZ7TLZQ05kyv3QEPiw6jQw_1_2"/>
      <w:bookmarkStart w:id="789" w:name="_f142f93c_b2f5_4933_93ed_117b7836adc4"/>
      <w:bookmarkStart w:id="790" w:name="Tc_th95oZ8siEeVmYFaeJfO6A_8_8"/>
      <w:bookmarkStart w:id="791" w:name="Tc_dBN8aRT30k-aDC5w_MBO4A_8_5"/>
      <w:bookmarkStart w:id="792" w:name="Tc_hsxCjSnDqESiEFcgtgO63w_8_2"/>
      <w:bookmarkStart w:id="793" w:name="Tc_VYZ2fUPldk-Wa-GTldrUBQ_8_0"/>
      <w:bookmarkStart w:id="794" w:name="Tc_xHLN0bMG5U-bLRx_w3LFHQ_7_0"/>
      <w:bookmarkStart w:id="795" w:name="Tc_BwjQ7Dv6QEaQync7F5-nTA_6_0"/>
      <w:bookmarkStart w:id="796" w:name="Tc_vFQXwzjpnkiRsoSC7dG7tw_5_8"/>
      <w:bookmarkStart w:id="797" w:name="Tc_tYiUJQ-ci0W2skX3oEVo8A_5_5"/>
      <w:bookmarkStart w:id="798" w:name="Tc_TvLnUVI6bUuRB9l_m7RZUg_5_2"/>
      <w:bookmarkStart w:id="799" w:name="Tc_iKNppU3LNUaC1HfbxbNjOw_5_0"/>
      <w:bookmarkStart w:id="800" w:name="Tc_HyAbhU2wGEeNJsA7fLb8lg_4_2"/>
      <w:bookmarkStart w:id="801" w:name="Tc_tU35ohaHAkCpYXIcL94BOQ_3_8"/>
      <w:bookmarkStart w:id="802" w:name="Tc_J-sMUHNsPU6u0mFsREeGGw_3_5"/>
      <w:bookmarkStart w:id="803" w:name="Tc_RmdvIOzWQUagzvYvKpVFNA_3_2"/>
      <w:bookmarkStart w:id="804" w:name="Tc_7gnj-JYoNEG4KuLKAmc34g_2_2"/>
      <w:bookmarkStart w:id="805" w:name="Tc_WZ7TLZQ05kyv3QEPiw6jQw_1_2"/>
      <w:bookmarkStart w:id="806" w:name="_f142f93c_b2f5_4933_93ed_117b7836adc4"/>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W w:w="5601" w:type="dxa"/>
        <w:jc w:val="left"/>
        <w:tblInd w:w="0" w:type="dxa"/>
        <w:tblLayout w:type="fixed"/>
        <w:tblCellMar>
          <w:top w:w="28" w:type="dxa"/>
          <w:left w:w="28" w:type="dxa"/>
          <w:bottom w:w="28" w:type="dxa"/>
          <w:right w:w="28" w:type="dxa"/>
        </w:tblCellMar>
      </w:tblPr>
      <w:tblGrid>
        <w:gridCol w:w="124"/>
        <w:gridCol w:w="31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Recognition of Deferred Revenue from Contract Liabilities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liabilities are as follows:</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tbl>
      <w:tblPr>
        <w:tblW w:w="5629" w:type="dxa"/>
        <w:jc w:val="left"/>
        <w:tblInd w:w="0" w:type="dxa"/>
        <w:tblLayout w:type="fixed"/>
        <w:tblCellMar>
          <w:top w:w="0" w:type="dxa"/>
          <w:left w:w="0" w:type="dxa"/>
          <w:bottom w:w="0" w:type="dxa"/>
          <w:right w:w="0" w:type="dxa"/>
        </w:tblCellMar>
      </w:tblPr>
      <w:tblGrid>
        <w:gridCol w:w="2416"/>
        <w:gridCol w:w="109"/>
        <w:gridCol w:w="196"/>
        <w:gridCol w:w="811"/>
        <w:gridCol w:w="109"/>
        <w:gridCol w:w="196"/>
        <w:gridCol w:w="721"/>
        <w:gridCol w:w="109"/>
        <w:gridCol w:w="196"/>
        <w:gridCol w:w="76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34160" cy="175260"/>
                      <wp:effectExtent l="0" t="0" r="0" b="0"/>
                      <wp:wrapNone/>
                      <wp:docPr id="142" name="Frame142"/>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4" name="Frame1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14985" cy="175260"/>
                      <wp:effectExtent l="0" t="0" r="0" b="0"/>
                      <wp:wrapNone/>
                      <wp:docPr id="145" name="Frame14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7" name="Frame1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57835" cy="175260"/>
                      <wp:effectExtent l="0" t="0" r="0" b="0"/>
                      <wp:wrapNone/>
                      <wp:docPr id="148" name="Frame1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0" name="Frame1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86410" cy="175260"/>
                      <wp:effectExtent l="0" t="0" r="0" b="0"/>
                      <wp:wrapNone/>
                      <wp:docPr id="151" name="Frame15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629"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4"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154,777</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68,436</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23,058</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Deferral of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185,688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146,674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66,349</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Recognition of deferred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(129,580)</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(60,333)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(20,971)</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the period</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210,885</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154,777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68,436</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 liabilities are reflected as deferred revenue on the consolidated balance sheet. Contract liabilities relate to payments received or amounts invoiced in advance of completion of performance obligations under a contract. Contract liabilities are recognized as revenue upon the fulfillment of performance obligations.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had deferred revenue of $210.9 million. This represents the portion of the transaction price for contracts with customers allocated to the performance obligations that remain unsatisfied or partially unsatisfied. Short-term deferred revenue of $164.7 million as of December 31, 2023 represents performance obligations that are expected to be satisfied within the next 12 months. This amount relates primarily to prepayments made prior to system delivery as well as to installation and non-standard warranty performance obligations for system sales. Long-term deferred revenue of $46.2 million as of December 31, 2023 relates to prepayments made prior to system delivery as well as to extended warranty performance obligations that we expect to be completed in excess of the next 12 months but within the next 24 months.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majority of our system transactions have payment terms that are 90% due upon shipment of the tool and 10% due upon installation. Aftermarket transaction payment terms are such that payment is due either within 30 or 60 days of service provided or delivery of parts. </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807" w:name="Tc_U0_RB435DUyvDgh1BbamkQ_6_4"/>
      <w:bookmarkStart w:id="808" w:name="Tc_gRgl3zjgoUi1QILfvhXHzQ_6_1"/>
      <w:bookmarkStart w:id="809" w:name="Tc_4zzHfrmePEqVf3h7DfiaCA_6_0"/>
      <w:bookmarkStart w:id="810" w:name="Tc_L4kVurm3tEiAZOBClrBddA_5_0"/>
      <w:bookmarkStart w:id="811" w:name="Tc_4jur40jRf02jNdAtKKZbSA_4_4"/>
      <w:bookmarkStart w:id="812" w:name="Tc_-amnob9kKkGHy75ZwOorbw_4_1"/>
      <w:bookmarkStart w:id="813" w:name="Tc_v0g5xi0eaUG5grJHXqfM2A_4_0"/>
      <w:bookmarkStart w:id="814" w:name="Tc_JdO-mKieXkeZ2NIyPgWLMA_3_1"/>
      <w:bookmarkStart w:id="815" w:name="Tc_9I390nSc1Uy4icHx8nD8mA_2_5"/>
      <w:bookmarkStart w:id="816" w:name="Tc_xLojl5mbO0OWTQnoWW0rPQ_2_1"/>
      <w:bookmarkStart w:id="817" w:name="Tc_qsq1MJWPnUGJWctiMRe59g_1_4"/>
      <w:bookmarkStart w:id="818" w:name="Tc_tBDhPW9U8EavvO_eLcG3Ag_1_1"/>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b/>
          <w:sz w:val="20"/>
        </w:rPr>
        <w:t xml:space="preserve">Note 4. Cash, cash equivalents and restricted cash </w:t>
      </w:r>
    </w:p>
    <w:p>
      <w:pPr>
        <w:pStyle w:val="TextBody"/>
        <w:pBdr/>
        <w:bidi w:val="0"/>
        <w:spacing w:before="0" w:after="0"/>
        <w:ind w:left="0" w:right="0" w:hanging="720"/>
        <w:jc w:val="left"/>
        <w:rPr/>
      </w:pPr>
      <w:r>
        <w:rPr/>
        <w:t>​</w:t>
      </w:r>
    </w:p>
    <w:tbl>
      <w:tblPr>
        <w:tblW w:w="5979" w:type="dxa"/>
        <w:jc w:val="left"/>
        <w:tblInd w:w="0" w:type="dxa"/>
        <w:tblLayout w:type="fixed"/>
        <w:tblCellMar>
          <w:top w:w="0" w:type="dxa"/>
          <w:left w:w="0" w:type="dxa"/>
          <w:bottom w:w="0" w:type="dxa"/>
          <w:right w:w="0" w:type="dxa"/>
        </w:tblCellMar>
      </w:tblPr>
      <w:tblGrid>
        <w:gridCol w:w="3436"/>
        <w:gridCol w:w="239"/>
        <w:gridCol w:w="901"/>
        <w:gridCol w:w="109"/>
        <w:gridCol w:w="239"/>
        <w:gridCol w:w="901"/>
        <w:gridCol w:w="154"/>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81860" cy="175260"/>
                      <wp:effectExtent l="0" t="0" r="0" b="0"/>
                      <wp:wrapNone/>
                      <wp:docPr id="152" name="Frame152"/>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1765" cy="175260"/>
                      <wp:effectExtent l="0" t="0" r="0" b="0"/>
                      <wp:wrapNone/>
                      <wp:docPr id="153" name="Frame15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72135" cy="175260"/>
                      <wp:effectExtent l="0" t="0" r="0" b="0"/>
                      <wp:wrapNone/>
                      <wp:docPr id="154" name="Frame1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1765" cy="175260"/>
                      <wp:effectExtent l="0" t="0" r="0" b="0"/>
                      <wp:wrapNone/>
                      <wp:docPr id="156" name="Frame15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72135" cy="175260"/>
                      <wp:effectExtent l="0" t="0" r="0" b="0"/>
                      <wp:wrapNone/>
                      <wp:docPr id="157" name="Frame15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7790" cy="175260"/>
                      <wp:effectExtent l="0" t="0" r="0" b="0"/>
                      <wp:wrapNone/>
                      <wp:docPr id="158" name="Frame1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597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36" w:type="dxa"/>
            <w:tcBorders/>
            <w:vAlign w:val="center"/>
          </w:tcPr>
          <w:p>
            <w:pPr>
              <w:pStyle w:val="TableContents"/>
              <w:bidi w:val="0"/>
              <w:spacing w:before="0" w:after="0"/>
              <w:ind w:left="0" w:right="0" w:hanging="0"/>
              <w:jc w:val="left"/>
              <w:rPr/>
            </w:pPr>
            <w:r>
              <w:rPr/>
              <w:t>​</w:t>
            </w:r>
          </w:p>
        </w:tc>
        <w:tc>
          <w:tcPr>
            <w:tcW w:w="23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167,297 </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185,595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restricted cash</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6,654 </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752 </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173,951 </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186,347 </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we had $6.7 million in restricted cash which relates to a $5.9 million cash collateral relating to our lease for our headquarters in Beverly, Massachusetts, a $0.7 million letter of credit relating to workers’ compensation insurance and a $0.1 million deposit relating to customs activity. </w:t>
      </w:r>
    </w:p>
    <w:p>
      <w:pPr>
        <w:pStyle w:val="TextBody"/>
        <w:bidi w:val="0"/>
        <w:spacing w:before="0" w:after="0"/>
        <w:ind w:left="0" w:right="0" w:firstLine="720"/>
        <w:jc w:val="left"/>
        <w:rPr/>
      </w:pPr>
      <w:r>
        <w:rPr/>
        <w:t>​</w:t>
      </w:r>
    </w:p>
    <w:p>
      <w:pPr>
        <w:pStyle w:val="TextBody"/>
        <w:pBdr/>
        <w:bidi w:val="0"/>
        <w:spacing w:before="0" w:after="0"/>
        <w:ind w:left="0" w:right="0" w:hanging="360"/>
        <w:jc w:val="left"/>
        <w:rPr>
          <w:rFonts w:ascii="Times New Roman;Times;serif" w:hAnsi="Times New Roman;Times;serif"/>
          <w:b/>
          <w:sz w:val="20"/>
        </w:rPr>
      </w:pPr>
      <w:r>
        <w:rPr>
          <w:rFonts w:ascii="Times New Roman;Times;serif" w:hAnsi="Times New Roman;Times;serif"/>
          <w:b/>
          <w:sz w:val="20"/>
        </w:rPr>
        <w:t>Note 5. Accounts Receivable and Allowance for Credit Losses</w:t>
      </w:r>
    </w:p>
    <w:p>
      <w:pPr>
        <w:pStyle w:val="TextBody"/>
        <w:pBdr/>
        <w:bidi w:val="0"/>
        <w:spacing w:before="0" w:after="0"/>
        <w:ind w:left="0" w:right="0" w:hanging="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All trade receivables are reported on the Consolidated Balance Sheets at their amortized cost adjusted for any write-offs and net of allowances for credit losses.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Axcelis maintains an allowance for credit losses, which represents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0"/>
        <w:ind w:left="0" w:right="0" w:hanging="0"/>
        <w:jc w:val="both"/>
        <w:rPr>
          <w:rFonts w:ascii="Times New Roman;Times;serif" w:hAnsi="Times New Roman;Times;serif"/>
          <w:sz w:val="20"/>
        </w:rPr>
      </w:pPr>
      <w:bookmarkStart w:id="819" w:name="Tc_FWZUvXOMj0iIKfG1czB5nw_6_5"/>
      <w:bookmarkStart w:id="820" w:name="Tc_BlYC4DhKBUSuvnFLJCU-Bg_6_2"/>
      <w:bookmarkStart w:id="821" w:name="Tc_amgVnHXkPEKxC4jeacuDOQ_6_0"/>
      <w:bookmarkStart w:id="822" w:name="Tc_ugTYKh6Zp0K7XE65ZJXLfQ_5_6"/>
      <w:bookmarkStart w:id="823" w:name="Tc_5UQ3Zw1AL0-6qCwebazEiA_5_0"/>
      <w:bookmarkStart w:id="824" w:name="Tc_YD66shPT20OYgql_GK2xCQ_4_5"/>
      <w:bookmarkStart w:id="825" w:name="Tc_-A7QDtBDLEOxITnFb7RHcw_4_2"/>
      <w:bookmarkStart w:id="826" w:name="Tc_9XMtecw2XEO-EXNIzzJrCQ_4_0"/>
      <w:bookmarkStart w:id="827" w:name="Tc_uwI5813Hw0KhpleOoa0kVA_3_2"/>
      <w:bookmarkStart w:id="828" w:name="Tc_lnHWlGI4A06wWwMVGjQzZw_2_5"/>
      <w:bookmarkStart w:id="829" w:name="Tc_mfdfVQzgBUKx_bisYazoEA_2_2"/>
      <w:bookmarkStart w:id="830" w:name="Tc_D0VJtDsZ3ES5k1Bn2sUJZg_1_2"/>
      <w:bookmarkStart w:id="831" w:name="Tc_tcYeS3LpYEue3ddy660plg_9_6"/>
      <w:bookmarkStart w:id="832" w:name="Tc_SHZ5FEs0hUO236qsjJpP2Q_9_5"/>
      <w:bookmarkStart w:id="833" w:name="Tc_JmtwovuyEUqAk8QpIbhs2A_9_2"/>
      <w:bookmarkStart w:id="834" w:name="Tc_lLg5tG3iiU69N5z-UOdBBw_9_0"/>
      <w:bookmarkStart w:id="835" w:name="Tc_Q6lykNqoZEqHD-ER6_WSLw_8_6"/>
      <w:bookmarkStart w:id="836" w:name="Tc_zoyHUG3zs0ygAKwxDae6Vg_8_3"/>
      <w:bookmarkStart w:id="837" w:name="Tc_-Xre84BM4Ea9szRBXl5lNQ_8_0"/>
      <w:bookmarkStart w:id="838" w:name="Tc_P-GCaPQoykm_07eOtaQzRA_7_6"/>
      <w:bookmarkStart w:id="839" w:name="Tc_GugHbQidYECmKQrJq3NJYw_7_0"/>
      <w:bookmarkStart w:id="840" w:name="Tc_e9YR1nV2f0-O9rJIuqrVmA_6_6"/>
      <w:bookmarkStart w:id="841" w:name="Tc_T0rHQtcKHEuCZgbYWCdbug_6_0"/>
      <w:bookmarkStart w:id="842" w:name="Tc_bLSe5co7wkqYeZodTWG8ow_5_6"/>
      <w:bookmarkStart w:id="843" w:name="Tc_s7I_PGTdCE6U_bFSesDDyw_5_5"/>
      <w:bookmarkStart w:id="844" w:name="Tc_qgcplU28lEqK2B9BpnPiig_5_3"/>
      <w:bookmarkStart w:id="845" w:name="Tc_ZgZMZf3gX0OatM80Ev-woQ_5_2"/>
      <w:bookmarkStart w:id="846" w:name="Tc_6HHknlhqWEKsunEOb-OrAA_5_0"/>
      <w:bookmarkStart w:id="847" w:name="Tc_AxMjdBp2MkOfsZqKf5H6kw_4_2"/>
      <w:bookmarkStart w:id="848" w:name="Tc_K6Kyfgmvgk26HPxfKXTpCQ_3_5"/>
      <w:bookmarkStart w:id="849" w:name="Tc_MpEg0S7P7EGM6tpcc6bOHw_3_2"/>
      <w:bookmarkStart w:id="850" w:name="Tc_vkBsN4jIWk6Ks_9bW6lFzA_2_2"/>
      <w:bookmarkStart w:id="851" w:name="Tc_AqsEyudVP06FkNpmqGgM9g_1_2"/>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ascii="Times New Roman;Times;serif" w:hAnsi="Times New Roman;Times;serif"/>
          <w:sz w:val="20"/>
        </w:rPr>
        <w:t xml:space="preserve">The allowance takes into consideration numerous quantitative and qualitative factors that include receivable type, historical loss experience, delinquency trends, collection experience, current economic conditions, estimates for supportable forecasts, when appropriate, and credit risk characteristics.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ratings from credit bureaus, as well as the value of the underlying collateral.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Management performs detailed reviews of its receivables on a quarterly basis to assess the adequacy of the allowances and to determine if any impairment has occurred. Amounts determined to be uncollectable are charged directly against the allowance, while amounts recovered on previously written-off accounts increase the allowance. Changes to the allowance for credit losses are maintained through adjustments to the provision for credit losses, which are charged to current period earnings.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shows changes of the allowances for credit losses related to trade receivables for the twelve months ended December 31, 2023 and 2022, respectively:</w:t>
      </w:r>
    </w:p>
    <w:p>
      <w:pPr>
        <w:pStyle w:val="TextBody"/>
        <w:bidi w:val="0"/>
        <w:spacing w:before="0" w:after="0"/>
        <w:ind w:left="0" w:right="0" w:firstLine="720"/>
        <w:jc w:val="left"/>
        <w:rPr/>
      </w:pPr>
      <w:r>
        <w:rPr/>
        <w:t>​</w:t>
      </w:r>
    </w:p>
    <w:tbl>
      <w:tblPr>
        <w:tblW w:w="3833" w:type="dxa"/>
        <w:jc w:val="left"/>
        <w:tblInd w:w="0" w:type="dxa"/>
        <w:tblLayout w:type="fixed"/>
        <w:tblCellMar>
          <w:top w:w="0" w:type="dxa"/>
          <w:left w:w="0" w:type="dxa"/>
          <w:bottom w:w="0" w:type="dxa"/>
          <w:right w:w="0" w:type="dxa"/>
        </w:tblCellMar>
      </w:tblPr>
      <w:tblGrid>
        <w:gridCol w:w="2161"/>
        <w:gridCol w:w="109"/>
        <w:gridCol w:w="211"/>
        <w:gridCol w:w="571"/>
        <w:gridCol w:w="109"/>
        <w:gridCol w:w="211"/>
        <w:gridCol w:w="46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72235" cy="175260"/>
                      <wp:effectExtent l="0" t="0" r="0" b="0"/>
                      <wp:wrapNone/>
                      <wp:docPr id="159" name="Frame159"/>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62585" cy="175260"/>
                      <wp:effectExtent l="0" t="0" r="0" b="0"/>
                      <wp:wrapNone/>
                      <wp:docPr id="162" name="Frame1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92735" cy="175260"/>
                      <wp:effectExtent l="0" t="0" r="0" b="0"/>
                      <wp:wrapNone/>
                      <wp:docPr id="165" name="Frame165"/>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6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3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credit losses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Charge-offs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1" w:type="dxa"/>
            <w:tcBorders/>
            <w:shd w:fill="CCEEFF" w:val="clear"/>
            <w:vAlign w:val="center"/>
          </w:tcPr>
          <w:p>
            <w:pPr>
              <w:pStyle w:val="TableContents"/>
              <w:bidi w:val="0"/>
              <w:spacing w:before="0" w:after="0"/>
              <w:ind w:left="0" w:right="0" w:hanging="0"/>
              <w:jc w:val="right"/>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Recoveries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accounts receivable are as follows:</w:t>
      </w:r>
    </w:p>
    <w:p>
      <w:pPr>
        <w:pStyle w:val="TextBody"/>
        <w:bidi w:val="0"/>
        <w:spacing w:before="0" w:after="0"/>
        <w:ind w:left="0" w:right="0" w:firstLine="720"/>
        <w:jc w:val="left"/>
        <w:rPr/>
      </w:pPr>
      <w:r>
        <w:rPr/>
        <w:t>​</w:t>
      </w:r>
    </w:p>
    <w:tbl>
      <w:tblPr>
        <w:tblW w:w="5603" w:type="dxa"/>
        <w:jc w:val="left"/>
        <w:tblInd w:w="0" w:type="dxa"/>
        <w:tblLayout w:type="fixed"/>
        <w:tblCellMar>
          <w:top w:w="0" w:type="dxa"/>
          <w:left w:w="0" w:type="dxa"/>
          <w:bottom w:w="0" w:type="dxa"/>
          <w:right w:w="0" w:type="dxa"/>
        </w:tblCellMar>
      </w:tblPr>
      <w:tblGrid>
        <w:gridCol w:w="2776"/>
        <w:gridCol w:w="326"/>
        <w:gridCol w:w="211"/>
        <w:gridCol w:w="781"/>
        <w:gridCol w:w="326"/>
        <w:gridCol w:w="211"/>
        <w:gridCol w:w="781"/>
        <w:gridCol w:w="19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762760" cy="175260"/>
                      <wp:effectExtent l="0" t="0" r="0" b="0"/>
                      <wp:wrapNone/>
                      <wp:docPr id="166" name="Frame166"/>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9"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2"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1285" cy="175260"/>
                      <wp:effectExtent l="0" t="0" r="0" b="0"/>
                      <wp:wrapNone/>
                      <wp:docPr id="173" name="Frame17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center"/>
              <w:rPr/>
            </w:pPr>
            <w:r>
              <w:rPr/>
              <w:t>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560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169,773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852" w:name="Tc_DIT37LZnO0uqQCZZ2k5AZQ_7_5"/>
      <w:bookmarkStart w:id="853" w:name="Tc_wOGxz0n4-0ecKKFxfFwQlg_7_2"/>
      <w:bookmarkStart w:id="854" w:name="Tc_BW1JokXICEClCD0Xrbf5Dw_7_0"/>
      <w:bookmarkStart w:id="855" w:name="Tc_jj1EQxdi9UOiN_jCb8eb7g_6_0"/>
      <w:bookmarkStart w:id="856" w:name="Tc_Sh0gTDPCwEW1AS5tKmiWuA_5_0"/>
      <w:bookmarkStart w:id="857" w:name="Tc_jZ6iFzHhAk6G97DrgGbsMA_4_5"/>
      <w:bookmarkStart w:id="858" w:name="Tc_bJHLVs-1mkOARj3vrAqzGA_4_2"/>
      <w:bookmarkStart w:id="859" w:name="Tc_G74iXu0DMUaaCi3OVBtYmA_4_0"/>
      <w:bookmarkStart w:id="860" w:name="Tc_UK0Vy6iLpEun_t8GNll2bg_3_2"/>
      <w:bookmarkStart w:id="861" w:name="Tc_U9tVvEfigkK-JoSMxs_W7A_2_5"/>
      <w:bookmarkStart w:id="862" w:name="Tc_FNU3xgHxG0S4IVAINPSQGA_2_2"/>
      <w:bookmarkStart w:id="863" w:name="Tc_BzG348Num0SrKFXePT6Myg_1_5"/>
      <w:bookmarkStart w:id="864" w:name="Tc_RuxFGF62hEOVssEiidz4ww_1_2"/>
      <w:bookmarkEnd w:id="852"/>
      <w:bookmarkEnd w:id="853"/>
      <w:bookmarkEnd w:id="854"/>
      <w:bookmarkEnd w:id="855"/>
      <w:bookmarkEnd w:id="856"/>
      <w:bookmarkEnd w:id="857"/>
      <w:bookmarkEnd w:id="858"/>
      <w:bookmarkEnd w:id="859"/>
      <w:bookmarkEnd w:id="860"/>
      <w:bookmarkEnd w:id="861"/>
      <w:bookmarkEnd w:id="862"/>
      <w:bookmarkEnd w:id="863"/>
      <w:bookmarkEnd w:id="864"/>
      <w:r>
        <w:rPr>
          <w:rFonts w:ascii="Times New Roman;Times;serif" w:hAnsi="Times New Roman;Times;serif"/>
          <w:b/>
          <w:sz w:val="20"/>
        </w:rPr>
        <w:t>Note 6. Inventories, net</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6019" w:type="dxa"/>
        <w:jc w:val="left"/>
        <w:tblInd w:w="0" w:type="dxa"/>
        <w:tblLayout w:type="fixed"/>
        <w:tblCellMar>
          <w:top w:w="0" w:type="dxa"/>
          <w:left w:w="0" w:type="dxa"/>
          <w:bottom w:w="0" w:type="dxa"/>
          <w:right w:w="0" w:type="dxa"/>
        </w:tblCellMar>
      </w:tblPr>
      <w:tblGrid>
        <w:gridCol w:w="2716"/>
        <w:gridCol w:w="326"/>
        <w:gridCol w:w="252"/>
        <w:gridCol w:w="888"/>
        <w:gridCol w:w="326"/>
        <w:gridCol w:w="252"/>
        <w:gridCol w:w="888"/>
        <w:gridCol w:w="37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24660" cy="175260"/>
                      <wp:effectExtent l="0" t="0" r="0" b="0"/>
                      <wp:wrapNone/>
                      <wp:docPr id="174" name="Frame174"/>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0020" cy="175260"/>
                      <wp:effectExtent l="0" t="0" r="0" b="0"/>
                      <wp:wrapNone/>
                      <wp:docPr id="176" name="Frame17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63880" cy="175260"/>
                      <wp:effectExtent l="0" t="0" r="0" b="0"/>
                      <wp:wrapNone/>
                      <wp:docPr id="177" name="Frame177"/>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0020" cy="175260"/>
                      <wp:effectExtent l="0" t="0" r="0" b="0"/>
                      <wp:wrapNone/>
                      <wp:docPr id="179" name="Frame17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63880" cy="175260"/>
                      <wp:effectExtent l="0" t="0" r="0" b="0"/>
                      <wp:wrapNone/>
                      <wp:docPr id="180" name="Frame180"/>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35585" cy="175260"/>
                      <wp:effectExtent l="0" t="0" r="0" b="0"/>
                      <wp:wrapNone/>
                      <wp:docPr id="181" name="Frame18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71" w:type="dxa"/>
            <w:tcBorders/>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    </w:t>
            </w:r>
          </w:p>
        </w:tc>
      </w:tr>
      <w:tr>
        <w:trPr/>
        <w:tc>
          <w:tcPr>
            <w:tcW w:w="6019"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0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231,200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187,313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 in process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45,373</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right"/>
              <w:rPr/>
            </w:pPr>
            <w:r>
              <w:rPr/>
              <w:t> </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35,069</w:t>
            </w:r>
          </w:p>
        </w:tc>
        <w:tc>
          <w:tcPr>
            <w:tcW w:w="371" w:type="dxa"/>
            <w:tcBorders/>
            <w:vAlign w:val="center"/>
          </w:tcPr>
          <w:p>
            <w:pPr>
              <w:pStyle w:val="TableContents"/>
              <w:bidi w:val="0"/>
              <w:spacing w:before="0" w:after="0"/>
              <w:ind w:left="0" w:right="0" w:hanging="0"/>
              <w:jc w:val="left"/>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Finished goods (completed systems)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306,482</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242,406</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When recorded, inventory reserves are intended to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our ability to realize the value of inventories based on a combination of factors including the following: forecasted sales and the size and utilization of our installed base, estimated product end of life dates, estimated current and future market value and new product introductions. Purchasing and usage alternatives are also explored to mitigate inventory exposure. In 2023, we recorded a decrease of $1.5 million in inventory reserves. At December 31, 2023 and 2022, inventories are stated net of inventory reserves of $5.2 million and $6.7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years ended December 31, 2023, 2022 and 2021, we recorded charges to cost of sales of $5.2 million, $4.6 million and $3.8 million, respectively, to adjust inventories to their lower of cost or net realizable value.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inventory on consignment at customer locations at December 31, 2023 and 2022, of $6.5 million and $6.4 million, respectively.</w:t>
      </w:r>
    </w:p>
    <w:p>
      <w:pPr>
        <w:pStyle w:val="TextBody"/>
        <w:bidi w:val="0"/>
        <w:spacing w:before="0" w:after="0"/>
        <w:ind w:left="0" w:right="0" w:firstLine="72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865" w:name="Tc_ITLNRTu9wESIOhilmDWZPA_9_5"/>
      <w:bookmarkStart w:id="866" w:name="Tc_9wtO7h6LfUqQsluge-7i5A_9_2"/>
      <w:bookmarkStart w:id="867" w:name="Tc_XoKKJCXKtEO05-2fQ-oUIg_9_0"/>
      <w:bookmarkStart w:id="868" w:name="Tc_rp_x9q5AVkGJBpylvmQNRw_8_0"/>
      <w:bookmarkStart w:id="869" w:name="Tc_epMmYPisY0uRSM_QiI77RQ_7_0"/>
      <w:bookmarkStart w:id="870" w:name="Tc_tplu8lql90OVStlab7xMXg_6_0"/>
      <w:bookmarkStart w:id="871" w:name="Tc_Ta7rR4nlj0qvm3psP2suTQ_5_0"/>
      <w:bookmarkStart w:id="872" w:name="Tc_WQtI4owTuUyACheKIsuuhg_4_5"/>
      <w:bookmarkStart w:id="873" w:name="Tc_ADvwp5CrpEaUkOhb3QJR1w_4_2"/>
      <w:bookmarkStart w:id="874" w:name="Tc_GeSMKCWgBEuhJw7v8BdKnQ_4_0"/>
      <w:bookmarkStart w:id="875" w:name="Tc_n_4pbbz7h0OKXLichcWPSQ_3_2"/>
      <w:bookmarkStart w:id="876" w:name="Tc_13XUoP-V9UCDrz4_csWGvg_2_5"/>
      <w:bookmarkStart w:id="877" w:name="Tc_4bmVRRrJZkSWsOkmrlJbEg_2_2"/>
      <w:bookmarkStart w:id="878" w:name="Tc_9rhYc6KjOEKGidF8QCKlfQ_1_2"/>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r>
        <w:rPr>
          <w:rFonts w:ascii="Times New Roman;Times;serif" w:hAnsi="Times New Roman;Times;serif"/>
          <w:b/>
          <w:sz w:val="20"/>
        </w:rPr>
        <w:t>Note 7. Property, Plant and Equipment, net</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property, plant and equipment are as follows:</w:t>
      </w:r>
    </w:p>
    <w:p>
      <w:pPr>
        <w:pStyle w:val="TextBody"/>
        <w:bidi w:val="0"/>
        <w:spacing w:before="0" w:after="0"/>
        <w:ind w:left="0" w:right="0" w:firstLine="720"/>
        <w:jc w:val="left"/>
        <w:rPr/>
      </w:pPr>
      <w:r>
        <w:rPr/>
        <w:t>​</w:t>
      </w:r>
    </w:p>
    <w:tbl>
      <w:tblPr>
        <w:tblW w:w="5783" w:type="dxa"/>
        <w:jc w:val="left"/>
        <w:tblInd w:w="0" w:type="dxa"/>
        <w:tblLayout w:type="fixed"/>
        <w:tblCellMar>
          <w:top w:w="0" w:type="dxa"/>
          <w:left w:w="0" w:type="dxa"/>
          <w:bottom w:w="0" w:type="dxa"/>
          <w:right w:w="0" w:type="dxa"/>
        </w:tblCellMar>
      </w:tblPr>
      <w:tblGrid>
        <w:gridCol w:w="2926"/>
        <w:gridCol w:w="326"/>
        <w:gridCol w:w="211"/>
        <w:gridCol w:w="796"/>
        <w:gridCol w:w="326"/>
        <w:gridCol w:w="211"/>
        <w:gridCol w:w="796"/>
        <w:gridCol w:w="1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858010" cy="175260"/>
                      <wp:effectExtent l="0" t="0" r="0" b="0"/>
                      <wp:wrapNone/>
                      <wp:docPr id="182" name="Frame182"/>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05460" cy="175260"/>
                      <wp:effectExtent l="0" t="0" r="0" b="0"/>
                      <wp:wrapNone/>
                      <wp:docPr id="185" name="Frame1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5460" cy="175260"/>
                      <wp:effectExtent l="0" t="0" r="0" b="0"/>
                      <wp:wrapNone/>
                      <wp:docPr id="188" name="Frame18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1285" cy="175260"/>
                      <wp:effectExtent l="0" t="0" r="0" b="0"/>
                      <wp:wrapNone/>
                      <wp:docPr id="189" name="Frame18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578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buildings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34,728</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62,918</w:t>
            </w:r>
          </w:p>
        </w:tc>
        <w:tc>
          <w:tcPr>
            <w:tcW w:w="1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39,664</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$6.2 million, $5.1 million and $4.2 million for the years ended December 31, 2023, 2022 and 2021, respectively. </w:t>
      </w:r>
    </w:p>
    <w:p>
      <w:pPr>
        <w:pStyle w:val="TextBody"/>
        <w:bidi w:val="0"/>
        <w:spacing w:before="0" w:after="0"/>
        <w:ind w:left="0" w:right="0" w:firstLine="720"/>
        <w:jc w:val="left"/>
        <w:rPr/>
      </w:pPr>
      <w:r>
        <w:rPr/>
        <w:t>​</w:t>
      </w:r>
    </w:p>
    <w:p>
      <w:pPr>
        <w:pStyle w:val="TextBody"/>
        <w:pBdr/>
        <w:bidi w:val="0"/>
        <w:spacing w:before="0" w:after="0"/>
        <w:ind w:left="0" w:right="0" w:hanging="360"/>
        <w:jc w:val="left"/>
        <w:rPr>
          <w:rFonts w:ascii="Times New Roman;Times;serif" w:hAnsi="Times New Roman;Times;serif"/>
          <w:b/>
          <w:sz w:val="20"/>
        </w:rPr>
      </w:pPr>
      <w:bookmarkStart w:id="879" w:name="Tc_53kpG6oG3k67fkR4BuoEFQ_8_5"/>
      <w:bookmarkStart w:id="880" w:name="Tc_iNqHxVwq1EGfd3MDWhBlPg_8_2"/>
      <w:bookmarkStart w:id="881" w:name="Tc_OIrXiRz8vk6nndFZ1KIltw_8_0"/>
      <w:bookmarkStart w:id="882" w:name="Tc_3syarsKCsEOiy1q_XDJbqQ_7_0"/>
      <w:bookmarkStart w:id="883" w:name="Tc_2vvTFqYa3UKT1iPshn0y3g_6_0"/>
      <w:bookmarkStart w:id="884" w:name="Tc_wWoMK1GB4Ueq0gRP5UEoGg_5_0"/>
      <w:bookmarkStart w:id="885" w:name="Tc_p0tM4-EdX0yUu6HSK1VVsQ_4_5"/>
      <w:bookmarkStart w:id="886" w:name="Tc_czSSGrGpdU2mceRGcYO94w_4_2"/>
      <w:bookmarkStart w:id="887" w:name="Tc_wiKIkRQdGUmdxpMiK9T49Q_4_0"/>
      <w:bookmarkStart w:id="888" w:name="Tc_BRepra3W3U6OIw40BZ4GjA_3_2"/>
      <w:bookmarkStart w:id="889" w:name="Tc_kAqip62-ZkqZiK7flQPoCw_2_5"/>
      <w:bookmarkStart w:id="890" w:name="Tc_R0Jn2AYWd0-bjfO69XN_3A_2_2"/>
      <w:bookmarkStart w:id="891" w:name="Tc_mJ0IB9oaX0mA_5wm0-fggw_1_2"/>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sz w:val="20"/>
        </w:rPr>
        <w:t>Note 8. Assets Manufactured for Internal Use, net</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Assets manufactured for internal use, included in other assets, are depreciated using the straight-line method over their 10 year estimated useful life. Their components are as follows:</w:t>
      </w:r>
    </w:p>
    <w:p>
      <w:pPr>
        <w:pStyle w:val="TextBody"/>
        <w:bidi w:val="0"/>
        <w:spacing w:before="0" w:after="0"/>
        <w:ind w:left="0" w:right="0" w:firstLine="720"/>
        <w:jc w:val="left"/>
        <w:rPr/>
      </w:pPr>
      <w:r>
        <w:rPr/>
        <w:t>​</w:t>
      </w:r>
    </w:p>
    <w:tbl>
      <w:tblPr>
        <w:tblW w:w="6248" w:type="dxa"/>
        <w:jc w:val="left"/>
        <w:tblInd w:w="0" w:type="dxa"/>
        <w:tblLayout w:type="fixed"/>
        <w:tblCellMar>
          <w:top w:w="0" w:type="dxa"/>
          <w:left w:w="0" w:type="dxa"/>
          <w:bottom w:w="0" w:type="dxa"/>
          <w:right w:w="0" w:type="dxa"/>
        </w:tblCellMar>
      </w:tblPr>
      <w:tblGrid>
        <w:gridCol w:w="3391"/>
        <w:gridCol w:w="326"/>
        <w:gridCol w:w="211"/>
        <w:gridCol w:w="796"/>
        <w:gridCol w:w="326"/>
        <w:gridCol w:w="211"/>
        <w:gridCol w:w="796"/>
        <w:gridCol w:w="191"/>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53285" cy="175260"/>
                      <wp:effectExtent l="0" t="0" r="0" b="0"/>
                      <wp:wrapNone/>
                      <wp:docPr id="190" name="Frame190"/>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05460" cy="175260"/>
                      <wp:effectExtent l="0" t="0" r="0" b="0"/>
                      <wp:wrapNone/>
                      <wp:docPr id="193" name="Frame1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6"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1285" cy="175260"/>
                      <wp:effectExtent l="0" t="0" r="0" b="0"/>
                      <wp:wrapNone/>
                      <wp:docPr id="197" name="Frame19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624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2,629</w:t>
            </w:r>
          </w:p>
        </w:tc>
        <w:tc>
          <w:tcPr>
            <w:tcW w:w="191"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(33,992)</w:t>
            </w:r>
          </w:p>
        </w:tc>
        <w:tc>
          <w:tcPr>
            <w:tcW w:w="191"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manufactured for internal use,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products are used for research and development, training, and customer demonstration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Depreciation expense was $5.6 million, $5.2 million and $5.3 million for the years ended December 31, 2023, 2022 and 2021,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the use of a specific physical space or a specific physical item.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recognize operating lease obligations under Accounting Standards Codification - Leases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The value of the right-of-use asset is initially determined based on the net present value of the associated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0"/>
        <w:ind w:left="0" w:right="0" w:hanging="0"/>
        <w:jc w:val="left"/>
        <w:rPr>
          <w:rFonts w:ascii="Times New Roman;Times;serif" w:hAnsi="Times New Roman;Times;serif"/>
          <w:sz w:val="20"/>
        </w:rPr>
      </w:pPr>
      <w:bookmarkStart w:id="892" w:name="Tc_BW9RCOYJ9EakwLPlqNem7A_16_0"/>
      <w:bookmarkStart w:id="893" w:name="Tc_Q_9cL3uJ3UiILtVxmJh5fw_14_6"/>
      <w:bookmarkStart w:id="894" w:name="Tc_WG0NKcJylUK167VINC46Vw_14_3"/>
      <w:bookmarkStart w:id="895" w:name="Tc_ehOXlSDd50aozjZ_a9uvIA_14_0"/>
      <w:bookmarkStart w:id="896" w:name="Tc_yo9l0xQLCkSoGujKgA_quw_13_1"/>
      <w:bookmarkStart w:id="897" w:name="Tc_HgF9iin6C0COP9i3IkgYpw_13_0"/>
      <w:bookmarkStart w:id="898" w:name="Tc_ifX7Q7OthEqff7HBHTx-2Q_12_0"/>
      <w:bookmarkStart w:id="899" w:name="Tc_omolk-fQcEaoR4sjCDbDLQ_11_0"/>
      <w:bookmarkStart w:id="900" w:name="Tc_ULZAIaWSs0CKnRlRpKUxQQ_10_1"/>
      <w:bookmarkStart w:id="901" w:name="Tc_xM8rvtAVZUytDGUg_81E2A_10_0"/>
      <w:bookmarkStart w:id="902" w:name="Tc_Si453Xc770-iCIyW5eEYtQ_9_6"/>
      <w:bookmarkStart w:id="903" w:name="Tc_5_250ANeKUeSlC34RVq6lw_9_3"/>
      <w:bookmarkStart w:id="904" w:name="Tc_NgHnSJ7BXEKf98LNkqgvYg_9_0"/>
      <w:bookmarkStart w:id="905" w:name="Tc_nfJQi3rNEk2RcnK7_yQhLw_8_0"/>
      <w:bookmarkStart w:id="906" w:name="Tc_V4nz-RkVC0uGB4LlhkMg3A_7_0"/>
      <w:bookmarkStart w:id="907" w:name="Tc_RKq12DpTSESmNjvFObq8xQ_6_6"/>
      <w:bookmarkStart w:id="908" w:name="Tc_BzC29MckBUmVx4-2sxOHDA_6_3"/>
      <w:bookmarkStart w:id="909" w:name="Tc_ZUTBqg_RB0ynpZ3ow7DLqg_6_0"/>
      <w:bookmarkStart w:id="910" w:name="Tc_5BTsDhX260WWID6etp_xng_5_1"/>
      <w:bookmarkStart w:id="911" w:name="Tc_AMRNSArYXE-xkvA4o51OrA_5_0"/>
      <w:bookmarkStart w:id="912" w:name="Tc_NZNPeekpWEqW1pH9FI93Ow_4_6"/>
      <w:bookmarkStart w:id="913" w:name="Tc__Eh1GNgFP0ORbfBoq0vRCw_4_3"/>
      <w:bookmarkStart w:id="914" w:name="Tc_3s64vyLDs0S2PyOufNMfkg_4_1"/>
      <w:bookmarkStart w:id="915" w:name="Tc_wHBD7cr5p0WHIBXV6NuQhQ_4_0"/>
      <w:bookmarkStart w:id="916" w:name="Tc_f_C-NMYhv0OYpUUqYo3TuA_3_3"/>
      <w:bookmarkStart w:id="917" w:name="Tc_9yZwMAkCq0afIl7rxGen2Q_3_0"/>
      <w:bookmarkStart w:id="918" w:name="Tc_25BicTRPs0u3vEJFuh5swg_2_6"/>
      <w:bookmarkStart w:id="919" w:name="Tc_w6CBP5FAt0uhJhV-KMm0sg_2_3"/>
      <w:bookmarkStart w:id="920" w:name="Tc_nIQLrRNdk0agoYoMAz3w8w_2_1"/>
      <w:bookmarkStart w:id="921" w:name="Tc_bf4R0tP9vEuyHLrSefKfiA_2_0"/>
      <w:bookmarkStart w:id="922" w:name="Tc_SQjwyVoDxEq3pB6JInostA_1_6"/>
      <w:bookmarkStart w:id="923" w:name="Tc_0r8U1l7Y3ECBxavz9HBe7Q_1_3"/>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sz w:val="20"/>
        </w:rPr>
        <w:t>liability, and is adjusted for deferred costs and possible impairments, if any.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150"/>
        <w:gridCol w:w="3514"/>
        <w:gridCol w:w="174"/>
        <w:gridCol w:w="394"/>
        <w:gridCol w:w="1213"/>
        <w:gridCol w:w="523"/>
        <w:gridCol w:w="394"/>
        <w:gridCol w:w="1213"/>
        <w:gridCol w:w="326"/>
        <w:gridCol w:w="146"/>
        <w:gridCol w:w="158"/>
      </w:tblGrid>
      <w:tr>
        <w:trPr/>
        <w:tc>
          <w:tcPr>
            <w:tcW w:w="2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65250" cy="175260"/>
                      <wp:effectExtent l="0" t="0" r="0" b="0"/>
                      <wp:wrapNone/>
                      <wp:docPr id="198" name="Frame198"/>
                      <a:graphic xmlns:a="http://schemas.openxmlformats.org/drawingml/2006/main">
                        <a:graphicData uri="http://schemas.microsoft.com/office/word/2010/wordprocessingShape">
                          <wps:wsp>
                            <wps:cNvSpPr txBox="1"/>
                            <wps:spPr>
                              <a:xfrm>
                                <a:off x="0" y="0"/>
                                <a:ext cx="136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31390" cy="175260"/>
                      <wp:effectExtent l="0" t="0" r="0" b="0"/>
                      <wp:wrapNone/>
                      <wp:docPr id="199" name="Frame199"/>
                      <a:graphic xmlns:a="http://schemas.openxmlformats.org/drawingml/2006/main">
                        <a:graphicData uri="http://schemas.microsoft.com/office/word/2010/wordprocessingShape">
                          <wps:wsp>
                            <wps:cNvSpPr txBox="1"/>
                            <wps:spPr>
                              <a:xfrm>
                                <a:off x="0" y="0"/>
                                <a:ext cx="2231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10490" cy="175260"/>
                      <wp:effectExtent l="0" t="0" r="0" b="0"/>
                      <wp:wrapNone/>
                      <wp:docPr id="200" name="Frame200"/>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50190" cy="175260"/>
                      <wp:effectExtent l="0" t="0" r="0" b="0"/>
                      <wp:wrapNone/>
                      <wp:docPr id="201" name="Frame201"/>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70255" cy="175260"/>
                      <wp:effectExtent l="0" t="0" r="0" b="0"/>
                      <wp:wrapNone/>
                      <wp:docPr id="202" name="Frame202"/>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32105" cy="175260"/>
                      <wp:effectExtent l="0" t="0" r="0" b="0"/>
                      <wp:wrapNone/>
                      <wp:docPr id="203" name="Frame20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50190" cy="175260"/>
                      <wp:effectExtent l="0" t="0" r="0" b="0"/>
                      <wp:wrapNone/>
                      <wp:docPr id="204" name="Frame20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70255" cy="175260"/>
                      <wp:effectExtent l="0" t="0" r="0" b="0"/>
                      <wp:wrapNone/>
                      <wp:docPr id="205" name="Frame205"/>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92710" cy="175260"/>
                      <wp:effectExtent l="0" t="0" r="0" b="0"/>
                      <wp:wrapNone/>
                      <wp:docPr id="207" name="Frame20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00330" cy="175260"/>
                      <wp:effectExtent l="0" t="0" r="0" b="0"/>
                      <wp:wrapNone/>
                      <wp:docPr id="208" name="Frame208"/>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0" w:type="dxa"/>
            <w:tcBorders/>
            <w:vAlign w:val="center"/>
          </w:tcPr>
          <w:p>
            <w:pPr>
              <w:pStyle w:val="TableContents"/>
              <w:bidi w:val="0"/>
              <w:spacing w:before="0" w:after="0"/>
              <w:ind w:left="0" w:right="0" w:hanging="0"/>
              <w:jc w:val="left"/>
              <w:rPr/>
            </w:pPr>
            <w:r>
              <w:rPr/>
              <w:t>​</w:t>
            </w:r>
          </w:p>
        </w:tc>
        <w:tc>
          <w:tcPr>
            <w:tcW w:w="3514" w:type="dxa"/>
            <w:tcBorders/>
            <w:vAlign w:val="center"/>
          </w:tcPr>
          <w:p>
            <w:pPr>
              <w:pStyle w:val="TableContents"/>
              <w:bidi w:val="0"/>
              <w:spacing w:before="0" w:after="0"/>
              <w:ind w:left="0" w:right="0" w:hanging="0"/>
              <w:jc w:val="left"/>
              <w:rPr/>
            </w:pPr>
            <w:r>
              <w:rPr/>
              <w:t>​</w:t>
            </w:r>
          </w:p>
        </w:tc>
        <w:tc>
          <w:tcPr>
            <w:tcW w:w="174"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Leases</w:t>
            </w:r>
          </w:p>
        </w:tc>
        <w:tc>
          <w:tcPr>
            <w:tcW w:w="35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74"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23" w:type="dxa"/>
            <w:tcBorders/>
            <w:vAlign w:val="center"/>
          </w:tcPr>
          <w:p>
            <w:pPr>
              <w:pStyle w:val="TableContents"/>
              <w:bidi w:val="0"/>
              <w:spacing w:before="0" w:after="0"/>
              <w:ind w:left="0" w:right="0" w:hanging="0"/>
              <w:jc w:val="center"/>
              <w:rPr/>
            </w:pPr>
            <w:r>
              <w:rPr/>
              <w:t>    </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left"/>
              <w:rPr/>
            </w:pPr>
            <w:r>
              <w:rPr/>
              <w:t>​</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514" w:type="dxa"/>
            <w:tcBorders/>
            <w:vAlign w:val="center"/>
          </w:tcPr>
          <w:p>
            <w:pPr>
              <w:pStyle w:val="TableContents"/>
              <w:bidi w:val="0"/>
              <w:spacing w:before="0" w:after="0"/>
              <w:ind w:left="0" w:right="0" w:hanging="0"/>
              <w:jc w:val="left"/>
              <w:rPr/>
            </w:pPr>
            <w:r>
              <w:rPr/>
              <w:t>​</w:t>
            </w:r>
          </w:p>
        </w:tc>
        <w:tc>
          <w:tcPr>
            <w:tcW w:w="174" w:type="dxa"/>
            <w:tcBorders/>
            <w:vAlign w:val="center"/>
          </w:tcPr>
          <w:p>
            <w:pPr>
              <w:pStyle w:val="TableContents"/>
              <w:bidi w:val="0"/>
              <w:spacing w:before="0" w:after="0"/>
              <w:ind w:left="0" w:right="0" w:hanging="0"/>
              <w:jc w:val="left"/>
              <w:rPr/>
            </w:pPr>
            <w:r>
              <w:rPr/>
              <w:t>​</w:t>
            </w:r>
          </w:p>
        </w:tc>
        <w:tc>
          <w:tcPr>
            <w:tcW w:w="373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 </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w:t>
            </w:r>
          </w:p>
        </w:tc>
        <w:tc>
          <w:tcPr>
            <w:tcW w:w="174"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30,716</w:t>
            </w:r>
          </w:p>
        </w:tc>
        <w:tc>
          <w:tcPr>
            <w:tcW w:w="523"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12,146</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w:t>
            </w:r>
          </w:p>
        </w:tc>
        <w:tc>
          <w:tcPr>
            <w:tcW w:w="3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w:t>
            </w:r>
          </w:p>
        </w:tc>
        <w:tc>
          <w:tcPr>
            <w:tcW w:w="174"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16,632</w:t>
            </w:r>
          </w:p>
        </w:tc>
        <w:tc>
          <w:tcPr>
            <w:tcW w:w="523"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2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17,942</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leased assets</w:t>
            </w:r>
          </w:p>
        </w:tc>
        <w:tc>
          <w:tcPr>
            <w:tcW w:w="3514"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47,348</w:t>
            </w:r>
          </w:p>
        </w:tc>
        <w:tc>
          <w:tcPr>
            <w:tcW w:w="523" w:type="dxa"/>
            <w:tcBorders/>
            <w:shd w:fill="CCEEFF" w:val="clear"/>
            <w:vAlign w:val="center"/>
          </w:tcPr>
          <w:p>
            <w:pPr>
              <w:pStyle w:val="TableContents"/>
              <w:bidi w:val="0"/>
              <w:spacing w:before="0" w:after="0"/>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30,088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514" w:type="dxa"/>
            <w:tcBorders/>
            <w:vAlign w:val="center"/>
          </w:tcPr>
          <w:p>
            <w:pPr>
              <w:pStyle w:val="TableContents"/>
              <w:bidi w:val="0"/>
              <w:spacing w:before="0" w:after="0"/>
              <w:ind w:left="0" w:right="0" w:hanging="0"/>
              <w:jc w:val="left"/>
              <w:rPr/>
            </w:pPr>
            <w:r>
              <w:rPr/>
              <w:t>​</w:t>
            </w:r>
          </w:p>
        </w:tc>
        <w:tc>
          <w:tcPr>
            <w:tcW w:w="174"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pPr>
            <w:r>
              <w:rPr/>
              <w:t>​</w:t>
            </w:r>
          </w:p>
        </w:tc>
        <w:tc>
          <w:tcPr>
            <w:tcW w:w="523"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w:t>
            </w:r>
          </w:p>
        </w:tc>
        <w:tc>
          <w:tcPr>
            <w:tcW w:w="3514" w:type="dxa"/>
            <w:tcBorders/>
            <w:vAlign w:val="center"/>
          </w:tcPr>
          <w:p>
            <w:pPr>
              <w:pStyle w:val="TableContents"/>
              <w:bidi w:val="0"/>
              <w:spacing w:before="0" w:after="0"/>
              <w:ind w:left="0" w:right="0" w:hanging="0"/>
              <w:jc w:val="left"/>
              <w:rPr/>
            </w:pPr>
            <w:r>
              <w:rPr/>
              <w:t>​</w:t>
            </w:r>
          </w:p>
        </w:tc>
        <w:tc>
          <w:tcPr>
            <w:tcW w:w="174"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pPr>
            <w:r>
              <w:rPr/>
              <w:t>​</w:t>
            </w:r>
          </w:p>
        </w:tc>
        <w:tc>
          <w:tcPr>
            <w:tcW w:w="523"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w:t>
            </w:r>
          </w:p>
        </w:tc>
        <w:tc>
          <w:tcPr>
            <w:tcW w:w="3514"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current liabilities</w:t>
            </w:r>
          </w:p>
        </w:tc>
        <w:tc>
          <w:tcPr>
            <w:tcW w:w="174"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w:t>
            </w:r>
          </w:p>
        </w:tc>
        <w:tc>
          <w:tcPr>
            <w:tcW w:w="523"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5,367</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w:t>
            </w:r>
          </w:p>
        </w:tc>
        <w:tc>
          <w:tcPr>
            <w:tcW w:w="3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finance lease obligation</w:t>
            </w:r>
          </w:p>
        </w:tc>
        <w:tc>
          <w:tcPr>
            <w:tcW w:w="174"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w:t>
            </w:r>
          </w:p>
        </w:tc>
        <w:tc>
          <w:tcPr>
            <w:tcW w:w="523"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Non-current</w:t>
            </w:r>
          </w:p>
        </w:tc>
        <w:tc>
          <w:tcPr>
            <w:tcW w:w="3514"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pPr>
            <w:r>
              <w:rPr/>
              <w:t>​</w:t>
            </w:r>
          </w:p>
        </w:tc>
        <w:tc>
          <w:tcPr>
            <w:tcW w:w="523"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2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Operating </w:t>
            </w:r>
          </w:p>
        </w:tc>
        <w:tc>
          <w:tcPr>
            <w:tcW w:w="351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long-term liabilities</w:t>
            </w:r>
          </w:p>
        </w:tc>
        <w:tc>
          <w:tcPr>
            <w:tcW w:w="174"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25,724</w:t>
            </w:r>
          </w:p>
        </w:tc>
        <w:tc>
          <w:tcPr>
            <w:tcW w:w="523"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Finance </w:t>
            </w:r>
          </w:p>
        </w:tc>
        <w:tc>
          <w:tcPr>
            <w:tcW w:w="3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obligation</w:t>
            </w:r>
          </w:p>
        </w:tc>
        <w:tc>
          <w:tcPr>
            <w:tcW w:w="174"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43,674</w:t>
            </w:r>
          </w:p>
        </w:tc>
        <w:tc>
          <w:tcPr>
            <w:tcW w:w="523"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45,185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 liabilities</w:t>
            </w:r>
          </w:p>
        </w:tc>
        <w:tc>
          <w:tcPr>
            <w:tcW w:w="3514" w:type="dxa"/>
            <w:tcBorders/>
            <w:vAlign w:val="center"/>
          </w:tcPr>
          <w:p>
            <w:pPr>
              <w:pStyle w:val="TableContents"/>
              <w:bidi w:val="0"/>
              <w:spacing w:before="0" w:after="0"/>
              <w:ind w:left="0" w:right="0" w:hanging="0"/>
              <w:jc w:val="left"/>
              <w:rPr/>
            </w:pPr>
            <w:r>
              <w:rPr/>
              <w:t>​</w:t>
            </w:r>
          </w:p>
        </w:tc>
        <w:tc>
          <w:tcPr>
            <w:tcW w:w="174"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75,887</w:t>
            </w:r>
          </w:p>
        </w:tc>
        <w:tc>
          <w:tcPr>
            <w:tcW w:w="523"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58,712</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2150" w:type="dxa"/>
            <w:tcBorders/>
            <w:vAlign w:val="center"/>
          </w:tcPr>
          <w:p>
            <w:pPr>
              <w:pStyle w:val="TableContents"/>
              <w:bidi w:val="0"/>
              <w:spacing w:before="0" w:after="0"/>
              <w:ind w:left="0" w:right="0" w:hanging="0"/>
              <w:jc w:val="left"/>
              <w:rPr/>
            </w:pPr>
            <w:r>
              <w:rPr/>
              <w:t>​</w:t>
            </w:r>
          </w:p>
        </w:tc>
        <w:tc>
          <w:tcPr>
            <w:tcW w:w="3514" w:type="dxa"/>
            <w:tcBorders/>
            <w:vAlign w:val="center"/>
          </w:tcPr>
          <w:p>
            <w:pPr>
              <w:pStyle w:val="TableContents"/>
              <w:bidi w:val="0"/>
              <w:spacing w:before="0" w:after="0"/>
              <w:ind w:left="0" w:right="0" w:hanging="0"/>
              <w:jc w:val="left"/>
              <w:rPr/>
            </w:pPr>
            <w:r>
              <w:rPr/>
              <w:t>​</w:t>
            </w:r>
          </w:p>
        </w:tc>
        <w:tc>
          <w:tcPr>
            <w:tcW w:w="174"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r>
        <w:trPr/>
        <w:tc>
          <w:tcPr>
            <w:tcW w:w="9575" w:type="dxa"/>
            <w:gridSpan w:val="8"/>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*Finance lease assets are recorded net of accumulated depreciation of $46.4 million and include $0.6 million of prepaid financing costs as of December 31, 2023. Finance lease assets are recorded net of accumulated depreciation of $45.9 million and include $0.6 million of prepaid financing costs as of December 31, 2022. </w:t>
              <w:b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All of our office locations support selling and servicing functions. We also have a manufacturing facility in South Korea. Lease expense, depreciation expense relating to finance leased assets and interest expense relating to our finance lease obligation recognized within our consolidated statement of operations for the twelve-month periods ended December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0"/>
        <w:ind w:left="0" w:right="0" w:hanging="0"/>
        <w:jc w:val="left"/>
        <w:rPr>
          <w:rFonts w:ascii="Times New Roman;Times;serif" w:hAnsi="Times New Roman;Times;serif"/>
          <w:sz w:val="20"/>
        </w:rPr>
      </w:pPr>
      <w:bookmarkStart w:id="924" w:name="Tc_P4OQcCMvBEu2AXWDVIsfUw_14_0"/>
      <w:bookmarkStart w:id="925" w:name="Tc_if3Zr8V8xkGU4WjDg_wGlA_12_8"/>
      <w:bookmarkStart w:id="926" w:name="Tc_2GMLMhug-k2pMtTitxgGLw_12_5"/>
      <w:bookmarkStart w:id="927" w:name="Tc_LEDJ1Dc-502ksDtxiUd2Zg_12_2"/>
      <w:bookmarkStart w:id="928" w:name="Tc_Jgq-_HESVEGCtcgj4AgOhg_12_0"/>
      <w:bookmarkStart w:id="929" w:name="Tc_VK-9dGpeQUu-px-jNXerBQ_11_0"/>
      <w:bookmarkStart w:id="930" w:name="Tc_EtWQtQmd_0eMOeRewAQYeA_10_8"/>
      <w:bookmarkStart w:id="931" w:name="Tc_ZZmWuLJjI0y3Zx4dPWCeyg_10_5"/>
      <w:bookmarkStart w:id="932" w:name="Tc_jX80KRAQxUqeqxGkZ9KqtQ_10_2"/>
      <w:bookmarkStart w:id="933" w:name="Tc_YEwu0CD00E66C0cAcQKsFg_10_0"/>
      <w:bookmarkStart w:id="934" w:name="Tc_Gnb3uZzjx06IknEmZH2lRQ_9_0"/>
      <w:bookmarkStart w:id="935" w:name="Tc_4xE72sVHqE2Q_UAejNUHUw_8_0"/>
      <w:bookmarkStart w:id="936" w:name="Tc_3Ld0BnM8fkq0ljEWem00UQ_7_0"/>
      <w:bookmarkStart w:id="937" w:name="Tc_KXVCcMpafE27pEWjiAbhbA_6_0"/>
      <w:bookmarkStart w:id="938" w:name="Tc_ezN4ULG46UaV_bxD2huK9A_5_0"/>
      <w:bookmarkStart w:id="939" w:name="Tc_HhbfJl2B_kWRHAWH6WYhMQ_4_8"/>
      <w:bookmarkStart w:id="940" w:name="Tc_mj-bdqEa1kuYVQ4BTKFpMg_4_5"/>
      <w:bookmarkStart w:id="941" w:name="Tc_u2x7-WO73E6Tg5fj5cjEog_4_2"/>
      <w:bookmarkStart w:id="942" w:name="Tc_g3u6ye8OLUa3Mr-K51x0zg_4_0"/>
      <w:bookmarkStart w:id="943" w:name="Tc_qm0sQy6xDUiw_51Nz-wcVA_3_2"/>
      <w:bookmarkStart w:id="944" w:name="Tc__igrvB_270GLBQNxluQpQg_2_8"/>
      <w:bookmarkStart w:id="945" w:name="Tc_-NSzvE5BJEiaXfXM-uPWYA_2_5"/>
      <w:bookmarkStart w:id="946" w:name="Tc_2Vxng6YoHUGPHPacXVx6ZQ_2_2"/>
      <w:bookmarkStart w:id="947" w:name="Tc_KzQakF4eVEuCabnfQah7PA_2_0"/>
      <w:bookmarkStart w:id="948" w:name="Tc_ANUNRDFJaEqofzm0I18Ofw_1_8"/>
      <w:bookmarkStart w:id="949" w:name="Tc_WkHxKFsCq0CYGIWBjhLuMg_1_5"/>
      <w:bookmarkStart w:id="950" w:name="Tc_HdgVjxOG6kmpLVZKiBTuFQ_1_2"/>
      <w:bookmarkStart w:id="951" w:name="Tc_TpjTFijtxEa0cSdJh0knOw_17_0"/>
      <w:bookmarkStart w:id="952" w:name="Tc_o2baVISc2EmgFu1w4-9IYg_15_9"/>
      <w:bookmarkStart w:id="953" w:name="Tc_P8UNFHutJUWqjMtx2UjLiQ_15_6"/>
      <w:bookmarkStart w:id="954" w:name="Tc_aOjSM-ZXD0GXntDkoVa_3w_15_3"/>
      <w:bookmarkStart w:id="955" w:name="Tc_MK_L8bkFEky1t3Z4hcscHg_15_0"/>
      <w:bookmarkStart w:id="956" w:name="Tc_vl-pTJOoUUCSpFhjKwdMDw_13_9"/>
      <w:bookmarkStart w:id="957" w:name="Tc_jiDiTAtHHUKMZDVkFqOh2g_13_6"/>
      <w:bookmarkStart w:id="958" w:name="Tc_-K7Ny49MN0SYHG3gWUoCUQ_13_3"/>
      <w:bookmarkStart w:id="959" w:name="Tc_S5lshmg3I0W4oZAIjuamqA_13_0"/>
      <w:bookmarkStart w:id="960" w:name="Tc_2_tfMKOOjEer6ybcWRAb6g_12_1"/>
      <w:bookmarkStart w:id="961" w:name="Tc_wBNPyVZzBEKNY6CrfPg8Rw_12_0"/>
      <w:bookmarkStart w:id="962" w:name="Tc_N-jCF6hyS0OmNcPrkEMp2g_11_9"/>
      <w:bookmarkStart w:id="963" w:name="Tc_qSgzIqwTqkClRxiBX0BgPQ_11_6"/>
      <w:bookmarkStart w:id="964" w:name="Tc_USkWt4WZJEuOdByikyJUJQ_11_3"/>
      <w:bookmarkStart w:id="965" w:name="Tc_SxTAkfxrEEWVFAb_LCWFYA_11_1"/>
      <w:bookmarkStart w:id="966" w:name="Tc_KME9SNxGUEio_pqnA4_zDQ_11_0"/>
      <w:bookmarkStart w:id="967" w:name="Tc_OdkQADNag0eLyRIMW0JsWw_10_0"/>
      <w:bookmarkStart w:id="968" w:name="Tc_ThaJ3mfC7EOjRyhzeHKpAQ_9_9"/>
      <w:bookmarkStart w:id="969" w:name="Tc_ouWNJFSDIUazXww5912b5Q_9_6"/>
      <w:bookmarkStart w:id="970" w:name="Tc_sIEMer9xIkObGF9P8LUQDg_9_3"/>
      <w:bookmarkStart w:id="971" w:name="Tc_r4DVuo_Q_EeMrQFS4wTbVA_9_0"/>
      <w:bookmarkStart w:id="972" w:name="Tc_tBuR_66L9EyaWJEGqLuDzg_8_1"/>
      <w:bookmarkStart w:id="973" w:name="Tc_8UaNN67fBkK4xfNvtfgTBg_8_0"/>
      <w:bookmarkStart w:id="974" w:name="Tc_qsB9YP76xEmK8CEDce-HiQ_7_1"/>
      <w:bookmarkStart w:id="975" w:name="Tc_PTg9uvOGBU2X2NV-UjcHjQ_7_0"/>
      <w:bookmarkStart w:id="976" w:name="Tc_9jbboE6zD0qa6fK2l75z7Q_6_1"/>
      <w:bookmarkStart w:id="977" w:name="Tc_GOqQ3C2Dm02Fhtv3evUmPA_6_0"/>
      <w:bookmarkStart w:id="978" w:name="Tc_h2fxCp76qU6pOMwinAoy2Q_5_9"/>
      <w:bookmarkStart w:id="979" w:name="Tc_j4jN00AXCUOxS9wsCi6h_A_5_6"/>
      <w:bookmarkStart w:id="980" w:name="Tc_A1ql7pxWWEuuSbAIWfxXqQ_5_3"/>
      <w:bookmarkStart w:id="981" w:name="Tc_2E0hr9--MEaZ9cLmTLp4hg_5_1"/>
      <w:bookmarkStart w:id="982" w:name="Tc_DgDsLCVJo0u72BZCxOC_wA_5_0"/>
      <w:bookmarkStart w:id="983" w:name="Tc_-HWzyEv1DE6MUMmamMNeYA_4_3"/>
      <w:bookmarkStart w:id="984" w:name="Tc_30kqqiaeiEy0bPee4AjrKg_4_0"/>
      <w:bookmarkStart w:id="985" w:name="Tc_cEk0gUJH4ESch9-Er8d7rA_3_9"/>
      <w:bookmarkStart w:id="986" w:name="Tc_as1gK91Gxkm_rTl3bqrrEQ_3_6"/>
      <w:bookmarkStart w:id="987" w:name="Tc_6vhtZQVuwkW48PUy9eR7sw_3_3"/>
      <w:bookmarkStart w:id="988" w:name="Tc_7rX1C3BDl0yv-zEvrxzZJg_3_1"/>
      <w:bookmarkStart w:id="989" w:name="Tc_-zIlbxnIsU6CMJ8XSKK5iw_3_0"/>
      <w:bookmarkStart w:id="990" w:name="Tc_R4Cqauq3gE60QkRkHyLBfQ_2_3"/>
      <w:bookmarkStart w:id="991" w:name="Tc_8qiV-yG05EC1Nlasi9Wuag_1_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sz w:val="20"/>
        </w:rPr>
        <w:t>31, 2023, 2022 and 2021 are as follows: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824"/>
        <w:gridCol w:w="4355"/>
        <w:gridCol w:w="128"/>
        <w:gridCol w:w="231"/>
        <w:gridCol w:w="710"/>
        <w:gridCol w:w="385"/>
        <w:gridCol w:w="231"/>
        <w:gridCol w:w="710"/>
        <w:gridCol w:w="385"/>
        <w:gridCol w:w="231"/>
        <w:gridCol w:w="710"/>
        <w:gridCol w:w="146"/>
        <w:gridCol w:w="159"/>
      </w:tblGrid>
      <w:tr>
        <w:trPr/>
        <w:tc>
          <w:tcPr>
            <w:tcW w:w="1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158240" cy="175260"/>
                      <wp:effectExtent l="0" t="0" r="0" b="0"/>
                      <wp:wrapNone/>
                      <wp:docPr id="209" name="Frame209"/>
                      <a:graphic xmlns:a="http://schemas.openxmlformats.org/drawingml/2006/main">
                        <a:graphicData uri="http://schemas.microsoft.com/office/word/2010/wordprocessingShape">
                          <wps:wsp>
                            <wps:cNvSpPr txBox="1"/>
                            <wps:spPr>
                              <a:xfrm>
                                <a:off x="0" y="0"/>
                                <a:ext cx="1158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765425" cy="175260"/>
                      <wp:effectExtent l="0" t="0" r="0" b="0"/>
                      <wp:wrapNone/>
                      <wp:docPr id="210" name="Frame210"/>
                      <a:graphic xmlns:a="http://schemas.openxmlformats.org/drawingml/2006/main">
                        <a:graphicData uri="http://schemas.microsoft.com/office/word/2010/wordprocessingShape">
                          <wps:wsp>
                            <wps:cNvSpPr txBox="1"/>
                            <wps:spPr>
                              <a:xfrm>
                                <a:off x="0" y="0"/>
                                <a:ext cx="276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1280" cy="175260"/>
                      <wp:effectExtent l="0" t="0" r="0" b="0"/>
                      <wp:wrapNone/>
                      <wp:docPr id="211" name="Frame211"/>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6685" cy="175260"/>
                      <wp:effectExtent l="0" t="0" r="0" b="0"/>
                      <wp:wrapNone/>
                      <wp:docPr id="212" name="Frame212"/>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50850" cy="175260"/>
                      <wp:effectExtent l="0" t="0" r="0" b="0"/>
                      <wp:wrapNone/>
                      <wp:docPr id="213" name="Frame21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4475" cy="175260"/>
                      <wp:effectExtent l="0" t="0" r="0" b="0"/>
                      <wp:wrapNone/>
                      <wp:docPr id="214" name="Frame21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6685" cy="175260"/>
                      <wp:effectExtent l="0" t="0" r="0" b="0"/>
                      <wp:wrapNone/>
                      <wp:docPr id="215" name="Frame21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50850" cy="175260"/>
                      <wp:effectExtent l="0" t="0" r="0" b="0"/>
                      <wp:wrapNone/>
                      <wp:docPr id="216" name="Frame21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4475" cy="175260"/>
                      <wp:effectExtent l="0" t="0" r="0" b="0"/>
                      <wp:wrapNone/>
                      <wp:docPr id="217" name="Frame21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6685" cy="175260"/>
                      <wp:effectExtent l="0" t="0" r="0" b="0"/>
                      <wp:wrapNone/>
                      <wp:docPr id="218" name="Frame21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50850" cy="175260"/>
                      <wp:effectExtent l="0" t="0" r="0" b="0"/>
                      <wp:wrapNone/>
                      <wp:docPr id="219" name="Frame219"/>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92710" cy="175260"/>
                      <wp:effectExtent l="0" t="0" r="0" b="0"/>
                      <wp:wrapNone/>
                      <wp:docPr id="220" name="Frame22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00965" cy="175260"/>
                      <wp:effectExtent l="0" t="0" r="0" b="0"/>
                      <wp:wrapNone/>
                      <wp:docPr id="221" name="Frame221"/>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24" w:type="dxa"/>
            <w:tcBorders/>
            <w:vAlign w:val="center"/>
          </w:tcPr>
          <w:p>
            <w:pPr>
              <w:pStyle w:val="TableContents"/>
              <w:bidi w:val="0"/>
              <w:spacing w:before="0" w:after="0"/>
              <w:ind w:left="0" w:right="0" w:hanging="0"/>
              <w:jc w:val="left"/>
              <w:rPr/>
            </w:pPr>
            <w:r>
              <w:rPr/>
              <w:t>​</w:t>
            </w:r>
          </w:p>
        </w:tc>
        <w:tc>
          <w:tcPr>
            <w:tcW w:w="435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35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46" w:type="dxa"/>
            <w:tcBorders/>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pPr>
            <w:r>
              <w:rPr/>
              <w:t>​</w:t>
            </w:r>
          </w:p>
        </w:tc>
        <w:tc>
          <w:tcPr>
            <w:tcW w:w="435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35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46" w:type="dxa"/>
            <w:tcBorders/>
            <w:vAlign w:val="center"/>
          </w:tcPr>
          <w:p>
            <w:pPr>
              <w:pStyle w:val="TableContents"/>
              <w:bidi w:val="0"/>
              <w:spacing w:before="0" w:after="0"/>
              <w:ind w:left="0" w:right="0" w:hanging="0"/>
              <w:jc w:val="center"/>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cost</w:t>
            </w:r>
          </w:p>
        </w:tc>
        <w:tc>
          <w:tcPr>
            <w:tcW w:w="43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Classification</w:t>
            </w:r>
          </w:p>
        </w:tc>
        <w:tc>
          <w:tcPr>
            <w:tcW w:w="128" w:type="dxa"/>
            <w:tcBorders/>
            <w:vAlign w:val="center"/>
          </w:tcPr>
          <w:p>
            <w:pPr>
              <w:pStyle w:val="TableContents"/>
              <w:bidi w:val="0"/>
              <w:spacing w:before="0" w:after="0"/>
              <w:ind w:left="0" w:right="0" w:hanging="0"/>
              <w:jc w:val="left"/>
              <w:rPr/>
            </w:pPr>
            <w:r>
              <w:rPr/>
              <w:t>​</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5" w:type="dxa"/>
            <w:tcBorders/>
            <w:vAlign w:val="center"/>
          </w:tcPr>
          <w:p>
            <w:pPr>
              <w:pStyle w:val="TableContents"/>
              <w:bidi w:val="0"/>
              <w:spacing w:before="0" w:after="0"/>
              <w:ind w:left="0" w:right="0" w:hanging="0"/>
              <w:jc w:val="center"/>
              <w:rPr/>
            </w:pPr>
            <w:r>
              <w:rPr/>
              <w:t>    </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5" w:type="dxa"/>
            <w:tcBorders/>
            <w:vAlign w:val="center"/>
          </w:tcPr>
          <w:p>
            <w:pPr>
              <w:pStyle w:val="TableContents"/>
              <w:bidi w:val="0"/>
              <w:spacing w:before="0" w:after="0"/>
              <w:ind w:left="0" w:right="0" w:hanging="0"/>
              <w:jc w:val="center"/>
              <w:rPr/>
            </w:pPr>
            <w:r>
              <w:rPr/>
              <w:t>    </w:t>
            </w:r>
          </w:p>
        </w:tc>
        <w:tc>
          <w:tcPr>
            <w:tcW w:w="9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left"/>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lease cost</w:t>
            </w:r>
          </w:p>
        </w:tc>
        <w:tc>
          <w:tcPr>
            <w:tcW w:w="435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359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 services*</w:t>
            </w:r>
          </w:p>
        </w:tc>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12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7,297</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5,427</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4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2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c>
          <w:tcPr>
            <w:tcW w:w="3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w:t>
            </w:r>
          </w:p>
        </w:tc>
        <w:tc>
          <w:tcPr>
            <w:tcW w:w="3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righ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Sales and marketing*</w:t>
            </w:r>
          </w:p>
        </w:tc>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2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1,674</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1,526</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righ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1,605</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4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12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1,111</w:t>
            </w:r>
          </w:p>
        </w:tc>
        <w:tc>
          <w:tcPr>
            <w:tcW w:w="385"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385"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lease cost</w:t>
            </w:r>
          </w:p>
        </w:tc>
        <w:tc>
          <w:tcPr>
            <w:tcW w:w="4355"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10,669</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8,340</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6,009</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Finance lease cost</w:t>
            </w:r>
          </w:p>
        </w:tc>
        <w:tc>
          <w:tcPr>
            <w:tcW w:w="435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leased assets</w:t>
            </w:r>
          </w:p>
        </w:tc>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revenue, Research and development, Sales and marketing and General and administrative</w:t>
            </w:r>
          </w:p>
        </w:tc>
        <w:tc>
          <w:tcPr>
            <w:tcW w:w="128"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on lease liabilities</w:t>
            </w:r>
          </w:p>
        </w:tc>
        <w:tc>
          <w:tcPr>
            <w:tcW w:w="43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2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4,874</w:t>
            </w:r>
          </w:p>
        </w:tc>
        <w:tc>
          <w:tcPr>
            <w:tcW w:w="385"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4,992</w:t>
            </w:r>
          </w:p>
        </w:tc>
        <w:tc>
          <w:tcPr>
            <w:tcW w:w="385"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5,086</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finance lease cost</w:t>
            </w:r>
          </w:p>
        </w:tc>
        <w:tc>
          <w:tcPr>
            <w:tcW w:w="4355"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6,184</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6,288</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6,392</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pPr>
            <w:r>
              <w:rPr/>
              <w:t>​</w:t>
            </w:r>
          </w:p>
        </w:tc>
        <w:tc>
          <w:tcPr>
            <w:tcW w:w="435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lease cost</w:t>
            </w:r>
          </w:p>
        </w:tc>
        <w:tc>
          <w:tcPr>
            <w:tcW w:w="4355"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16,853</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14,628</w:t>
            </w:r>
          </w:p>
        </w:tc>
        <w:tc>
          <w:tcPr>
            <w:tcW w:w="385"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12,401</w:t>
            </w:r>
          </w:p>
        </w:tc>
        <w:tc>
          <w:tcPr>
            <w:tcW w:w="146"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pPr>
            <w:r>
              <w:rPr/>
              <w:t>​</w:t>
            </w:r>
          </w:p>
        </w:tc>
        <w:tc>
          <w:tcPr>
            <w:tcW w:w="4355"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r>
        <w:trPr/>
        <w:tc>
          <w:tcPr>
            <w:tcW w:w="9900" w:type="dxa"/>
            <w:gridSpan w:val="11"/>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Product / services, sales and marketing and general and administrative expense also includes short-term lease and variable lease costs of approximately $2.1 million, $1.8 million and $1.9 million for the years ended December 31, 2023, 2022 2021, respectively.</w:t>
            </w:r>
          </w:p>
        </w:tc>
        <w:tc>
          <w:tcPr>
            <w:tcW w:w="146" w:type="dxa"/>
            <w:tcBorders/>
            <w:vAlign w:val="center"/>
          </w:tcPr>
          <w:p>
            <w:pPr>
              <w:pStyle w:val="TableContents"/>
              <w:bidi w:val="0"/>
              <w:spacing w:before="0" w:after="0"/>
              <w:ind w:left="0" w:right="0" w:hanging="0"/>
              <w:jc w:val="left"/>
              <w:rPr/>
            </w:pPr>
            <w:r>
              <w:rPr/>
              <w:t>​</w:t>
            </w:r>
          </w:p>
        </w:tc>
        <w:tc>
          <w:tcPr>
            <w:tcW w:w="15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corporate headquarters, shown below under finance leases, has an original lease term of 22 years. All other locations are treated as operating leases, with lease terms ranging from 1 to 16 years. The tables below reflect the minimum cash outflow regarding our current lease obligations as well as the weighted-average remaining lease term and weighted-average discount rates used in our calculation of our lease obligations and right-of-use assets:</w:t>
      </w:r>
    </w:p>
    <w:p>
      <w:pPr>
        <w:pStyle w:val="TextBody"/>
        <w:bidi w:val="0"/>
        <w:spacing w:before="0" w:after="0"/>
        <w:ind w:left="0" w:right="0" w:firstLine="720"/>
        <w:jc w:val="left"/>
        <w:rPr/>
      </w:pPr>
      <w:r>
        <w:rPr/>
        <w:t>​</w:t>
      </w:r>
    </w:p>
    <w:tbl>
      <w:tblPr>
        <w:tblW w:w="10056" w:type="dxa"/>
        <w:jc w:val="left"/>
        <w:tblInd w:w="0" w:type="dxa"/>
        <w:tblLayout w:type="fixed"/>
        <w:tblCellMar>
          <w:top w:w="0" w:type="dxa"/>
          <w:left w:w="0" w:type="dxa"/>
          <w:bottom w:w="0" w:type="dxa"/>
          <w:right w:w="0" w:type="dxa"/>
        </w:tblCellMar>
      </w:tblPr>
      <w:tblGrid>
        <w:gridCol w:w="4883"/>
        <w:gridCol w:w="164"/>
        <w:gridCol w:w="296"/>
        <w:gridCol w:w="1091"/>
        <w:gridCol w:w="164"/>
        <w:gridCol w:w="296"/>
        <w:gridCol w:w="1091"/>
        <w:gridCol w:w="493"/>
        <w:gridCol w:w="296"/>
        <w:gridCol w:w="1091"/>
        <w:gridCol w:w="191"/>
      </w:tblGrid>
      <w:tr>
        <w:trPr/>
        <w:tc>
          <w:tcPr>
            <w:tcW w:w="4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100705" cy="175260"/>
                      <wp:effectExtent l="0" t="0" r="0" b="0"/>
                      <wp:wrapNone/>
                      <wp:docPr id="222" name="Frame222"/>
                      <a:graphic xmlns:a="http://schemas.openxmlformats.org/drawingml/2006/main">
                        <a:graphicData uri="http://schemas.microsoft.com/office/word/2010/wordprocessingShape">
                          <wps:wsp>
                            <wps:cNvSpPr txBox="1"/>
                            <wps:spPr>
                              <a:xfrm>
                                <a:off x="0" y="0"/>
                                <a:ext cx="310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04140" cy="175260"/>
                      <wp:effectExtent l="0" t="0" r="0" b="0"/>
                      <wp:wrapNone/>
                      <wp:docPr id="223" name="Frame223"/>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87960" cy="175260"/>
                      <wp:effectExtent l="0" t="0" r="0" b="0"/>
                      <wp:wrapNone/>
                      <wp:docPr id="224" name="Frame22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785" cy="175260"/>
                      <wp:effectExtent l="0" t="0" r="0" b="0"/>
                      <wp:wrapNone/>
                      <wp:docPr id="225" name="Frame225"/>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04140" cy="175260"/>
                      <wp:effectExtent l="0" t="0" r="0" b="0"/>
                      <wp:wrapNone/>
                      <wp:docPr id="226" name="Frame226"/>
                      <a:graphic xmlns:a="http://schemas.openxmlformats.org/drawingml/2006/main">
                        <a:graphicData uri="http://schemas.microsoft.com/office/word/2010/wordprocessingShape">
                          <wps:wsp>
                            <wps:cNvSpPr txBox="1"/>
                            <wps:spPr>
                              <a:xfrm>
                                <a:off x="0" y="0"/>
                                <a:ext cx="104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7960" cy="175260"/>
                      <wp:effectExtent l="0" t="0" r="0" b="0"/>
                      <wp:wrapNone/>
                      <wp:docPr id="227" name="Frame22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785" cy="175260"/>
                      <wp:effectExtent l="0" t="0" r="0" b="0"/>
                      <wp:wrapNone/>
                      <wp:docPr id="228" name="Frame228"/>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13055" cy="175260"/>
                      <wp:effectExtent l="0" t="0" r="0" b="0"/>
                      <wp:wrapNone/>
                      <wp:docPr id="229" name="Frame229"/>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87960" cy="175260"/>
                      <wp:effectExtent l="0" t="0" r="0" b="0"/>
                      <wp:wrapNone/>
                      <wp:docPr id="230" name="Frame23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785" cy="175260"/>
                      <wp:effectExtent l="0" t="0" r="0" b="0"/>
                      <wp:wrapNone/>
                      <wp:docPr id="231" name="Frame231"/>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1285" cy="175260"/>
                      <wp:effectExtent l="0" t="0" r="0" b="0"/>
                      <wp:wrapNone/>
                      <wp:docPr id="232" name="Frame23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83"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493" w:type="dxa"/>
            <w:tcBorders/>
            <w:vAlign w:val="center"/>
          </w:tcPr>
          <w:p>
            <w:pPr>
              <w:pStyle w:val="TableContents"/>
              <w:bidi w:val="0"/>
              <w:spacing w:before="0" w:after="0"/>
              <w:ind w:left="0" w:right="0" w:hanging="0"/>
              <w:jc w:val="center"/>
              <w:rPr/>
            </w:pPr>
            <w:r>
              <w:rPr/>
              <w:t>    </w:t>
            </w:r>
          </w:p>
        </w:tc>
        <w:tc>
          <w:tcPr>
            <w:tcW w:w="13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48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Maturity of Lease Liabilities</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64" w:type="dxa"/>
            <w:tcBorders/>
            <w:vAlign w:val="center"/>
          </w:tcPr>
          <w:p>
            <w:pPr>
              <w:pStyle w:val="TableContents"/>
              <w:bidi w:val="0"/>
              <w:spacing w:before="0" w:after="0"/>
              <w:ind w:left="0" w:right="0" w:hanging="0"/>
              <w:jc w:val="left"/>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493" w:type="dxa"/>
            <w:tcBorders/>
            <w:vAlign w:val="center"/>
          </w:tcPr>
          <w:p>
            <w:pPr>
              <w:pStyle w:val="TableContents"/>
              <w:bidi w:val="0"/>
              <w:spacing w:before="0" w:after="0"/>
              <w:ind w:left="0" w:right="0" w:hanging="0"/>
              <w:jc w:val="center"/>
              <w:rPr/>
            </w:pPr>
            <w:r>
              <w:rPr/>
              <w:t>​</w:t>
            </w:r>
          </w:p>
        </w:tc>
        <w:tc>
          <w:tcPr>
            <w:tcW w:w="13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191" w:type="dxa"/>
            <w:tcBorders/>
            <w:vAlign w:val="center"/>
          </w:tcPr>
          <w:p>
            <w:pPr>
              <w:pStyle w:val="TableContents"/>
              <w:bidi w:val="0"/>
              <w:spacing w:before="0" w:after="0"/>
              <w:ind w:left="0" w:right="0" w:hanging="0"/>
              <w:jc w:val="left"/>
              <w:rPr/>
            </w:pPr>
            <w:r>
              <w:rPr/>
              <w:t>​</w:t>
            </w:r>
          </w:p>
        </w:tc>
      </w:tr>
      <w:tr>
        <w:trPr/>
        <w:tc>
          <w:tcPr>
            <w:tcW w:w="1005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883"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481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6,252</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6,529</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2025</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5,930</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4,970</w:t>
            </w:r>
          </w:p>
        </w:tc>
        <w:tc>
          <w:tcPr>
            <w:tcW w:w="493"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10,900</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2026</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6,008</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3,613</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9,621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2027</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6,128</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2,530</w:t>
            </w:r>
          </w:p>
        </w:tc>
        <w:tc>
          <w:tcPr>
            <w:tcW w:w="493"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8,658</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2028</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6,251</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1,926</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Thereafter</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55,336</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23,205</w:t>
            </w:r>
          </w:p>
        </w:tc>
        <w:tc>
          <w:tcPr>
            <w:tcW w:w="493"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78,541</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lease payments</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85,905</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42,773</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128,678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interest portion*</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(40,720)</w:t>
            </w:r>
          </w:p>
        </w:tc>
        <w:tc>
          <w:tcPr>
            <w:tcW w:w="164"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(12,071)</w:t>
            </w:r>
          </w:p>
        </w:tc>
        <w:tc>
          <w:tcPr>
            <w:tcW w:w="493"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(52,791)</w:t>
            </w:r>
          </w:p>
        </w:tc>
        <w:tc>
          <w:tcPr>
            <w:tcW w:w="191" w:type="dxa"/>
            <w:tcBorders/>
            <w:vAlign w:val="center"/>
          </w:tcPr>
          <w:p>
            <w:pPr>
              <w:pStyle w:val="TableContents"/>
              <w:bidi w:val="0"/>
              <w:spacing w:before="0" w:after="0"/>
              <w:ind w:left="0" w:right="0" w:hanging="0"/>
              <w:jc w:val="left"/>
              <w:rPr/>
            </w:pPr>
            <w:r>
              <w:rPr/>
              <w:t>​</w:t>
            </w:r>
          </w:p>
        </w:tc>
      </w:tr>
      <w:tr>
        <w:trPr/>
        <w:tc>
          <w:tcPr>
            <w:tcW w:w="488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and operating lease obligations</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45,185</w:t>
            </w:r>
          </w:p>
        </w:tc>
        <w:tc>
          <w:tcPr>
            <w:tcW w:w="164"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30,702</w:t>
            </w:r>
          </w:p>
        </w:tc>
        <w:tc>
          <w:tcPr>
            <w:tcW w:w="493"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83" w:type="dxa"/>
            <w:tcBorders/>
            <w:vAlign w:val="center"/>
          </w:tcPr>
          <w:p>
            <w:pPr>
              <w:pStyle w:val="TableContents"/>
              <w:bidi w:val="0"/>
              <w:spacing w:before="0" w:after="0"/>
              <w:ind w:left="0" w:right="0" w:hanging="0"/>
              <w:jc w:val="left"/>
              <w:rPr/>
            </w:pPr>
            <w:r>
              <w:rPr/>
              <w:t>​</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164"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493"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9865" w:type="dxa"/>
            <w:gridSpan w:val="1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Finance lease interest calculated using the implied interest rate; operating lease interest calculated using estimated corporate borrowing rate.</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above does not include options to renew lease terms that are not reasonably certain of being exercised, nor leases signed but not yet commenced as of December 31, 2023.</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Normal"/>
        <w:bidi w:val="0"/>
        <w:spacing w:before="0" w:after="0"/>
        <w:ind w:left="600" w:right="600" w:hanging="0"/>
        <w:jc w:val="left"/>
        <w:rPr>
          <w:sz w:val="4"/>
          <w:szCs w:val="4"/>
        </w:rPr>
      </w:pPr>
      <w:r>
        <w:rPr>
          <w:sz w:val="4"/>
          <w:szCs w:val="4"/>
        </w:rPr>
      </w:r>
      <w:bookmarkStart w:id="992" w:name="Tc_nu4Nqe-Zz0m__yhd38Moyw_9_9"/>
      <w:bookmarkStart w:id="993" w:name="Tc_7sttUzSjyUOzIozr-jlAJQ_9_6"/>
      <w:bookmarkStart w:id="994" w:name="Tc_Y-oPOE5aI06JOQYRQ5acJw_9_3"/>
      <w:bookmarkStart w:id="995" w:name="Tc_OXN4JEZqKk2d0JCIMG5-3Q_9_0"/>
      <w:bookmarkStart w:id="996" w:name="Tc_jCq6w9mEY06V9CyKK32XKA_8_0"/>
      <w:bookmarkStart w:id="997" w:name="Tc__OV7jv2BQ0WXsSlogbphoA_7_0"/>
      <w:bookmarkStart w:id="998" w:name="Tc_iCF-g74tlUC-Y2I1tlRaQg_6_0"/>
      <w:bookmarkStart w:id="999" w:name="Tc_3YY2DEtvpEarTevGybgskg_5_8"/>
      <w:bookmarkStart w:id="1000" w:name="Tc_NJZflrXvz0G1MLbDO_Z33g_5_5"/>
      <w:bookmarkStart w:id="1001" w:name="Tc_ROPbx9CCeky41qM0I3TUiw_5_2"/>
      <w:bookmarkStart w:id="1002" w:name="Tc_5aPFR9oVZEycglOSh9ClAA_5_0"/>
      <w:bookmarkStart w:id="1003" w:name="Tc_hb3YF1S8FEWNACpBWSPq3A_4_2"/>
      <w:bookmarkStart w:id="1004" w:name="Tc_wKrvymt9OEaDB1KlbZNuIA_3_8"/>
      <w:bookmarkStart w:id="1005" w:name="Tc_pbD8DVer4UKPF56c8Lqj0g_3_5"/>
      <w:bookmarkStart w:id="1006" w:name="Tc_rz_Z_5Ugb0WENnyCT9sk-w_3_2"/>
      <w:bookmarkStart w:id="1007" w:name="Tc_0085Js7wK0i2Vl5UICxuLw_3_0"/>
      <w:bookmarkStart w:id="1008" w:name="Tc_-GyLyMe5mEaWOX8qyX72lg_2_2"/>
      <w:bookmarkStart w:id="1009" w:name="Tc_LcnIpEXKaUW1BFczyc9sww_8_0"/>
      <w:bookmarkStart w:id="1010" w:name="Tc_ihuU0qNC1E2v37v8L4Vs3w_7_0"/>
      <w:bookmarkStart w:id="1011" w:name="Tc_ow6P2PATFEKH5J-f8LVRxw_6_0"/>
      <w:bookmarkStart w:id="1012" w:name="Tc_lDP5iEwAR0WNTdviGIwj-g_5_0"/>
      <w:bookmarkStart w:id="1013" w:name="Tc_LbFjPvR45EOtL_sdmUCZwg_4_0"/>
      <w:bookmarkStart w:id="1014" w:name="Tc_teocvxch4EijcDOSt62X8A_3_0"/>
      <w:bookmarkStart w:id="1015" w:name="Tc_72XR6yw4NkKg1WmzzSxX4Q_2_2"/>
      <w:bookmarkStart w:id="1016" w:name="Tc_DwDeO6Odd02R8L8_WK9Ysw_2_0"/>
      <w:bookmarkStart w:id="1017" w:name="Tc_aXe7zyM0i0WB7rXyL5ozmw_1_2"/>
      <w:bookmarkStart w:id="1018" w:name="Tc_nu4Nqe-Zz0m__yhd38Moyw_9_9"/>
      <w:bookmarkStart w:id="1019" w:name="Tc_7sttUzSjyUOzIozr-jlAJQ_9_6"/>
      <w:bookmarkStart w:id="1020" w:name="Tc_Y-oPOE5aI06JOQYRQ5acJw_9_3"/>
      <w:bookmarkStart w:id="1021" w:name="Tc_OXN4JEZqKk2d0JCIMG5-3Q_9_0"/>
      <w:bookmarkStart w:id="1022" w:name="Tc_jCq6w9mEY06V9CyKK32XKA_8_0"/>
      <w:bookmarkStart w:id="1023" w:name="Tc__OV7jv2BQ0WXsSlogbphoA_7_0"/>
      <w:bookmarkStart w:id="1024" w:name="Tc_iCF-g74tlUC-Y2I1tlRaQg_6_0"/>
      <w:bookmarkStart w:id="1025" w:name="Tc_3YY2DEtvpEarTevGybgskg_5_8"/>
      <w:bookmarkStart w:id="1026" w:name="Tc_NJZflrXvz0G1MLbDO_Z33g_5_5"/>
      <w:bookmarkStart w:id="1027" w:name="Tc_ROPbx9CCeky41qM0I3TUiw_5_2"/>
      <w:bookmarkStart w:id="1028" w:name="Tc_5aPFR9oVZEycglOSh9ClAA_5_0"/>
      <w:bookmarkStart w:id="1029" w:name="Tc_hb3YF1S8FEWNACpBWSPq3A_4_2"/>
      <w:bookmarkStart w:id="1030" w:name="Tc_wKrvymt9OEaDB1KlbZNuIA_3_8"/>
      <w:bookmarkStart w:id="1031" w:name="Tc_pbD8DVer4UKPF56c8Lqj0g_3_5"/>
      <w:bookmarkStart w:id="1032" w:name="Tc_rz_Z_5Ugb0WENnyCT9sk-w_3_2"/>
      <w:bookmarkStart w:id="1033" w:name="Tc_0085Js7wK0i2Vl5UICxuLw_3_0"/>
      <w:bookmarkStart w:id="1034" w:name="Tc_-GyLyMe5mEaWOX8qyX72lg_2_2"/>
      <w:bookmarkStart w:id="1035" w:name="Tc_LcnIpEXKaUW1BFczyc9sww_8_0"/>
      <w:bookmarkStart w:id="1036" w:name="Tc_ihuU0qNC1E2v37v8L4Vs3w_7_0"/>
      <w:bookmarkStart w:id="1037" w:name="Tc_ow6P2PATFEKH5J-f8LVRxw_6_0"/>
      <w:bookmarkStart w:id="1038" w:name="Tc_lDP5iEwAR0WNTdviGIwj-g_5_0"/>
      <w:bookmarkStart w:id="1039" w:name="Tc_LbFjPvR45EOtL_sdmUCZwg_4_0"/>
      <w:bookmarkStart w:id="1040" w:name="Tc_teocvxch4EijcDOSt62X8A_3_0"/>
      <w:bookmarkStart w:id="1041" w:name="Tc_72XR6yw4NkKg1WmzzSxX4Q_2_2"/>
      <w:bookmarkStart w:id="1042" w:name="Tc_DwDeO6Odd02R8L8_WK9Ysw_2_0"/>
      <w:bookmarkStart w:id="1043" w:name="Tc_aXe7zyM0i0WB7rXyL5ozmw_1_2"/>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tbl>
      <w:tblPr>
        <w:tblW w:w="5056" w:type="dxa"/>
        <w:jc w:val="left"/>
        <w:tblInd w:w="0" w:type="dxa"/>
        <w:tblLayout w:type="fixed"/>
        <w:tblCellMar>
          <w:top w:w="0" w:type="dxa"/>
          <w:left w:w="0" w:type="dxa"/>
          <w:bottom w:w="0" w:type="dxa"/>
          <w:right w:w="0" w:type="dxa"/>
        </w:tblCellMar>
      </w:tblPr>
      <w:tblGrid>
        <w:gridCol w:w="3436"/>
        <w:gridCol w:w="326"/>
        <w:gridCol w:w="292"/>
        <w:gridCol w:w="848"/>
        <w:gridCol w:w="154"/>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81860" cy="175260"/>
                      <wp:effectExtent l="0" t="0" r="0" b="0"/>
                      <wp:wrapNone/>
                      <wp:docPr id="233" name="Frame23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5420" cy="175260"/>
                      <wp:effectExtent l="0" t="0" r="0" b="0"/>
                      <wp:wrapNone/>
                      <wp:docPr id="235" name="Frame235"/>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38480" cy="175260"/>
                      <wp:effectExtent l="0" t="0" r="0" b="0"/>
                      <wp:wrapNone/>
                      <wp:docPr id="236" name="Frame236"/>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7790" cy="175260"/>
                      <wp:effectExtent l="0" t="0" r="0" b="0"/>
                      <wp:wrapNone/>
                      <wp:docPr id="237" name="Frame2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Lease term and discount rate</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remaining lease term (years):</w:t>
            </w:r>
          </w:p>
        </w:tc>
        <w:tc>
          <w:tcPr>
            <w:tcW w:w="326" w:type="dxa"/>
            <w:tcBorders/>
            <w:vAlign w:val="center"/>
          </w:tcPr>
          <w:p>
            <w:pPr>
              <w:pStyle w:val="TableContents"/>
              <w:bidi w:val="0"/>
              <w:spacing w:before="0" w:after="0"/>
              <w:ind w:left="0" w:right="0" w:hanging="0"/>
              <w:jc w:val="center"/>
              <w:rPr/>
            </w:pPr>
            <w:r>
              <w:rPr/>
              <w:t>​</w:t>
            </w:r>
          </w:p>
        </w:tc>
        <w:tc>
          <w:tcPr>
            <w:tcW w:w="292" w:type="dxa"/>
            <w:tcBorders/>
            <w:vAlign w:val="center"/>
          </w:tcPr>
          <w:p>
            <w:pPr>
              <w:pStyle w:val="TableContents"/>
              <w:bidi w:val="0"/>
              <w:spacing w:before="0" w:after="0"/>
              <w:ind w:left="0" w:right="0" w:hanging="0"/>
              <w:jc w:val="center"/>
              <w:rPr/>
            </w:pPr>
            <w:r>
              <w:rPr/>
              <w:t>​</w:t>
            </w:r>
          </w:p>
        </w:tc>
        <w:tc>
          <w:tcPr>
            <w:tcW w:w="848"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84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11.5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13.1</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w:t>
            </w:r>
          </w:p>
        </w:tc>
        <w:tc>
          <w:tcPr>
            <w:tcW w:w="848"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 </w:t>
            </w:r>
          </w:p>
        </w:tc>
        <w:tc>
          <w:tcPr>
            <w:tcW w:w="84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5.5%</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right"/>
              <w:rPr/>
            </w:pPr>
            <w:r>
              <w:rPr/>
              <w:t> </w:t>
            </w:r>
          </w:p>
        </w:tc>
        <w:tc>
          <w:tcPr>
            <w:tcW w:w="84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10.5%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848"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outflows from our operating leases include rent expense and other charges associated with these leases. These cash flows are included within the operating section of our statement of cash flows. Our cash flows from our finance lease include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pStyle w:val="TextBody"/>
        <w:bidi w:val="0"/>
        <w:spacing w:before="0" w:after="0"/>
        <w:ind w:left="0" w:right="0" w:firstLine="720"/>
        <w:jc w:val="left"/>
        <w:rPr/>
      </w:pPr>
      <w:r>
        <w:rPr/>
        <w:t>​</w:t>
      </w:r>
    </w:p>
    <w:tbl>
      <w:tblPr>
        <w:tblW w:w="8834" w:type="dxa"/>
        <w:jc w:val="left"/>
        <w:tblInd w:w="0" w:type="dxa"/>
        <w:tblLayout w:type="fixed"/>
        <w:tblCellMar>
          <w:top w:w="0" w:type="dxa"/>
          <w:left w:w="0" w:type="dxa"/>
          <w:bottom w:w="0" w:type="dxa"/>
          <w:right w:w="0" w:type="dxa"/>
        </w:tblCellMar>
      </w:tblPr>
      <w:tblGrid>
        <w:gridCol w:w="5491"/>
        <w:gridCol w:w="326"/>
        <w:gridCol w:w="196"/>
        <w:gridCol w:w="601"/>
        <w:gridCol w:w="326"/>
        <w:gridCol w:w="196"/>
        <w:gridCol w:w="511"/>
        <w:gridCol w:w="326"/>
        <w:gridCol w:w="196"/>
        <w:gridCol w:w="511"/>
        <w:gridCol w:w="154"/>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486785" cy="175260"/>
                      <wp:effectExtent l="0" t="0" r="0" b="0"/>
                      <wp:wrapNone/>
                      <wp:docPr id="238" name="Frame238"/>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4460" cy="175260"/>
                      <wp:effectExtent l="0" t="0" r="0" b="0"/>
                      <wp:wrapNone/>
                      <wp:docPr id="240" name="Frame2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81635" cy="175260"/>
                      <wp:effectExtent l="0" t="0" r="0" b="0"/>
                      <wp:wrapNone/>
                      <wp:docPr id="241" name="Frame24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4460" cy="175260"/>
                      <wp:effectExtent l="0" t="0" r="0" b="0"/>
                      <wp:wrapNone/>
                      <wp:docPr id="243" name="Frame2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24485" cy="175260"/>
                      <wp:effectExtent l="0" t="0" r="0" b="0"/>
                      <wp:wrapNone/>
                      <wp:docPr id="244" name="Frame24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6" name="Frame2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24485" cy="175260"/>
                      <wp:effectExtent l="0" t="0" r="0" b="0"/>
                      <wp:wrapNone/>
                      <wp:docPr id="247" name="Frame24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7790" cy="175260"/>
                      <wp:effectExtent l="0" t="0" r="0" b="0"/>
                      <wp:wrapNone/>
                      <wp:docPr id="248" name="Frame2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54" w:type="dxa"/>
            <w:tcBorders/>
            <w:vAlign w:val="center"/>
          </w:tcPr>
          <w:p>
            <w:pPr>
              <w:pStyle w:val="TableContents"/>
              <w:bidi w:val="0"/>
              <w:spacing w:before="0" w:after="0"/>
              <w:ind w:left="0" w:right="0" w:hanging="0"/>
              <w:jc w:val="left"/>
              <w:rPr/>
            </w:pPr>
            <w:r>
              <w:rPr/>
              <w:t>​</w:t>
            </w:r>
          </w:p>
        </w:tc>
      </w:tr>
      <w:tr>
        <w:trPr/>
        <w:tc>
          <w:tcPr>
            <w:tcW w:w="5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paid for amounts included in the measurement of lease liabilities</w:t>
            </w:r>
          </w:p>
        </w:tc>
        <w:tc>
          <w:tcPr>
            <w:tcW w:w="326" w:type="dxa"/>
            <w:tcBorders/>
            <w:vAlign w:val="center"/>
          </w:tcPr>
          <w:p>
            <w:pPr>
              <w:pStyle w:val="TableContents"/>
              <w:bidi w:val="0"/>
              <w:spacing w:before="0" w:after="0"/>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vAlign w:val="center"/>
          </w:tcPr>
          <w:p>
            <w:pPr>
              <w:pStyle w:val="TableContents"/>
              <w:bidi w:val="0"/>
              <w:spacing w:before="0" w:after="0"/>
              <w:ind w:left="0" w:right="0" w:hanging="0"/>
              <w:jc w:val="left"/>
              <w:rPr/>
            </w:pPr>
            <w:r>
              <w:rPr/>
              <w:t>​</w:t>
            </w:r>
          </w:p>
        </w:tc>
      </w:tr>
      <w:tr>
        <w:trPr/>
        <w:tc>
          <w:tcPr>
            <w:tcW w:w="8834"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cash outflows from finance leases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5,086</w:t>
            </w:r>
          </w:p>
        </w:tc>
        <w:tc>
          <w:tcPr>
            <w:tcW w:w="154" w:type="dxa"/>
            <w:tcBorders/>
            <w:vAlign w:val="center"/>
          </w:tcPr>
          <w:p>
            <w:pPr>
              <w:pStyle w:val="TableContents"/>
              <w:bidi w:val="0"/>
              <w:spacing w:before="0" w:after="0"/>
              <w:ind w:left="0" w:right="0" w:hanging="0"/>
              <w:jc w:val="left"/>
              <w:rPr/>
            </w:pPr>
            <w:r>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cash outflows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obtained in exchange for operating 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8,670</w:t>
            </w:r>
          </w:p>
        </w:tc>
        <w:tc>
          <w:tcPr>
            <w:tcW w:w="154" w:type="dxa"/>
            <w:tcBorders/>
            <w:vAlign w:val="center"/>
          </w:tcPr>
          <w:p>
            <w:pPr>
              <w:pStyle w:val="TableContents"/>
              <w:bidi w:val="0"/>
              <w:spacing w:before="0" w:after="0"/>
              <w:ind w:left="0" w:right="0" w:hanging="0"/>
              <w:jc w:val="left"/>
              <w:rPr/>
            </w:pPr>
            <w:r>
              <w:rPr/>
              <w:t>​</w:t>
            </w:r>
          </w:p>
        </w:tc>
      </w:tr>
      <w:tr>
        <w:trPr/>
        <w:tc>
          <w:tcPr>
            <w:tcW w:w="54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 assets obtained in exchange for new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44" w:name="Tc_GTlMeSx7BEKMtVrCwI9ZFA_13_8"/>
      <w:bookmarkStart w:id="1045" w:name="Tc_SiQNgF0MAU6B_XdyByhvtA_13_5"/>
      <w:bookmarkStart w:id="1046" w:name="Tc_HswfMIGSGkmJeFGi73E1mA_13_2"/>
      <w:bookmarkStart w:id="1047" w:name="Tc_iwrLEkoD60iAacAu1R8UAg_13_0"/>
      <w:bookmarkStart w:id="1048" w:name="Tc_weWLr0lPYEiEdQj2r1j-tA_12_0"/>
      <w:bookmarkStart w:id="1049" w:name="Tc_5nOi5eq3P0OXlpWKGik4Pw_11_8"/>
      <w:bookmarkStart w:id="1050" w:name="Tc_QjSwOj3YRE6vGGnqFqmQlA_11_5"/>
      <w:bookmarkStart w:id="1051" w:name="Tc_MvNtxpavj0emqk8eS6pvZA_11_2"/>
      <w:bookmarkStart w:id="1052" w:name="Tc_Oev9LkgOFEyORBtdWM2zmg_11_0"/>
      <w:bookmarkStart w:id="1053" w:name="Tc_L6jeE001akmu3i_0isWTgA_9_8"/>
      <w:bookmarkStart w:id="1054" w:name="Tc_JS8ssa7jZUOmk2AhNLEldw_9_5"/>
      <w:bookmarkStart w:id="1055" w:name="Tc_aykJlRHea0qO-ktsdnu3QQ_9_2"/>
      <w:bookmarkStart w:id="1056" w:name="Tc_uZ-TT4swwEiUUrjqFKDvzQ_9_0"/>
      <w:bookmarkStart w:id="1057" w:name="Tc_PKQLRfweQ0Gx7ByBIPMAJg_8_0"/>
      <w:bookmarkStart w:id="1058" w:name="Tc_5r9bVpmPQU-EjESksz4cLQ_7_0"/>
      <w:bookmarkStart w:id="1059" w:name="Tc_pUjk6p9YL0CAp-ZvOwSORw_6_0"/>
      <w:bookmarkStart w:id="1060" w:name="Tc_JXFTYrqCjU-JYBYhTsW1VQ_5_8"/>
      <w:bookmarkStart w:id="1061" w:name="Tc_Qfsek9YlbU6fzY0lX5A_6Q_5_5"/>
      <w:bookmarkStart w:id="1062" w:name="Tc_PbzsP5WgJ06-6cvWiukQjQ_5_2"/>
      <w:bookmarkStart w:id="1063" w:name="Tc_6c3kST4Ph0SZ7URl4Kwk_g_5_0"/>
      <w:bookmarkStart w:id="1064" w:name="Tc_Hco0ri1gkUa3lr0Cn7C98A_4_2"/>
      <w:bookmarkStart w:id="1065" w:name="Tc_wH_eBM5hPU2Cxek-45dTIg_3_8"/>
      <w:bookmarkStart w:id="1066" w:name="Tc_NwT5pvv9xE2cN54oCiD_gA_3_5"/>
      <w:bookmarkStart w:id="1067" w:name="Tc_BGGg71YPj0qDGu27Pv2xjw_3_2"/>
      <w:bookmarkStart w:id="1068" w:name="Tc_Ie_14FwaaUSTjpN53QpS_g_2_2"/>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Pr>
          <w:rFonts w:ascii="Times New Roman;Times;serif" w:hAnsi="Times New Roman;Times;serif"/>
          <w:b/>
          <w:sz w:val="20"/>
        </w:rPr>
        <w:t>Note 10. Product Warranty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our product warranty liability are as follows:</w:t>
      </w:r>
    </w:p>
    <w:p>
      <w:pPr>
        <w:pStyle w:val="TextBody"/>
        <w:bidi w:val="0"/>
        <w:spacing w:before="0" w:after="0"/>
        <w:ind w:left="0" w:right="0" w:firstLine="720"/>
        <w:jc w:val="left"/>
        <w:rPr/>
      </w:pPr>
      <w:r>
        <w:rPr/>
        <w:t>​</w:t>
      </w:r>
    </w:p>
    <w:tbl>
      <w:tblPr>
        <w:tblW w:w="9456" w:type="dxa"/>
        <w:jc w:val="left"/>
        <w:tblInd w:w="0" w:type="dxa"/>
        <w:tblLayout w:type="fixed"/>
        <w:tblCellMar>
          <w:top w:w="0" w:type="dxa"/>
          <w:left w:w="0" w:type="dxa"/>
          <w:bottom w:w="0" w:type="dxa"/>
          <w:right w:w="0" w:type="dxa"/>
        </w:tblCellMar>
      </w:tblPr>
      <w:tblGrid>
        <w:gridCol w:w="5476"/>
        <w:gridCol w:w="326"/>
        <w:gridCol w:w="211"/>
        <w:gridCol w:w="796"/>
        <w:gridCol w:w="326"/>
        <w:gridCol w:w="211"/>
        <w:gridCol w:w="691"/>
        <w:gridCol w:w="326"/>
        <w:gridCol w:w="211"/>
        <w:gridCol w:w="691"/>
        <w:gridCol w:w="191"/>
      </w:tblGrid>
      <w:tr>
        <w:trPr/>
        <w:tc>
          <w:tcPr>
            <w:tcW w:w="5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477260" cy="175260"/>
                      <wp:effectExtent l="0" t="0" r="0" b="0"/>
                      <wp:wrapNone/>
                      <wp:docPr id="249" name="Frame249"/>
                      <a:graphic xmlns:a="http://schemas.openxmlformats.org/drawingml/2006/main">
                        <a:graphicData uri="http://schemas.microsoft.com/office/word/2010/wordprocessingShape">
                          <wps:wsp>
                            <wps:cNvSpPr txBox="1"/>
                            <wps:spPr>
                              <a:xfrm>
                                <a:off x="0" y="0"/>
                                <a:ext cx="3477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05460" cy="175260"/>
                      <wp:effectExtent l="0" t="0" r="0" b="0"/>
                      <wp:wrapNone/>
                      <wp:docPr id="252" name="Frame2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38785" cy="175260"/>
                      <wp:effectExtent l="0" t="0" r="0" b="0"/>
                      <wp:wrapNone/>
                      <wp:docPr id="255" name="Frame2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38785" cy="175260"/>
                      <wp:effectExtent l="0" t="0" r="0" b="0"/>
                      <wp:wrapNone/>
                      <wp:docPr id="258" name="Frame2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21285" cy="175260"/>
                      <wp:effectExtent l="0" t="0" r="0" b="0"/>
                      <wp:wrapNone/>
                      <wp:docPr id="259" name="Frame25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center"/>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945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6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January 1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Warranties issued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7,808</w:t>
            </w:r>
          </w:p>
        </w:tc>
        <w:tc>
          <w:tcPr>
            <w:tcW w:w="1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Settlements made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estimate of liability for pre-existing warranties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1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at December 31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classified as long-term (within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91" w:type="dxa"/>
            <w:tcBorders/>
            <w:vAlign w:val="center"/>
          </w:tcPr>
          <w:p>
            <w:pPr>
              <w:pStyle w:val="TableContents"/>
              <w:bidi w:val="0"/>
              <w:spacing w:before="0" w:after="0"/>
              <w:ind w:left="0" w:right="0" w:hanging="0"/>
              <w:jc w:val="left"/>
              <w:rPr/>
            </w:pPr>
            <w:r>
              <w:rPr/>
              <w:t>​</w:t>
            </w:r>
          </w:p>
        </w:tc>
      </w:tr>
      <w:tr>
        <w:trPr/>
        <w:tc>
          <w:tcPr>
            <w:tcW w:w="5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warranty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11. Financing Arrangements</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30, 2015, we sold our corporate headquarters facility for the sale price of $48.9 million. As part of the sale, we also entered into a 22-year lease agreement with the buyer. The sale leaseback is accounted for as a financing arrangement for financial reporting purposes and, as such, we recorded a financing obligation of $45.2 million as of December 31, 2023, $1.5 million of which is classified within current liabilities. The associated lease payments include both an interest component and payment of principal, with the underlying liability being extinguished at the end of the original lease term. As of December 31, 2023, we had a security deposit of $5.9 million related to this lease.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April 5, 2023, we terminated the Senior Secured Credit Facilities Credit Agreement, as amended (the “Credit Agreement”), with Silicon Valley Bank that we entered into on July 31, 2020. The Credit Agreement provided for a revolving credit facility covering borrowings and letters of credit in an aggregate principal amount not to exceed $40.0 million. Our obligations under the Credit Agreement were secured by a security interest, senior to any current and future debts and to any security interest, in all of our rights, title, and interest in, to and under substantially all of our assets, subject to limited exceptions, including permitted liens. Upon termination, these liens and all other obligations under the credit agreement, were released. A letter of credit issued by Silicon Valley Bank, a division of First Citizens Bank &amp; Trust Company (successor by purchase to the Federal Deposit Insurance Corporation as Receiver for Silicon Valley Bridge Bank, N.A.) as successor to Silicon Valley Bank in the amount of $5.9 million securing our lease on our corporate headquarters was terminated on December 28, 2023. The underlying cash collateral held at Silicon Valley Bank was released on December 28, 2023, in conjunction with the letter of credit termination. A replacement, cash collateralized letter of credit was issued on December 14, 2023 with UBS Bank USA and is classified as long-term restricted cash on our balance sheet at December 31, 2023.</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b/>
          <w:sz w:val="20"/>
        </w:rPr>
      </w:pPr>
      <w:bookmarkStart w:id="1069" w:name="Tc_uS3hJI8rEk-jUdcvWtA7zw_7_5"/>
      <w:bookmarkStart w:id="1070" w:name="Tc_hzfdHczey0mwlY0ziBTNlQ_7_2"/>
      <w:bookmarkStart w:id="1071" w:name="Tc_kPpXl7Seb0GK1KVV9EDULA_7_0"/>
      <w:bookmarkStart w:id="1072" w:name="Tc_zbbLKtCLvEqe_ohvkmbk0g_6_0"/>
      <w:bookmarkStart w:id="1073" w:name="Tc_aWbwnakwWkyWQR66jYVIoQ_5_0"/>
      <w:bookmarkStart w:id="1074" w:name="Tc_pkreEIr69EGyEk2r3OqOkw_4_2"/>
      <w:bookmarkStart w:id="1075" w:name="Tc_IDBuZp8N7Uibtobr7YfVXg_3_5"/>
      <w:bookmarkStart w:id="1076" w:name="Tc_yreLR3qOMkuMzR2GliZ93w_3_2"/>
      <w:bookmarkStart w:id="1077" w:name="Tc_T5hKkbZwOUqUlH7wA3Ngrw_2_2"/>
      <w:bookmarkStart w:id="1078" w:name="Tc_Glu3gvDL0U6WSxgVXDVSWw_1_2"/>
      <w:bookmarkEnd w:id="1069"/>
      <w:bookmarkEnd w:id="1070"/>
      <w:bookmarkEnd w:id="1071"/>
      <w:bookmarkEnd w:id="1072"/>
      <w:bookmarkEnd w:id="1073"/>
      <w:bookmarkEnd w:id="1074"/>
      <w:bookmarkEnd w:id="1075"/>
      <w:bookmarkEnd w:id="1076"/>
      <w:bookmarkEnd w:id="1077"/>
      <w:bookmarkEnd w:id="1078"/>
      <w:r>
        <w:rPr>
          <w:rFonts w:ascii="Times New Roman;Times;serif" w:hAnsi="Times New Roman;Times;serif"/>
          <w:b/>
          <w:sz w:val="20"/>
        </w:rPr>
        <w:t>Note 12. Employee Benefit Plans</w:t>
      </w:r>
    </w:p>
    <w:p>
      <w:pPr>
        <w:pStyle w:val="TextBody"/>
        <w:pBdr/>
        <w:bidi w:val="0"/>
        <w:spacing w:before="0" w:after="0"/>
        <w:ind w:left="0" w:right="0" w:hanging="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Defined Contribution Plan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the Axcelis Long-Term Investment Plan, a defined contribution plan. Eligible employees may contribute up to 35% of their compensation on a before-tax basis subject to Internal Revenue Service (“IRS”) limitations. Highly compensated employees may contribute up to 16% of their compensation on a before-tax basis subject to IRS limitations. In 2023, 2022 and 2021, we provided an employer match of 50% of employees’ pre-tax contributions on the first 6% of eligible compensation. Total related matching contribution expense was $3.4 million, $2.7 million and $2.2 million, for 2023, 2022 and 2021, respectively.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Other Compensation Plans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operate in foreign jurisdictions that require lump sum benefits, payable based on statutory regulations, for voluntary or involuntary termination. Where required, an annual actuarial valuation of the benefit plans is obtained.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recorded an unfunded liability of $3.2 million and $3.5 million at December 31, 2023 and 2022, respectively, for costs associated with these compensation plans in foreign jurisdictions. The following table presents the classification of these liabilities in the Consolidated Balance Sheets:</w:t>
      </w:r>
    </w:p>
    <w:p>
      <w:pPr>
        <w:pStyle w:val="TextBody"/>
        <w:bidi w:val="0"/>
        <w:spacing w:before="0" w:after="0"/>
        <w:ind w:left="0" w:right="0" w:firstLine="720"/>
        <w:jc w:val="left"/>
        <w:rPr/>
      </w:pPr>
      <w:r>
        <w:rPr/>
        <w:t>​</w:t>
      </w:r>
    </w:p>
    <w:tbl>
      <w:tblPr>
        <w:tblW w:w="4643" w:type="dxa"/>
        <w:jc w:val="left"/>
        <w:tblInd w:w="0" w:type="dxa"/>
        <w:tblLayout w:type="fixed"/>
        <w:tblCellMar>
          <w:top w:w="0" w:type="dxa"/>
          <w:left w:w="0" w:type="dxa"/>
          <w:bottom w:w="0" w:type="dxa"/>
          <w:right w:w="0" w:type="dxa"/>
        </w:tblCellMar>
      </w:tblPr>
      <w:tblGrid>
        <w:gridCol w:w="2236"/>
        <w:gridCol w:w="326"/>
        <w:gridCol w:w="211"/>
        <w:gridCol w:w="571"/>
        <w:gridCol w:w="326"/>
        <w:gridCol w:w="211"/>
        <w:gridCol w:w="571"/>
        <w:gridCol w:w="19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19860" cy="175260"/>
                      <wp:effectExtent l="0" t="0" r="0" b="0"/>
                      <wp:wrapNone/>
                      <wp:docPr id="260" name="Frame260"/>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2585" cy="175260"/>
                      <wp:effectExtent l="0" t="0" r="0" b="0"/>
                      <wp:wrapNone/>
                      <wp:docPr id="263" name="Frame2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62585" cy="175260"/>
                      <wp:effectExtent l="0" t="0" r="0" b="0"/>
                      <wp:wrapNone/>
                      <wp:docPr id="266" name="Frame26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1285" cy="175260"/>
                      <wp:effectExtent l="0" t="0" r="0" b="0"/>
                      <wp:wrapNone/>
                      <wp:docPr id="267" name="Frame26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191" w:type="dxa"/>
            <w:tcBorders/>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center"/>
              <w:rPr/>
            </w:pPr>
            <w:r>
              <w:rPr/>
              <w:t> </w:t>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464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w:t>
            </w:r>
          </w:p>
        </w:tc>
        <w:tc>
          <w:tcPr>
            <w:tcW w:w="191" w:type="dxa"/>
            <w:tcBorders/>
            <w:vAlign w:val="center"/>
          </w:tcPr>
          <w:p>
            <w:pPr>
              <w:pStyle w:val="TableContents"/>
              <w:bidi w:val="0"/>
              <w:spacing w:before="0" w:after="0"/>
              <w:ind w:left="0" w:right="0" w:hanging="0"/>
              <w:jc w:val="left"/>
              <w:rPr/>
            </w:pPr>
            <w:r>
              <w:rPr/>
              <w:t>​</w:t>
            </w:r>
          </w:p>
        </w:tc>
      </w:tr>
      <w:tr>
        <w:trPr/>
        <w:tc>
          <w:tcPr>
            <w:tcW w:w="2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expense recorded in connection with these plans was $1.7 million, $1.5 million and $1.5 million during the years ended December 31, 2023, 2022 and 2021, respectively.</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13. Stock Award Plans and Stock-Based Compensation</w:t>
      </w:r>
    </w:p>
    <w:p>
      <w:pPr>
        <w:pStyle w:val="TextBody"/>
        <w:pBdr/>
        <w:bidi w:val="0"/>
        <w:spacing w:before="0" w:after="0"/>
        <w:ind w:left="0" w:right="0" w:hanging="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Equity Incentive Plans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the Axcelis Technologies, Inc. 2012 Equity Incentive Plan (the “2012 Equity Plan” or the “Plan”), which became effective on May 2, 2012.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2012 Equity Plan, as amended, reserves 9.5 million shares of common stock, $0.001 par value, for grant and permits the issuance of options, stock appreciation rights, restricted stock, restricted stock units, stock equivalents and awards of shares of common stock that are not subject to restrictions or forfeiture to selected employees, directors, and consultants of the Company. The total number of shares reserved for issuance under the Plan is the sum of 7.76 million shares approved by the shareholders, and 1.78 million shares added in accordance with the terms of the Plan as a result of the expiration or forfeiture of awards granted under our prior equity plan. Shares that are not issued under an award (because such award expires, is terminated unexercised or is forfeited) revert back to the Plan.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of stock options granted under the Plan is specified in the award agreements. Unless a lesser term is otherwise specified by the Compensation Committee of the Company’s Board of Directors, option awards under the 2012 Equity Plan will expire seven years from the date of grant. Under the terms of the Plan, the exercise price of a stock option may not be less than the fair market value of a share of the Company’s common stock on the date of grant. Under the 2012 Equity Plan, fair market value is defined as the last reported sale price of a share of the Company’s common stock on a national securities exchange as of any applicable date, as long as the Company’s shares are traded on such exchange.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 options granted to employees generally vest over a period of four years, while stock options granted to non-employee members of the Company’s Board of Directors generally vest over a period of six months and, once vested, are not affected by the director’s termination of service to the Company. In limited circumstances, the Company may grant stock option awards with market-based vesting conditions, such as the Company’s common stock price, or other performance conditions. Termination of service by an employee will cause options to cease vesting as of the date of termination, and in most cases, employees will have 90 days after termination to exercise options that were vested as of the termination of employment. In general, retiring employees will have one year after termination of employment to exercise vested options. The Company settles stock option exercises with newly issued common shares.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Restricted stock units granted to employees during 2023 had both service-based vesting provisions and performance-based vesting provisions. Restricted stock units granted to employees generally vest over a service period of four years, while restricted stock units granted to non-employee members of the Company’s Board of Directors in 2023 vest over a service period of one year. We have granted restricted stock units to executive officers and other senior employees with performance vesting conditions, which may be subject to further service-based vesting terms. Unvested restricted stock unit awards expire upon termination of service to the Company. We settle restricted stock units upon vesting with newly issued common shares. No restricted stock was granted during the three year period ended December 31, 2023.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December 31, 2023, there were 0.8 million shares available for grant under the 2012 Equity Plan.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there were three thousand options outstanding and 0.5 million unvested restricted stock units outstanding under the 2012 Stock Plan.</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Employee Stock Purchase Plan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2020 Employee Stock Purchase Plan (the “2020 ESPP”) provides our employees an opportunity to purchase common stock of the Company at less than market prices. Purchases are made through payroll deductions of up to 10% of the employee’s salary as elected by the participant, subject to certain caps set forth in the 2020 ESPP. Employees may purchase the Company’s common stock at 85% of its market price on the day the stock is purchased.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2020 ESPP is considered compensatory and as such, compensation expense has been recognized based on the benefit of the discounted stock price, amortized to compensation expense over each offering period of six months.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0"/>
        <w:ind w:left="0" w:right="0" w:hanging="0"/>
        <w:jc w:val="left"/>
        <w:rPr>
          <w:rFonts w:ascii="Times New Roman;Times;serif" w:hAnsi="Times New Roman;Times;serif"/>
          <w:sz w:val="20"/>
        </w:rPr>
      </w:pPr>
      <w:bookmarkStart w:id="1079" w:name="Tc_YohTOOs_K029pDGz9n-D2A_6_0"/>
      <w:bookmarkStart w:id="1080" w:name="Tc_Lhlh022siU--UB1ZW72ixw_5_0"/>
      <w:bookmarkStart w:id="1081" w:name="Tc_uGYNEM2nPkCEU1wxo6Rg2w_4_3"/>
      <w:bookmarkStart w:id="1082" w:name="Tc_Is1AZiBkGUe1XhNvfy4GXA_4_0"/>
      <w:bookmarkStart w:id="1083" w:name="Tc_nlrr6GKBH022CkU2zoQBpg_3_0"/>
      <w:bookmarkStart w:id="1084" w:name="Tc_0GD5sFHEeUSCfuw0FU7dZQ_2_3"/>
      <w:bookmarkEnd w:id="1079"/>
      <w:bookmarkEnd w:id="1080"/>
      <w:bookmarkEnd w:id="1081"/>
      <w:bookmarkEnd w:id="1082"/>
      <w:bookmarkEnd w:id="1083"/>
      <w:bookmarkEnd w:id="1084"/>
      <w:r>
        <w:rPr>
          <w:rFonts w:ascii="Times New Roman;Times;serif" w:hAnsi="Times New Roman;Times;serif"/>
          <w:sz w:val="20"/>
        </w:rPr>
        <w:t>Compensation expense relating to the 2020 ESPP was approximately $0.4 million, $0.3 million, and $0.2 million for the years ended December 31, 2023, 2022 and 2021,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2023, there were approximately 0.9 million shares reserved for issuance and available for purchase under the 2020 ESPP, with 9,965 shares purchased on that date to be issued pending settlement. Less than 0.1 million shares were purchased under the 2020 ESPP for each of the years ended December 31, 2023, 2022 and 2021.</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          Valuation of Stock Options and Restricted Stock Units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purpose of valuing stock options with service conditions, we use the Black-Scholes option pricing model to calculate the grant-date fair value of an award. </w:t>
      </w:r>
    </w:p>
    <w:p>
      <w:pPr>
        <w:pStyle w:val="TextBody"/>
        <w:bidi w:val="0"/>
        <w:spacing w:before="0" w:after="0"/>
        <w:ind w:left="0" w:right="0" w:firstLine="720"/>
        <w:jc w:val="left"/>
        <w:rPr/>
      </w:pPr>
      <w:r>
        <w:rPr/>
        <w:t>​</w:t>
      </w:r>
    </w:p>
    <w:tbl>
      <w:tblPr>
        <w:tblW w:w="4825" w:type="dxa"/>
        <w:jc w:val="left"/>
        <w:tblInd w:w="0" w:type="dxa"/>
        <w:tblLayout w:type="fixed"/>
        <w:tblCellMar>
          <w:top w:w="0" w:type="dxa"/>
          <w:left w:w="0" w:type="dxa"/>
          <w:bottom w:w="0" w:type="dxa"/>
          <w:right w:w="0" w:type="dxa"/>
        </w:tblCellMar>
      </w:tblPr>
      <w:tblGrid>
        <w:gridCol w:w="3196"/>
        <w:gridCol w:w="326"/>
        <w:gridCol w:w="109"/>
        <w:gridCol w:w="931"/>
        <w:gridCol w:w="109"/>
        <w:gridCol w:w="154"/>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29460" cy="175260"/>
                      <wp:effectExtent l="0" t="0" r="0" b="0"/>
                      <wp:wrapNone/>
                      <wp:docPr id="268" name="Frame268"/>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91185" cy="175260"/>
                      <wp:effectExtent l="0" t="0" r="0" b="0"/>
                      <wp:wrapNone/>
                      <wp:docPr id="271" name="Frame2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7790" cy="175260"/>
                      <wp:effectExtent l="0" t="0" r="0" b="0"/>
                      <wp:wrapNone/>
                      <wp:docPr id="273" name="Frame2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1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expected volatility</w:t>
            </w:r>
          </w:p>
        </w:tc>
        <w:tc>
          <w:tcPr>
            <w:tcW w:w="3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53.07%</w:t>
            </w:r>
          </w:p>
        </w:tc>
        <w:tc>
          <w:tcPr>
            <w:tcW w:w="109"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expected term</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4.71 years</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tc>
        <w:tc>
          <w:tcPr>
            <w:tcW w:w="109"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0.00%</w:t>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no stock option awards granted in 2023 and 2022.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 of the Company’s restricted stock units is calculated based upon the fair market value of the Company’s stock at the date of grant.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          Summary of Stock-based Compensation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use the straight-line attribution method to recognize expense for stock-based awards such that the expense associated with awards is evenly recognized throughout the period.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amount of stock-based compensation recognized is based on the value of the portion of the awards that are ultimately expected to vest. We estimate forfeitures at the time of grant and revise them, if necessary, in subsequent periods, if actual forfeitures differ from those estimates. The term “forfeitures” is distinct from “cancellations” or “expirations” and represents only the unvested portion of the surrendered stock-based award. Based on a historical analysis, a forfeiture rate of 5% per year was applied to stock-based awards, including executive officer awards, for the years ended December 31, 2023, 2022 and 2021.</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years ended December 31, 2023, 2022 and 2021, we recognized stock-based compensation expense of $18.3 million, $13.4 million and $12.1 million, respectively. We present the expenses related to stock-based compensation in the same expense line items as cash compensation paid to our employees. For the years ended December 31, 2023, 2022 and 2021, we used restricted stock units in our annual equity compensation program.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benefit of tax deductions in excess of recognized compensation cost is reported in the consolidated statements of cash flows as part of cash flows from operating activities. Axcelis had tax deductions in excess of recognized compensation cost of $10.2 million for the year ended December 31, 2023 which resulted in a tax benefit of $2.2 million.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0"/>
        <w:ind w:left="0" w:right="0" w:hanging="0"/>
        <w:jc w:val="left"/>
        <w:rPr>
          <w:rFonts w:ascii="Times New Roman;Times;serif" w:hAnsi="Times New Roman;Times;serif"/>
          <w:b/>
          <w:sz w:val="20"/>
        </w:rPr>
      </w:pPr>
      <w:bookmarkStart w:id="1085" w:name="Tc_lXpHsUq7yU2qHH1AzeXHoA_9_4"/>
      <w:bookmarkStart w:id="1086" w:name="Tc_OcrmLDm8J0iJ4gULSV9sSA_9_0"/>
      <w:bookmarkStart w:id="1087" w:name="Tc_vlWosnXRpk-756K_cWF71w_8_0"/>
      <w:bookmarkStart w:id="1088" w:name="Tc_nXNPhf0zo0e7iDu8BpIihw_7_0"/>
      <w:bookmarkStart w:id="1089" w:name="Tc_q9OIBzQKzk6BBoaCk3AShA_6_0"/>
      <w:bookmarkStart w:id="1090" w:name="Tc_e5OlGrY74UeXKbZGZq7vUw_5_4"/>
      <w:bookmarkStart w:id="1091" w:name="Tc_nszrmC9mpkC11MB2bZdh9w_5_0"/>
      <w:bookmarkStart w:id="1092" w:name="Tc_0Dxa8H3Ht0W-85oNbexK6Q_4_2"/>
      <w:bookmarkStart w:id="1093" w:name="Tc_e0azQZc8J0-vaxDUR2FM4g_3_4"/>
      <w:bookmarkStart w:id="1094" w:name="Tc_sCg8yeltY0y1l158POcg1Q_3_2"/>
      <w:bookmarkStart w:id="1095" w:name="Tc_Yk67kuTKCEmEesP0rFH1Nw_2_4"/>
      <w:bookmarkStart w:id="1096" w:name="Tc_qbqu8NIY2Ui5WNmqVQJs1A_1_4"/>
      <w:bookmarkStart w:id="1097" w:name="_c759eba7_1e32_430a_b0b2_073e57972db4_4"/>
      <w:bookmarkStart w:id="1098" w:name="_c759eba7_1e32_430a_b0b2_073e57972db4_3"/>
      <w:bookmarkStart w:id="1099" w:name="_c759eba7_1e32_430a_b0b2_073e57972db4_2"/>
      <w:bookmarkStart w:id="1100" w:name="_c759eba7_1e32_430a_b0b2_073e57972db4"/>
      <w:bookmarkStart w:id="1101" w:name="Tc_N_Hg63CVFU6ka-9LPq4yww_14_9"/>
      <w:bookmarkStart w:id="1102" w:name="Tc_8UnnmOzkY0aD3d0g0wUcoQ_14_4"/>
      <w:bookmarkStart w:id="1103" w:name="Tc_8aNUBhHwhka8f3pte69x0Q_14_0"/>
      <w:bookmarkStart w:id="1104" w:name="Tc_vQ5ncb053UqSCPmGcBimGg_13_9"/>
      <w:bookmarkStart w:id="1105" w:name="Tc_paDTG1T2XEiHNDhjJ3hvXw_13_4"/>
      <w:bookmarkStart w:id="1106" w:name="Tc_T1koTHimCEmnr_jtJzFXDw_13_0"/>
      <w:bookmarkStart w:id="1107" w:name="Tc_GumJNNaUzEyI079REECw3A_12_9"/>
      <w:bookmarkStart w:id="1108" w:name="Tc_N7imh6cpB0S3N3_yGwxLkg_12_4"/>
      <w:bookmarkStart w:id="1109" w:name="Tc_8BVC_n5x8USYM8Ma8noK8w_12_0"/>
      <w:bookmarkStart w:id="1110" w:name="Tc_fZSG08GQIkCTf_FwEU2klg_11_5"/>
      <w:bookmarkStart w:id="1111" w:name="Tc_6jnFFKNnBEW00eISgc9vag_11_2"/>
      <w:bookmarkStart w:id="1112" w:name="Tc_aO_bbzS2dEKASrJRIPLFLQ_11_0"/>
      <w:bookmarkStart w:id="1113" w:name="Tc_9u4bNpcCXUqkwIVpfb0bQg_10_5"/>
      <w:bookmarkStart w:id="1114" w:name="Tc_S2v_YOerj0WwdrBts6mByQ_10_2"/>
      <w:bookmarkStart w:id="1115" w:name="Tc_vDrcosSvJkCX1XZbRxGY1w_10_0"/>
      <w:bookmarkStart w:id="1116" w:name="Tc_RCazR9D3XU-2wmGnY3F76Q_9_0"/>
      <w:bookmarkStart w:id="1117" w:name="Tc_zCM9DH9Z40yJbzs_G0ia0w_8_5"/>
      <w:bookmarkStart w:id="1118" w:name="Tc_VxZFNu0CBEGAVI_117YB2g_8_2"/>
      <w:bookmarkStart w:id="1119" w:name="Tc_Jvl_RcCSlUujngP0DljBkg_8_0"/>
      <w:bookmarkStart w:id="1120" w:name="Tc_ufe3jfAtrk2Zi063_7ai3Q_7_4"/>
      <w:bookmarkStart w:id="1121" w:name="Tc_4ukIeOE9sEa1alCSHAmPJg_7_0"/>
      <w:bookmarkStart w:id="1122" w:name="Tc_UHEHngrqGE2HNyft7g5HKA_6_9"/>
      <w:bookmarkStart w:id="1123" w:name="Tc_XsEH3GPM7Uuh3a562b9l_A_6_7"/>
      <w:bookmarkStart w:id="1124" w:name="Tc_LEJq93Va50qrjEWw4Fp0DA_6_2"/>
      <w:bookmarkStart w:id="1125" w:name="Tc_N4Uln8rZNEOL105oKAyJnA_5_9"/>
      <w:bookmarkStart w:id="1126" w:name="Tc_HoxqcicQHEWCdkeQr5pxMQ_5_7"/>
      <w:bookmarkStart w:id="1127" w:name="Tc_TTz4jG2h7ECtsaAbz7NKrA_5_4"/>
      <w:bookmarkStart w:id="1128" w:name="Tc_vclQxVPM7k2WqxjfjO9qaQ_5_2"/>
      <w:bookmarkStart w:id="1129" w:name="Tc_QdNZ5M67J0qw3NEThubI9g_4_9"/>
      <w:bookmarkStart w:id="1130" w:name="Tc_L34XacmC8kieP3NrToR4kg_4_7"/>
      <w:bookmarkStart w:id="1131" w:name="Tc_qaLAReVbPUydM8IrhNvJPg_4_4"/>
      <w:bookmarkStart w:id="1132" w:name="Tc_nHwfDDgyAkCri8UumEFkDQ_3_9"/>
      <w:bookmarkStart w:id="1133" w:name="Tc_PtyDg_SxbkiZSBy9HeF84g_3_7"/>
      <w:bookmarkStart w:id="1134" w:name="Tc_xqyk5Xu3D0Oq9Knkjh0RWQ_3_4"/>
      <w:bookmarkStart w:id="1135" w:name="Tc_IDBUf_3sXUejgztaF7OKXw_2_7"/>
      <w:bookmarkStart w:id="1136" w:name="Tc_lNnYg2EIuUSq27_ZPOgSyQ_2_4"/>
      <w:bookmarkStart w:id="1137" w:name="Tc_3d1MApWb_0WLpZizv9aTAA_1_7"/>
      <w:bookmarkStart w:id="1138" w:name="_dc8b1f78_cd1d_4000_a55d_8d8ceb5fb38b"/>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b/>
          <w:sz w:val="20"/>
        </w:rPr>
        <w:t xml:space="preserve">(e)          Stock Option Awards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stock option activity for the year ended December 31, 2023:</w:t>
      </w:r>
    </w:p>
    <w:p>
      <w:pPr>
        <w:pStyle w:val="TextBody"/>
        <w:bidi w:val="0"/>
        <w:spacing w:before="0" w:after="0"/>
        <w:ind w:left="0" w:right="0" w:firstLine="720"/>
        <w:jc w:val="left"/>
        <w:rPr/>
      </w:pPr>
      <w:r>
        <w:rPr/>
        <w:t>​</w:t>
      </w:r>
    </w:p>
    <w:tbl>
      <w:tblPr>
        <w:tblW w:w="8714" w:type="dxa"/>
        <w:jc w:val="left"/>
        <w:tblInd w:w="0" w:type="dxa"/>
        <w:tblLayout w:type="fixed"/>
        <w:tblCellMar>
          <w:top w:w="0" w:type="dxa"/>
          <w:left w:w="0" w:type="dxa"/>
          <w:bottom w:w="0" w:type="dxa"/>
          <w:right w:w="0" w:type="dxa"/>
        </w:tblCellMar>
      </w:tblPr>
      <w:tblGrid>
        <w:gridCol w:w="3181"/>
        <w:gridCol w:w="326"/>
        <w:gridCol w:w="1126"/>
        <w:gridCol w:w="326"/>
        <w:gridCol w:w="214"/>
        <w:gridCol w:w="582"/>
        <w:gridCol w:w="326"/>
        <w:gridCol w:w="991"/>
        <w:gridCol w:w="326"/>
        <w:gridCol w:w="373"/>
        <w:gridCol w:w="752"/>
        <w:gridCol w:w="19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19935" cy="175260"/>
                      <wp:effectExtent l="0" t="0" r="0" b="0"/>
                      <wp:wrapNone/>
                      <wp:docPr id="274" name="Frame27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715010" cy="175260"/>
                      <wp:effectExtent l="0" t="0" r="0" b="0"/>
                      <wp:wrapNone/>
                      <wp:docPr id="276" name="Frame27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5890" cy="175260"/>
                      <wp:effectExtent l="0" t="0" r="0" b="0"/>
                      <wp:wrapNone/>
                      <wp:docPr id="278" name="Frame27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69570" cy="175260"/>
                      <wp:effectExtent l="0" t="0" r="0" b="0"/>
                      <wp:wrapNone/>
                      <wp:docPr id="279" name="Frame279"/>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29285" cy="175260"/>
                      <wp:effectExtent l="0" t="0" r="0" b="0"/>
                      <wp:wrapNone/>
                      <wp:docPr id="281" name="Frame28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36855" cy="175260"/>
                      <wp:effectExtent l="0" t="0" r="0" b="0"/>
                      <wp:wrapNone/>
                      <wp:docPr id="283" name="Frame283"/>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77520" cy="175260"/>
                      <wp:effectExtent l="0" t="0" r="0" b="0"/>
                      <wp:wrapNone/>
                      <wp:docPr id="284" name="Frame284"/>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1285" cy="175260"/>
                      <wp:effectExtent l="0" t="0" r="0" b="0"/>
                      <wp:wrapNone/>
                      <wp:docPr id="285" name="Frame28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373" w:type="dxa"/>
            <w:tcBorders/>
            <w:vAlign w:val="center"/>
          </w:tcPr>
          <w:p>
            <w:pPr>
              <w:pStyle w:val="TableContents"/>
              <w:bidi w:val="0"/>
              <w:spacing w:before="0" w:after="0"/>
              <w:ind w:left="0" w:right="0" w:hanging="0"/>
              <w:jc w:val="center"/>
              <w:rPr/>
            </w:pPr>
            <w:r>
              <w:rPr/>
              <w:t>​</w:t>
            </w:r>
          </w:p>
        </w:tc>
        <w:tc>
          <w:tcPr>
            <w:tcW w:w="752"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373" w:type="dxa"/>
            <w:tcBorders/>
            <w:vAlign w:val="center"/>
          </w:tcPr>
          <w:p>
            <w:pPr>
              <w:pStyle w:val="TableContents"/>
              <w:bidi w:val="0"/>
              <w:spacing w:before="0" w:after="0"/>
              <w:ind w:left="0" w:right="0" w:hanging="0"/>
              <w:jc w:val="center"/>
              <w:rPr/>
            </w:pPr>
            <w:r>
              <w:rPr/>
              <w:t>​</w:t>
            </w:r>
          </w:p>
        </w:tc>
        <w:tc>
          <w:tcPr>
            <w:tcW w:w="752"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191"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c>
          <w:tcPr>
            <w:tcW w:w="191"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91" w:type="dxa"/>
            <w:tcBorders/>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3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91"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at December 31, 2023</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3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intrinsic value, which is defined as the difference between the market price at exercise and the price paid by the employee to exercise the options, for options exercised during the years ended December 31, 2023, 2022 and 2021 was $0.2 million, $5.4 million and $12.8 million,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both the years ended December 31, 2023 and 2022, 750 stock options vested, respectively. No stock options vested for the year ended December 31, 2021. As of December 31, 2023, there was less than $0.1 million of unrecognized compensation cost related to non-vested stock options granted under the 2012 Equity Incentive Plan.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          Restricted Stock Units and Restricted Stock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Restricted stock units represent the Company’s unfunded and unsecured promise to issue shares of the common stock at a future date, subject to the terms of the Award Agreement issued under the 2012 Equity Incentive Plan. Restricted stock unit awards granted in 2023 included time vested share awards and awards with performance vesting conditions. Restricted stock awards are issued shares of common stock that are subject to forfeiture on terms described in the Award Agreement, and may be granted under the 2012 Equity Incentive Plan. No restricted stock awards were granted, or vested, during the years ended December 31, 2023, 2022 and 2021. The fair value of a restricted stock unit and restricted stock award is charged to expense ratably over the applicable service period. The purpose of these awards is to assist in attracting and retaining highly competent employees and directors and to act as an incentive in motivating selected employees and directors to achieve long-term corporate objectives.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Changes in the Company’s non-vested restricted stock units for the year ended December 31, 2023 is as follows:</w:t>
      </w:r>
    </w:p>
    <w:p>
      <w:pPr>
        <w:pStyle w:val="TextBody"/>
        <w:bidi w:val="0"/>
        <w:spacing w:before="0" w:after="0"/>
        <w:ind w:left="0" w:right="0" w:firstLine="720"/>
        <w:jc w:val="left"/>
        <w:rPr/>
      </w:pPr>
      <w:r>
        <w:rPr/>
        <w:t>​</w:t>
      </w:r>
    </w:p>
    <w:tbl>
      <w:tblPr>
        <w:tblW w:w="6381" w:type="dxa"/>
        <w:jc w:val="left"/>
        <w:tblInd w:w="0" w:type="dxa"/>
        <w:tblLayout w:type="fixed"/>
        <w:tblCellMar>
          <w:top w:w="0" w:type="dxa"/>
          <w:left w:w="0" w:type="dxa"/>
          <w:bottom w:w="0" w:type="dxa"/>
          <w:right w:w="0" w:type="dxa"/>
        </w:tblCellMar>
      </w:tblPr>
      <w:tblGrid>
        <w:gridCol w:w="2941"/>
        <w:gridCol w:w="326"/>
        <w:gridCol w:w="1126"/>
        <w:gridCol w:w="326"/>
        <w:gridCol w:w="349"/>
        <w:gridCol w:w="1122"/>
        <w:gridCol w:w="1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867535" cy="175260"/>
                      <wp:effectExtent l="0" t="0" r="0" b="0"/>
                      <wp:wrapNone/>
                      <wp:docPr id="286" name="Frame28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15010" cy="175260"/>
                      <wp:effectExtent l="0" t="0" r="0" b="0"/>
                      <wp:wrapNone/>
                      <wp:docPr id="288" name="Frame28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21615" cy="175260"/>
                      <wp:effectExtent l="0" t="0" r="0" b="0"/>
                      <wp:wrapNone/>
                      <wp:docPr id="290" name="Frame290"/>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12470" cy="175260"/>
                      <wp:effectExtent l="0" t="0" r="0" b="0"/>
                      <wp:wrapNone/>
                      <wp:docPr id="291" name="Frame291"/>
                      <a:graphic xmlns:a="http://schemas.openxmlformats.org/drawingml/2006/main">
                        <a:graphicData uri="http://schemas.microsoft.com/office/word/2010/wordprocessingShape">
                          <wps:wsp>
                            <wps:cNvSpPr txBox="1"/>
                            <wps:spPr>
                              <a:xfrm>
                                <a:off x="0" y="0"/>
                                <a:ext cx="712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1285" cy="175260"/>
                      <wp:effectExtent l="0" t="0" r="0" b="0"/>
                      <wp:wrapNone/>
                      <wp:docPr id="292" name="Frame29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1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Shares/units</w:t>
            </w:r>
          </w:p>
        </w:tc>
        <w:tc>
          <w:tcPr>
            <w:tcW w:w="326" w:type="dxa"/>
            <w:tcBorders/>
            <w:vAlign w:val="center"/>
          </w:tcPr>
          <w:p>
            <w:pPr>
              <w:pStyle w:val="TableContents"/>
              <w:bidi w:val="0"/>
              <w:spacing w:before="0" w:after="0"/>
              <w:ind w:left="0" w:right="0" w:hanging="0"/>
              <w:jc w:val="center"/>
              <w:rPr/>
            </w:pPr>
            <w:r>
              <w:rPr/>
              <w:t>​</w:t>
            </w:r>
          </w:p>
        </w:tc>
        <w:tc>
          <w:tcPr>
            <w:tcW w:w="14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c>
          <w:tcPr>
            <w:tcW w:w="191" w:type="dxa"/>
            <w:tcBorders/>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349" w:type="dxa"/>
            <w:tcBorders/>
            <w:vAlign w:val="center"/>
          </w:tcPr>
          <w:p>
            <w:pPr>
              <w:pStyle w:val="TableContents"/>
              <w:bidi w:val="0"/>
              <w:spacing w:before="0" w:after="0"/>
              <w:ind w:left="0" w:right="0" w:hanging="0"/>
              <w:jc w:val="center"/>
              <w:rPr/>
            </w:pPr>
            <w:r>
              <w:rPr/>
              <w:t>​</w:t>
            </w:r>
          </w:p>
        </w:tc>
        <w:tc>
          <w:tcPr>
            <w:tcW w:w="1122"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right"/>
              <w:rPr/>
            </w:pPr>
            <w:r>
              <w:rPr/>
              <w:t> </w:t>
            </w:r>
          </w:p>
        </w:tc>
        <w:tc>
          <w:tcPr>
            <w:tcW w:w="11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125.11</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right"/>
              <w:rPr/>
            </w:pPr>
            <w:r>
              <w:rPr/>
              <w:t> </w:t>
            </w:r>
          </w:p>
        </w:tc>
        <w:tc>
          <w:tcPr>
            <w:tcW w:w="11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11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w:t>
            </w:r>
          </w:p>
        </w:tc>
        <w:tc>
          <w:tcPr>
            <w:tcW w:w="191" w:type="dxa"/>
            <w:tcBorders/>
            <w:vAlign w:val="center"/>
          </w:tcPr>
          <w:p>
            <w:pPr>
              <w:pStyle w:val="TableContents"/>
              <w:bidi w:val="0"/>
              <w:spacing w:before="0" w:after="0"/>
              <w:ind w:left="0" w:right="0" w:hanging="0"/>
              <w:jc w:val="left"/>
              <w:rPr/>
            </w:pPr>
            <w:r>
              <w:rPr/>
              <w: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weighted average grant-date fair value of restricted stock units granted for the years ended December 31, 2023, 2022 and 2021 was $125.11, $55.47 and $38.54, respectively. Most restricted stock units provide for net share settlement to cover the employee’s personal income tax withholding obligations on vesting of the employee’s restricted stock units. Vesting activity above reflects shares vested before net share settlement. As of December 31, 2023, there was $31.7 million of total forfeiture-adjusted unrecognized compensation cost related to non-vested restricted stock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under the 2012 Equity Incentive Plan. That cost is expected to be recognized over a weighted-average period of 2.7 years.</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b/>
          <w:sz w:val="20"/>
        </w:rPr>
      </w:pPr>
      <w:r>
        <w:rPr>
          <w:rFonts w:ascii="Times New Roman;Times;serif" w:hAnsi="Times New Roman;Times;serif"/>
          <w:b/>
          <w:sz w:val="20"/>
        </w:rPr>
        <w:t>Note 14. Stockholders’ Equity</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issue up to 75 million shares of common stock without additional shareholder approval. At December 31, 2023 and 2022, there were 32.7 million and 32.8 million outstanding shares of common stock, respectively. </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b/>
          <w:sz w:val="20"/>
        </w:rPr>
      </w:pPr>
      <w:bookmarkStart w:id="1139" w:name="Tc_AqTkoDG-LEuPWoHMAiusiA_9_11"/>
      <w:bookmarkStart w:id="1140" w:name="Tc_y98jQfnnMkaYy7L3PdWomg_9_9"/>
      <w:bookmarkStart w:id="1141" w:name="Tc_IttAA5iG10CiB4T6ODV7mw_9_8"/>
      <w:bookmarkStart w:id="1142" w:name="Tc_cYEKvLNBJU2MA3myEBzb_g_9_6"/>
      <w:bookmarkStart w:id="1143" w:name="Tc_N3-uAnKym0Oi7fVXi-CB9Q_9_5"/>
      <w:bookmarkStart w:id="1144" w:name="Tc_lfDscpbTK0GEALCnChoehg_9_2"/>
      <w:bookmarkStart w:id="1145" w:name="Tc_rGbB7TdL30Wowspd-ssFcg_9_0"/>
      <w:bookmarkStart w:id="1146" w:name="Tc_VDtHwsctNEyNmn3fCrxGYg_8_9"/>
      <w:bookmarkStart w:id="1147" w:name="Tc_jSa4fRSSz0ejRfS4mUBsMQ_8_6"/>
      <w:bookmarkStart w:id="1148" w:name="Tc_mG0cuOy3HUyixzfhwhPdqg_8_0"/>
      <w:bookmarkStart w:id="1149" w:name="Tc_ywynwvu3X0mY2a49G2634w_7_11"/>
      <w:bookmarkStart w:id="1150" w:name="Tc_S8qO9Vx93UiYnmu19ehAzw_7_9"/>
      <w:bookmarkStart w:id="1151" w:name="Tc_pp2JQV41ykSntcVytiKqFw_7_8"/>
      <w:bookmarkStart w:id="1152" w:name="Tc_n0elDYxB90SygC_EpLB7BA_7_6"/>
      <w:bookmarkStart w:id="1153" w:name="Tc_wPoLdTDPkk6DU_NmsTGnaA_7_5"/>
      <w:bookmarkStart w:id="1154" w:name="Tc_3lNRD-DeCUa3cYMIPpit4g_7_2"/>
      <w:bookmarkStart w:id="1155" w:name="Tc_wU7vJbI8fkWfZzi2MJOpbA_7_0"/>
      <w:bookmarkStart w:id="1156" w:name="Tc_YiDCUormC0eX7DSrL_FOog_6_0"/>
      <w:bookmarkStart w:id="1157" w:name="Tc_XUrm-uY2TUiYiSqT_b2v6A_5_0"/>
      <w:bookmarkStart w:id="1158" w:name="Tc_b8eXYnbhr0yG9FtunuxtLA_4_2"/>
      <w:bookmarkStart w:id="1159" w:name="Tc_ocEhJhy8ukClqdkc-e7KAA_3_11"/>
      <w:bookmarkStart w:id="1160" w:name="Tc_JROAIYlofUS6frISLcfRiw_3_8"/>
      <w:bookmarkStart w:id="1161" w:name="Tc_kVMMzl3YiEynKjLqPUuhXQ_3_5"/>
      <w:bookmarkStart w:id="1162" w:name="Tc_nT-9PbvctkafcQbidhUyyw_3_2"/>
      <w:bookmarkStart w:id="1163" w:name="Tc_KY5mozHtfEKzIMSbz1lWiw_2_2"/>
      <w:bookmarkStart w:id="1164" w:name="Tc__uYioi1bskernf2m06-81g_1_2"/>
      <w:bookmarkStart w:id="1165" w:name="_260ac8b8_3332_4f4d_b2b8_f3c6b1f5ef65"/>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r>
        <w:rPr>
          <w:rFonts w:ascii="Times New Roman;Times;serif" w:hAnsi="Times New Roman;Times;serif"/>
          <w:b/>
          <w:sz w:val="20"/>
        </w:rPr>
        <w:t>Note 15. Fair Value Measurements</w:t>
      </w:r>
    </w:p>
    <w:p>
      <w:pPr>
        <w:pStyle w:val="TextBody"/>
        <w:pBdr/>
        <w:bidi w:val="0"/>
        <w:spacing w:before="0" w:after="0"/>
        <w:ind w:left="0" w:right="0" w:hanging="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Fair Value Hierarchy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before="0" w:after="0"/>
        <w:ind w:left="720" w:right="0" w:firstLine="720"/>
        <w:jc w:val="left"/>
        <w:rPr/>
      </w:pPr>
      <w:r>
        <w:rPr/>
        <w:t>​</w:t>
      </w:r>
    </w:p>
    <w:p>
      <w:pPr>
        <w:pStyle w:val="TextBody"/>
        <w:bidi w:val="0"/>
        <w:spacing w:before="0" w:after="0"/>
        <w:ind w:left="720" w:right="0" w:firstLine="720"/>
        <w:jc w:val="left"/>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—applies to assets or liabilities for which there are quoted prices in active markets for identical assets or liabilities.</w:t>
      </w:r>
    </w:p>
    <w:p>
      <w:pPr>
        <w:pStyle w:val="TextBody"/>
        <w:bidi w:val="0"/>
        <w:spacing w:before="0" w:after="0"/>
        <w:ind w:left="720" w:right="0" w:firstLine="720"/>
        <w:jc w:val="left"/>
        <w:rPr/>
      </w:pPr>
      <w:r>
        <w:rPr/>
        <w:t>​</w:t>
      </w:r>
    </w:p>
    <w:p>
      <w:pPr>
        <w:pStyle w:val="TextBody"/>
        <w:bidi w:val="0"/>
        <w:spacing w:before="0" w:after="0"/>
        <w:ind w:left="720" w:right="0" w:firstLine="720"/>
        <w:jc w:val="left"/>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0"/>
        <w:ind w:left="720" w:right="0" w:firstLine="720"/>
        <w:jc w:val="left"/>
        <w:rPr/>
      </w:pPr>
      <w:r>
        <w:rPr/>
        <w:t>​</w:t>
      </w:r>
    </w:p>
    <w:p>
      <w:pPr>
        <w:pStyle w:val="TextBody"/>
        <w:bidi w:val="0"/>
        <w:spacing w:before="0" w:after="0"/>
        <w:ind w:left="720" w:right="0" w:firstLine="720"/>
        <w:jc w:val="left"/>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—applies to assets or liabilities for which there are unobservable inputs to the valuation methodology that are significant to the measurement of the fair value of the assets or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Assets and Liabilities Measured at Fair Value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money market funds and short-term investments with maturities of 90 days or less at time of purchase are included in cash and cash equivalents in the consolidated balance sheets. Short-term investments with maturities greater than 90 days but not greater than 365 days are included in short-term investments in the consolidated balance sheets.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Company’s assets which are measured at fair value by level within the fair value hierarchy.</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64"/>
        <w:gridCol w:w="326"/>
        <w:gridCol w:w="211"/>
        <w:gridCol w:w="781"/>
        <w:gridCol w:w="326"/>
        <w:gridCol w:w="239"/>
        <w:gridCol w:w="392"/>
        <w:gridCol w:w="326"/>
        <w:gridCol w:w="239"/>
        <w:gridCol w:w="392"/>
        <w:gridCol w:w="326"/>
        <w:gridCol w:w="211"/>
        <w:gridCol w:w="781"/>
        <w:gridCol w:w="191"/>
      </w:tblGrid>
      <w:tr>
        <w:trPr/>
        <w:tc>
          <w:tcPr>
            <w:tcW w:w="5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2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91" w:type="dxa"/>
            <w:tcBorders/>
            <w:vAlign w:val="center"/>
          </w:tcPr>
          <w:p>
            <w:pPr>
              <w:pStyle w:val="TableContents"/>
              <w:bidi w:val="0"/>
              <w:spacing w:before="0" w:after="0"/>
              <w:ind w:left="0" w:right="0" w:hanging="0"/>
              <w:jc w:val="center"/>
              <w:rPr/>
            </w:pPr>
            <w:r>
              <w:rPr/>
              <w:t> </w:t>
            </w:r>
          </w:p>
        </w:tc>
      </w:tr>
      <w:tr>
        <w:trPr/>
        <w:tc>
          <w:tcPr>
            <w:tcW w:w="5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2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vAlign w:val="center"/>
          </w:tcPr>
          <w:p>
            <w:pPr>
              <w:pStyle w:val="TableContents"/>
              <w:bidi w:val="0"/>
              <w:spacing w:before="0" w:after="0"/>
              <w:ind w:left="0" w:right="0" w:hanging="0"/>
              <w:jc w:val="center"/>
              <w:rPr/>
            </w:pPr>
            <w:r>
              <w:rPr/>
              <w:t> </w:t>
            </w:r>
          </w:p>
        </w:tc>
      </w:tr>
      <w:tr>
        <w:trPr/>
        <w:tc>
          <w:tcPr>
            <w:tcW w:w="5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4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2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118,278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339,240</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339,240</w:t>
            </w:r>
          </w:p>
        </w:tc>
        <w:tc>
          <w:tcPr>
            <w:tcW w:w="191" w:type="dxa"/>
            <w:tcBorders/>
            <w:vAlign w:val="center"/>
          </w:tcPr>
          <w:p>
            <w:pPr>
              <w:pStyle w:val="TableContents"/>
              <w:bidi w:val="0"/>
              <w:spacing w:before="0" w:after="0"/>
              <w:ind w:left="0" w:right="0" w:hanging="0"/>
              <w:jc w:val="left"/>
              <w:rPr/>
            </w:pPr>
            <w:r>
              <w:rPr/>
              <w:t>​</w:t>
            </w:r>
          </w:p>
        </w:tc>
      </w:tr>
      <w:tr>
        <w:trPr/>
        <w:tc>
          <w:tcPr>
            <w:tcW w:w="5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457,518</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457,518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Normal"/>
        <w:bidi w:val="0"/>
        <w:spacing w:before="0" w:after="0"/>
        <w:ind w:left="600" w:right="600" w:hanging="0"/>
        <w:jc w:val="left"/>
        <w:rPr>
          <w:sz w:val="4"/>
          <w:szCs w:val="4"/>
        </w:rPr>
      </w:pPr>
      <w:r>
        <w:rPr>
          <w:sz w:val="4"/>
          <w:szCs w:val="4"/>
        </w:rPr>
      </w:r>
      <w:bookmarkStart w:id="1166" w:name="Tc_whoMU0FWkE-xGSjpDVB18w_9_11"/>
      <w:bookmarkStart w:id="1167" w:name="Tc_QgLnATp5rEOvrCrxNL14uA_9_9"/>
      <w:bookmarkStart w:id="1168" w:name="Tc_7oJ33fgGvUK6MHvzC3_OCg_9_8"/>
      <w:bookmarkStart w:id="1169" w:name="Tc_ax1HUMeI_0GiPH5JfXBDkg_9_5"/>
      <w:bookmarkStart w:id="1170" w:name="Tc_BhbOLlBRAUmO68cgbRm-4g_9_2"/>
      <w:bookmarkStart w:id="1171" w:name="Tc_k1fLN8oar0qij6L2mD3l9A_9_0"/>
      <w:bookmarkStart w:id="1172" w:name="Tc_yNCZfb2aIE6rsAEORqDWKQ_8_9"/>
      <w:bookmarkStart w:id="1173" w:name="Tc_DXEbH7BpekybrIcqQTFjzA_8_6"/>
      <w:bookmarkStart w:id="1174" w:name="Tc_i1GB98vN10GL9oMa74oYpg_8_0"/>
      <w:bookmarkStart w:id="1175" w:name="Tc_9nZvi6YsrUSC-yV8IaIQ_Q_7_11"/>
      <w:bookmarkStart w:id="1176" w:name="Tc_V7mMGh5sLUitHyQfgUWaiw_7_9"/>
      <w:bookmarkStart w:id="1177" w:name="Tc_izX1ZB2q7Umss6SKgwoPmA_7_8"/>
      <w:bookmarkStart w:id="1178" w:name="Tc_FQ1t0h3d9Ui6EhD7l3o-OA_7_5"/>
      <w:bookmarkStart w:id="1179" w:name="Tc_se6mL8BNMEy08lxnx9jDsg_7_2"/>
      <w:bookmarkStart w:id="1180" w:name="Tc_R68IS3rYFE-eQWteRrqAPQ_7_0"/>
      <w:bookmarkStart w:id="1181" w:name="Tc_K6A_0gqLtUCiDtkMZOVfJw_6_0"/>
      <w:bookmarkStart w:id="1182" w:name="Tc_2rz33vn4a0uSCkiVvQN91Q_5_0"/>
      <w:bookmarkStart w:id="1183" w:name="Tc_eR2z2eEd3UOTfy4Xycil7A_4_2"/>
      <w:bookmarkStart w:id="1184" w:name="Tc_eEak3du_4kS4DLY0btz8KA_3_11"/>
      <w:bookmarkStart w:id="1185" w:name="Tc_8egQJwQg2EaA5UWP3maMRA_3_8"/>
      <w:bookmarkStart w:id="1186" w:name="Tc_zfPoRto8W0SRN-33DmQQgA_3_5"/>
      <w:bookmarkStart w:id="1187" w:name="Tc_r_QOfbzJeUeaK1o1744vIQ_3_2"/>
      <w:bookmarkStart w:id="1188" w:name="Tc__PuJBSN3I0C8JAAQ4pMOQg_2_2"/>
      <w:bookmarkStart w:id="1189" w:name="Tc_i27GLBo4i0CzT-fwn-BIIQ_1_2"/>
      <w:bookmarkStart w:id="1190" w:name="_c4254afb_2420_49a0_8907_be6098a2270a"/>
      <w:bookmarkStart w:id="1191" w:name="Tc_whoMU0FWkE-xGSjpDVB18w_9_11"/>
      <w:bookmarkStart w:id="1192" w:name="Tc_QgLnATp5rEOvrCrxNL14uA_9_9"/>
      <w:bookmarkStart w:id="1193" w:name="Tc_7oJ33fgGvUK6MHvzC3_OCg_9_8"/>
      <w:bookmarkStart w:id="1194" w:name="Tc_ax1HUMeI_0GiPH5JfXBDkg_9_5"/>
      <w:bookmarkStart w:id="1195" w:name="Tc_BhbOLlBRAUmO68cgbRm-4g_9_2"/>
      <w:bookmarkStart w:id="1196" w:name="Tc_k1fLN8oar0qij6L2mD3l9A_9_0"/>
      <w:bookmarkStart w:id="1197" w:name="Tc_yNCZfb2aIE6rsAEORqDWKQ_8_9"/>
      <w:bookmarkStart w:id="1198" w:name="Tc_DXEbH7BpekybrIcqQTFjzA_8_6"/>
      <w:bookmarkStart w:id="1199" w:name="Tc_i1GB98vN10GL9oMa74oYpg_8_0"/>
      <w:bookmarkStart w:id="1200" w:name="Tc_9nZvi6YsrUSC-yV8IaIQ_Q_7_11"/>
      <w:bookmarkStart w:id="1201" w:name="Tc_V7mMGh5sLUitHyQfgUWaiw_7_9"/>
      <w:bookmarkStart w:id="1202" w:name="Tc_izX1ZB2q7Umss6SKgwoPmA_7_8"/>
      <w:bookmarkStart w:id="1203" w:name="Tc_FQ1t0h3d9Ui6EhD7l3o-OA_7_5"/>
      <w:bookmarkStart w:id="1204" w:name="Tc_se6mL8BNMEy08lxnx9jDsg_7_2"/>
      <w:bookmarkStart w:id="1205" w:name="Tc_R68IS3rYFE-eQWteRrqAPQ_7_0"/>
      <w:bookmarkStart w:id="1206" w:name="Tc_K6A_0gqLtUCiDtkMZOVfJw_6_0"/>
      <w:bookmarkStart w:id="1207" w:name="Tc_2rz33vn4a0uSCkiVvQN91Q_5_0"/>
      <w:bookmarkStart w:id="1208" w:name="Tc_eR2z2eEd3UOTfy4Xycil7A_4_2"/>
      <w:bookmarkStart w:id="1209" w:name="Tc_eEak3du_4kS4DLY0btz8KA_3_11"/>
      <w:bookmarkStart w:id="1210" w:name="Tc_8egQJwQg2EaA5UWP3maMRA_3_8"/>
      <w:bookmarkStart w:id="1211" w:name="Tc_zfPoRto8W0SRN-33DmQQgA_3_5"/>
      <w:bookmarkStart w:id="1212" w:name="Tc_r_QOfbzJeUeaK1o1744vIQ_3_2"/>
      <w:bookmarkStart w:id="1213" w:name="Tc__PuJBSN3I0C8JAAQ4pMOQg_2_2"/>
      <w:bookmarkStart w:id="1214" w:name="Tc_i27GLBo4i0CzT-fwn-BIIQ_1_2"/>
      <w:bookmarkStart w:id="1215" w:name="_c4254afb_2420_49a0_8907_be6098a2270a"/>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p>
    <w:tbl>
      <w:tblPr>
        <w:tblW w:w="10205" w:type="dxa"/>
        <w:jc w:val="left"/>
        <w:tblInd w:w="0" w:type="dxa"/>
        <w:tblLayout w:type="fixed"/>
        <w:tblCellMar>
          <w:top w:w="0" w:type="dxa"/>
          <w:left w:w="0" w:type="dxa"/>
          <w:bottom w:w="0" w:type="dxa"/>
          <w:right w:w="0" w:type="dxa"/>
        </w:tblCellMar>
      </w:tblPr>
      <w:tblGrid>
        <w:gridCol w:w="5208"/>
        <w:gridCol w:w="326"/>
        <w:gridCol w:w="211"/>
        <w:gridCol w:w="781"/>
        <w:gridCol w:w="326"/>
        <w:gridCol w:w="211"/>
        <w:gridCol w:w="676"/>
        <w:gridCol w:w="326"/>
        <w:gridCol w:w="239"/>
        <w:gridCol w:w="392"/>
        <w:gridCol w:w="326"/>
        <w:gridCol w:w="211"/>
        <w:gridCol w:w="781"/>
        <w:gridCol w:w="191"/>
      </w:tblGrid>
      <w:tr>
        <w:trPr/>
        <w:tc>
          <w:tcPr>
            <w:tcW w:w="5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8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91" w:type="dxa"/>
            <w:tcBorders/>
            <w:vAlign w:val="center"/>
          </w:tcPr>
          <w:p>
            <w:pPr>
              <w:pStyle w:val="TableContents"/>
              <w:bidi w:val="0"/>
              <w:spacing w:before="0" w:after="0"/>
              <w:ind w:left="0" w:right="0" w:hanging="0"/>
              <w:jc w:val="center"/>
              <w:rPr/>
            </w:pPr>
            <w:r>
              <w:rPr/>
              <w:t> </w:t>
            </w:r>
          </w:p>
        </w:tc>
      </w:tr>
      <w:tr>
        <w:trPr/>
        <w:tc>
          <w:tcPr>
            <w:tcW w:w="5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8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c>
          <w:tcPr>
            <w:tcW w:w="191" w:type="dxa"/>
            <w:tcBorders/>
            <w:vAlign w:val="center"/>
          </w:tcPr>
          <w:p>
            <w:pPr>
              <w:pStyle w:val="TableContents"/>
              <w:bidi w:val="0"/>
              <w:spacing w:before="0" w:after="0"/>
              <w:ind w:left="0" w:right="0" w:hanging="0"/>
              <w:jc w:val="center"/>
              <w:rPr/>
            </w:pPr>
            <w:r>
              <w:rPr/>
              <w:t> </w:t>
            </w:r>
          </w:p>
        </w:tc>
      </w:tr>
      <w:tr>
        <w:trPr/>
        <w:tc>
          <w:tcPr>
            <w:tcW w:w="5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2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80"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5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and other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 (money market funds, U.S. Government Securities and Agency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(U.S. Government Securities and Agency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245,247</w:t>
            </w:r>
          </w:p>
        </w:tc>
        <w:tc>
          <w:tcPr>
            <w:tcW w:w="191" w:type="dxa"/>
            <w:tcBorders/>
            <w:vAlign w:val="center"/>
          </w:tcPr>
          <w:p>
            <w:pPr>
              <w:pStyle w:val="TableContents"/>
              <w:bidi w:val="0"/>
              <w:spacing w:before="0" w:after="0"/>
              <w:ind w:left="0" w:right="0" w:hanging="0"/>
              <w:jc w:val="left"/>
              <w:rPr/>
            </w:pPr>
            <w:r>
              <w:rPr/>
              <w:t>​</w:t>
            </w:r>
          </w:p>
        </w:tc>
      </w:tr>
      <w:tr>
        <w:trPr/>
        <w:tc>
          <w:tcPr>
            <w:tcW w:w="5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382,018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          Other Financial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amounts reflected in the consolidated balance sheets for accounts receivable, prepaid expenses and other current and non-current assets, restricted cash, accounts payable and accrued expenses approximate fair value due to their short-term maturities.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 Commitments and Contingencies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finance and operating leases discussed in Note 9, we have purchase commitments and other contingency considerations.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          Purchase Commitments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contracts and purchase orders for inventory and other expenditures of $304.1 million at December 31, 2023, approximately $293.8 million are expected to occur in 2024.</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not presently a party to any litigation that we believe might have a material adverse effect on our business operations. We are, from time to time, a party to litigation that arises in the normal course of our business operations.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          Indemnifications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system sales agreements typically include provisions under which we agree to take certain actions, provide certain remedies and defend our customers against third-party claims of intellectual property infringement under specified conditions and to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 Business Segment and Geographic Region Information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operate in one business segment, which is the manufacture of capital equipment for the semiconductor chip manufacturing industry. The principal market for semiconductor capital equipment is semiconductor chip manufacturers. Substantially all sales are made directly by us to our customers located in the United States, Europe and Asia Pacific.</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ion implantation systems product line includes high current, medium current and high energy implanters. Other legacy processing products include curing and thermal processing systems. In addition to new equipment, we provide post-sales equipment service and support, including spare parts, equipment upgrades, used equipment, maintenance services and customer training.</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0"/>
        <w:ind w:left="0" w:right="0" w:firstLine="720"/>
        <w:jc w:val="left"/>
        <w:rPr>
          <w:rFonts w:ascii="Times New Roman;Times;serif" w:hAnsi="Times New Roman;Times;serif"/>
          <w:sz w:val="20"/>
        </w:rPr>
      </w:pPr>
      <w:bookmarkStart w:id="1216" w:name="Tc_LDl1UXsbwEiYLaMWzuEnHQ_18_5"/>
      <w:bookmarkStart w:id="1217" w:name="Tc_2dNljpbKwkWiziBtHx1KMw_18_2"/>
      <w:bookmarkStart w:id="1218" w:name="Tc_YWTqX55jzUG08yoL6yfvWw_17_0"/>
      <w:bookmarkStart w:id="1219" w:name="Tc_6lFRhfhmek6FmAyLWGwypQ_16_0"/>
      <w:bookmarkStart w:id="1220" w:name="Tc_OuTQFfkesUSi5Zzst9R1WQ_15_5"/>
      <w:bookmarkStart w:id="1221" w:name="Tc_Tl7vLbjl70aifsmnl3Efkw_15_2"/>
      <w:bookmarkStart w:id="1222" w:name="Tc_RF4PGwKQ1EiI0cKAXOFH-Q_15_0"/>
      <w:bookmarkStart w:id="1223" w:name="Tc_sommrLhFk02qscGKtb0iCQ_14_0"/>
      <w:bookmarkStart w:id="1224" w:name="Tc_pmY71gtQaUq6EOUY_i2vaw_13_5"/>
      <w:bookmarkStart w:id="1225" w:name="Tc_IzWlQj7D9EWw7GmVM-MhoQ_13_2"/>
      <w:bookmarkStart w:id="1226" w:name="Tc_uCF91UapyEeBtM4uZSy7Aw_12_0"/>
      <w:bookmarkStart w:id="1227" w:name="Tc_aq1zvzof9U2ZojKVrC2qpw_11_0"/>
      <w:bookmarkStart w:id="1228" w:name="Tc_ybn8d7w6W0ubehdTcZuUlQ_10_5"/>
      <w:bookmarkStart w:id="1229" w:name="Tc_yqT4TNaYlUCiEwIS9AyxYQ_10_2"/>
      <w:bookmarkStart w:id="1230" w:name="Tc_AOfsL59w8ECbIaofMwLXxw_10_0"/>
      <w:bookmarkStart w:id="1231" w:name="Tc_I7_e-dwSAUmTYyWtqxdyOQ_9_0"/>
      <w:bookmarkStart w:id="1232" w:name="Tc_ja_-uiLqDkCQxeyrDYL4Mw_8_5"/>
      <w:bookmarkStart w:id="1233" w:name="Tc_TiSMm1fut0aNktdVvHtOqw_8_2"/>
      <w:bookmarkStart w:id="1234" w:name="Tc_ZqYHMNUNJ0Sf5rw5D0_JfQ_7_0"/>
      <w:bookmarkStart w:id="1235" w:name="Tc_86qXqpMDvkylqThPfQCyQw_6_0"/>
      <w:bookmarkStart w:id="1236" w:name="Tc__vaTYMcw9UqXaX7l9RpZ4g_5_5"/>
      <w:bookmarkStart w:id="1237" w:name="Tc_foRpgBkJE0K2ZXkw8skv2g_5_2"/>
      <w:bookmarkStart w:id="1238" w:name="Tc_59icc7NG7EO7JY0g3Tkapw_5_0"/>
      <w:bookmarkStart w:id="1239" w:name="Tc_stiC6f3L1UeQRpqu_s13Iw_4_0"/>
      <w:bookmarkStart w:id="1240" w:name="Tc_RnM7T2169EKSfUhAZkR2kQ_3_2"/>
      <w:bookmarkStart w:id="1241" w:name="Tc_xsEfn2pddUO1wtbtylGYDg_2_5"/>
      <w:bookmarkStart w:id="1242" w:name="Tc_xUPllMdr7UmWhzaG4XqhIg_2_2"/>
      <w:bookmarkStart w:id="1243" w:name="Tc_vChxh3PSAU2HXCPo3suRKg_1_5"/>
      <w:bookmarkStart w:id="1244" w:name="Tc_QnWQVa6Y5kuaCvvj8u01zA_6_8"/>
      <w:bookmarkStart w:id="1245" w:name="Tc_bpRYe8Fsr0-T5VNRBkICyA_6_5"/>
      <w:bookmarkStart w:id="1246" w:name="Tc_ARXiUcEieEuWk4KooZinlA_6_2"/>
      <w:bookmarkStart w:id="1247" w:name="Tc_XCgPZGqVu0GKZGvFE0DEKQ_6_0"/>
      <w:bookmarkStart w:id="1248" w:name="Tc_GCATj2UHFEOAtKWQGL9saA_5_0"/>
      <w:bookmarkStart w:id="1249" w:name="Tc_tgT0nlEFYkSAMmimo12VVw_4_8"/>
      <w:bookmarkStart w:id="1250" w:name="Tc_nURlaNk0d0SUCVkCzlE4aA_4_5"/>
      <w:bookmarkStart w:id="1251" w:name="Tc_fcuXV7xsqkasar1GOpJqoQ_4_2"/>
      <w:bookmarkStart w:id="1252" w:name="Tc_QaHwfMJMU0yF9v3U5W0YSA_4_0"/>
      <w:bookmarkStart w:id="1253" w:name="Tc_NMbAdLL7xEO7LI2RG-7DAA_3_2"/>
      <w:bookmarkStart w:id="1254" w:name="Tc_hW6HFYKnI0GGMqx0G8ChNQ_2_8"/>
      <w:bookmarkStart w:id="1255" w:name="Tc_ax72CHtcxEO_0Lbn0o5KEg_2_5"/>
      <w:bookmarkStart w:id="1256" w:name="Tc_Q4Tmq4vFpUuADlMgLeS_Qw_2_2"/>
      <w:bookmarkStart w:id="1257" w:name="Tc_Tgm_Lv7fnkK4GsRiUfRpdQ_1_2"/>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r>
        <w:rPr>
          <w:rFonts w:ascii="Times New Roman;Times;serif" w:hAnsi="Times New Roman;Times;serif"/>
          <w:sz w:val="20"/>
        </w:rPr>
        <w:t>Revenue by product lines is as follows:</w:t>
      </w:r>
    </w:p>
    <w:p>
      <w:pPr>
        <w:pStyle w:val="TextBody"/>
        <w:bidi w:val="0"/>
        <w:spacing w:before="0" w:after="0"/>
        <w:ind w:left="0" w:right="0" w:firstLine="720"/>
        <w:jc w:val="left"/>
        <w:rPr/>
      </w:pPr>
      <w:r>
        <w:rPr/>
        <w:t>​</w:t>
      </w:r>
    </w:p>
    <w:tbl>
      <w:tblPr>
        <w:tblW w:w="7536" w:type="dxa"/>
        <w:jc w:val="left"/>
        <w:tblInd w:w="0" w:type="dxa"/>
        <w:tblLayout w:type="fixed"/>
        <w:tblCellMar>
          <w:top w:w="0" w:type="dxa"/>
          <w:left w:w="0" w:type="dxa"/>
          <w:bottom w:w="0" w:type="dxa"/>
          <w:right w:w="0" w:type="dxa"/>
        </w:tblCellMar>
      </w:tblPr>
      <w:tblGrid>
        <w:gridCol w:w="3196"/>
        <w:gridCol w:w="326"/>
        <w:gridCol w:w="211"/>
        <w:gridCol w:w="976"/>
        <w:gridCol w:w="326"/>
        <w:gridCol w:w="211"/>
        <w:gridCol w:w="781"/>
        <w:gridCol w:w="326"/>
        <w:gridCol w:w="211"/>
        <w:gridCol w:w="781"/>
        <w:gridCol w:w="19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29460" cy="175260"/>
                      <wp:effectExtent l="0" t="0" r="0" b="0"/>
                      <wp:wrapNone/>
                      <wp:docPr id="293" name="Frame293"/>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19760" cy="175260"/>
                      <wp:effectExtent l="0" t="0" r="0" b="0"/>
                      <wp:wrapNone/>
                      <wp:docPr id="296" name="Frame29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95935" cy="175260"/>
                      <wp:effectExtent l="0" t="0" r="0" b="0"/>
                      <wp:wrapNone/>
                      <wp:docPr id="299" name="Frame2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95935" cy="175260"/>
                      <wp:effectExtent l="0" t="0" r="0" b="0"/>
                      <wp:wrapNone/>
                      <wp:docPr id="302" name="Frame3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21285" cy="175260"/>
                      <wp:effectExtent l="0" t="0" r="0" b="0"/>
                      <wp:wrapNone/>
                      <wp:docPr id="303" name="Frame30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2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753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2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Ion implantation systems and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1,111,278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645,504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systems and services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16,924</w:t>
            </w:r>
          </w:p>
        </w:tc>
        <w:tc>
          <w:tcPr>
            <w:tcW w:w="191" w:type="dxa"/>
            <w:tcBorders/>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919,998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662,428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and long-lived assets by geographic region, based on the physical location of the operation recording the sale or the asset, are as follows:</w:t>
      </w:r>
    </w:p>
    <w:p>
      <w:pPr>
        <w:pStyle w:val="TextBody"/>
        <w:bidi w:val="0"/>
        <w:spacing w:before="0" w:after="0"/>
        <w:ind w:left="0" w:right="0" w:firstLine="720"/>
        <w:jc w:val="left"/>
        <w:rPr/>
      </w:pPr>
      <w:r>
        <w:rPr/>
        <w:t>​</w:t>
      </w:r>
    </w:p>
    <w:tbl>
      <w:tblPr>
        <w:tblW w:w="4132" w:type="dxa"/>
        <w:jc w:val="left"/>
        <w:tblInd w:w="0" w:type="dxa"/>
        <w:tblLayout w:type="fixed"/>
        <w:tblCellMar>
          <w:top w:w="0" w:type="dxa"/>
          <w:left w:w="0" w:type="dxa"/>
          <w:bottom w:w="0" w:type="dxa"/>
          <w:right w:w="0" w:type="dxa"/>
        </w:tblCellMar>
      </w:tblPr>
      <w:tblGrid>
        <w:gridCol w:w="1201"/>
        <w:gridCol w:w="326"/>
        <w:gridCol w:w="211"/>
        <w:gridCol w:w="931"/>
        <w:gridCol w:w="326"/>
        <w:gridCol w:w="225"/>
        <w:gridCol w:w="721"/>
        <w:gridCol w:w="19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62635" cy="175260"/>
                      <wp:effectExtent l="0" t="0" r="0" b="0"/>
                      <wp:wrapNone/>
                      <wp:docPr id="304" name="Frame30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91185" cy="175260"/>
                      <wp:effectExtent l="0" t="0" r="0" b="0"/>
                      <wp:wrapNone/>
                      <wp:docPr id="307" name="Frame3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42875" cy="175260"/>
                      <wp:effectExtent l="0" t="0" r="0" b="0"/>
                      <wp:wrapNone/>
                      <wp:docPr id="309" name="Frame30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57835" cy="175260"/>
                      <wp:effectExtent l="0" t="0" r="0" b="0"/>
                      <wp:wrapNone/>
                      <wp:docPr id="310" name="Frame3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1285" cy="175260"/>
                      <wp:effectExtent l="0" t="0" r="0" b="0"/>
                      <wp:wrapNone/>
                      <wp:docPr id="311" name="Frame3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Long-Lived</w:t>
            </w:r>
          </w:p>
        </w:tc>
        <w:tc>
          <w:tcPr>
            <w:tcW w:w="191" w:type="dxa"/>
            <w:tcBorders/>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191" w:type="dxa"/>
            <w:tcBorders/>
            <w:vAlign w:val="center"/>
          </w:tcPr>
          <w:p>
            <w:pPr>
              <w:pStyle w:val="TableContents"/>
              <w:bidi w:val="0"/>
              <w:spacing w:before="0" w:after="0"/>
              <w:ind w:left="0" w:right="0" w:hanging="0"/>
              <w:jc w:val="center"/>
              <w:rPr/>
            </w:pPr>
            <w:r>
              <w:rPr/>
              <w:t> </w:t>
            </w:r>
          </w:p>
        </w:tc>
      </w:tr>
      <w:tr>
        <w:trPr/>
        <w:tc>
          <w:tcPr>
            <w:tcW w:w="4132"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749,288</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86,482</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335,733</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1,130,604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634,081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66,227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38,963</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righ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246,954</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919,998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69,903</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519,408</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63,590</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106,398</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w:t>
            </w:r>
          </w:p>
        </w:tc>
        <w:tc>
          <w:tcPr>
            <w:tcW w:w="191" w:type="dxa"/>
            <w:tcBorders/>
            <w:vAlign w:val="center"/>
          </w:tcPr>
          <w:p>
            <w:pPr>
              <w:pStyle w:val="TableContents"/>
              <w:bidi w:val="0"/>
              <w:spacing w:before="0" w:after="0"/>
              <w:ind w:left="0" w:right="0" w:hanging="0"/>
              <w:jc w:val="left"/>
              <w:rPr/>
            </w:pPr>
            <w:r>
              <w:rPr/>
              <w:t>​</w:t>
            </w:r>
          </w:p>
        </w:tc>
      </w:tr>
      <w:tr>
        <w:trPr/>
        <w:tc>
          <w:tcPr>
            <w:tcW w:w="12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662,428</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Long-lived assets consist of property, plant and equipment, net, and assets manufactured for internal use, net. Operations in Asia Pacific consist of manufacturing, sales and service organizations. Operations in Europe consist of sales and service organizations.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International revenue, which includes export sales from U.S. manufacturing facilities to foreign customers and sales by foreign subsidiaries and branches, was $950.4 million (84.1% of total revenue), $776.3 million (84.4% of total revenue) and $613.5 million (92.6% of total revenue) in 2023, 2022 and 2021, respectively. </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0"/>
        <w:ind w:left="0" w:right="0" w:hanging="0"/>
        <w:jc w:val="left"/>
        <w:rPr>
          <w:rFonts w:ascii="Times New Roman;Times;serif" w:hAnsi="Times New Roman;Times;serif"/>
          <w:b/>
          <w:sz w:val="20"/>
        </w:rPr>
      </w:pPr>
      <w:bookmarkStart w:id="1258" w:name="Tc_ScPwcKixuE62tKpbf402zQ_17_8"/>
      <w:bookmarkStart w:id="1259" w:name="Tc_lcP6w2xUkEK9fnhKXSBaBQ_17_5"/>
      <w:bookmarkStart w:id="1260" w:name="Tc_2DRsE8iPa0eFxtI7rfUyKA_17_2"/>
      <w:bookmarkStart w:id="1261" w:name="Tc_zEnfBYALIEyi8ZN4qR0FgQ_17_0"/>
      <w:bookmarkStart w:id="1262" w:name="Tc_HPgPOTfKyEWC-cYkKTJodQ_16_0"/>
      <w:bookmarkStart w:id="1263" w:name="Tc_uzk3BDbpNE-ugBYaTLE2DA_15_9"/>
      <w:bookmarkStart w:id="1264" w:name="Tc_vtH56PV9vEmRDRvmzKQ5UA_15_0"/>
      <w:bookmarkStart w:id="1265" w:name="Tc_RExtuooQIE-q4MF6-cIJNg_14_0"/>
      <w:bookmarkStart w:id="1266" w:name="Tc_gsm3LUVK30iWv6ZiDce_sw_13_0"/>
      <w:bookmarkStart w:id="1267" w:name="Tc_utWTrX62nk-ISi5jkq9DJQ_12_0"/>
      <w:bookmarkStart w:id="1268" w:name="Tc_NoeGjtQiMkikMtoL40kPfg_11_0"/>
      <w:bookmarkStart w:id="1269" w:name="Tc_SUu05Kzi7ECQ3GYar2vd2A_10_0"/>
      <w:bookmarkStart w:id="1270" w:name="Tc_uLeKAvICYUGJGnvwdUCanA_9_0"/>
      <w:bookmarkStart w:id="1271" w:name="Tc_k47Og2pjS0GA7ccCA8cNzQ_8_0"/>
      <w:bookmarkStart w:id="1272" w:name="Tc_0eEMZQeamECrBQQ0qq2iDA_7_0"/>
      <w:bookmarkStart w:id="1273" w:name="Tc_p_vADcYMaU2SHELFhYCAew_6_0"/>
      <w:bookmarkStart w:id="1274" w:name="Tc_SiMpVgMy_0meq8efCq_FHA_5_0"/>
      <w:bookmarkStart w:id="1275" w:name="Tc_MF0BZ7l4E0OM5R1CA_AFbg_4_8"/>
      <w:bookmarkStart w:id="1276" w:name="Tc_DsgpgbtxjEO2nvcUCiaN7Q_4_5"/>
      <w:bookmarkStart w:id="1277" w:name="Tc_gZnIkASnjUWPL6oErALJAQ_4_2"/>
      <w:bookmarkStart w:id="1278" w:name="Tc_jmhq57XJ6U2b5g75DhSzcw_4_0"/>
      <w:bookmarkStart w:id="1279" w:name="Tc_vnsPkGbsjUKDBM52lW_3Uw_3_2"/>
      <w:bookmarkStart w:id="1280" w:name="Tc_KOQDsfYmSEaCPUS1xiygUQ_2_8"/>
      <w:bookmarkStart w:id="1281" w:name="Tc_2wDIG7QOh0ucekl_evF9eg_2_5"/>
      <w:bookmarkStart w:id="1282" w:name="Tc_Qt6d6UyO0UCVnYYEfBr0Vw_2_2"/>
      <w:bookmarkStart w:id="1283" w:name="Tc_MVDJFWyXa0O954toKNm0RQ_1_2"/>
      <w:bookmarkStart w:id="1284" w:name="Tc_rz-sehKgTESW1DwQwj-Eow_15_8"/>
      <w:bookmarkStart w:id="1285" w:name="Tc_YL8cm9O8rkSl039Xrnv6xQ_15_5"/>
      <w:bookmarkStart w:id="1286" w:name="Tc_TTlw2ABJVkuzD2Zscek9ZQ_15_2"/>
      <w:bookmarkStart w:id="1287" w:name="Tc_o38IjgU5fEmRzeSO-bT-cA_15_0"/>
      <w:bookmarkStart w:id="1288" w:name="Tc_kKirzEUiWka39QWBEkbEgQ_14_0"/>
      <w:bookmarkStart w:id="1289" w:name="Tc_WWOEjLJA50qe1ImMsMFWNA_13_0"/>
      <w:bookmarkStart w:id="1290" w:name="Tc_lNPAJO0Pik6_P7Ixi1fpxA_12_0"/>
      <w:bookmarkStart w:id="1291" w:name="Tc_dmxna7IWxEqRyTy0A2N_Jw_11_0"/>
      <w:bookmarkStart w:id="1292" w:name="Tc_Hf5ezKlbWkm0u5kpFxZrWQ_10_0"/>
      <w:bookmarkStart w:id="1293" w:name="Tc_Uv87TCFW4EmS44lV1PU96w_9_0"/>
      <w:bookmarkStart w:id="1294" w:name="Tc_nUQl5WkV8EamrQtx0EAXBw_8_0"/>
      <w:bookmarkStart w:id="1295" w:name="Tc_EV33sJe6kEuYaZ4k8u5Wkg_7_0"/>
      <w:bookmarkStart w:id="1296" w:name="Tc_ARu_CR0h60GzNyAHG0IAnw_6_9"/>
      <w:bookmarkStart w:id="1297" w:name="Tc_n6xhEqoj5kmPQBm70rwgbQ_6_8"/>
      <w:bookmarkStart w:id="1298" w:name="Tc_VLR8sbBgNU6wAecntbVDFQ_6_5"/>
      <w:bookmarkStart w:id="1299" w:name="Tc_6gaaB1J9v0muv1CRAKkBYQ_6_2"/>
      <w:bookmarkStart w:id="1300" w:name="Tc_t190HjE73E2SQ1NecZfz8Q_6_0"/>
      <w:bookmarkStart w:id="1301" w:name="Tc_XKz_FNXM0E6z6xtv3Kq3jQ_5_0"/>
      <w:bookmarkStart w:id="1302" w:name="Tc_H0BZe1JNHkWGEIfBG1lwGQ_4_0"/>
      <w:bookmarkStart w:id="1303" w:name="Tc_3lVGOFY6RU6rSernLDYyDA_3_2"/>
      <w:bookmarkStart w:id="1304" w:name="Tc_jT3QGc3G0Uu0NWbn7vliGA_2_8"/>
      <w:bookmarkStart w:id="1305" w:name="Tc_UL3j6mbbWkeBRU-EaA8h6A_2_5"/>
      <w:bookmarkStart w:id="1306" w:name="Tc_ALATMjCmHU-tWc6hAo6QRQ_2_2"/>
      <w:bookmarkStart w:id="1307" w:name="Tc_ncIMKgz87UW4Gz9EpUHWog_1_2"/>
      <w:bookmarkStart w:id="1308" w:name="Tc_qddrpj3lKku0qGmb0_BHWA_6_8"/>
      <w:bookmarkStart w:id="1309" w:name="Tc_pzJ6tcEiv0y3EPI6EYh52g_6_5"/>
      <w:bookmarkStart w:id="1310" w:name="Tc_8ypJVCM8qU6k1yIBEatnMw_6_2"/>
      <w:bookmarkStart w:id="1311" w:name="Tc_vUdWC6Af8kWXyLgBTHJ_sA_6_0"/>
      <w:bookmarkStart w:id="1312" w:name="Tc_Py4cmigI5kiTAyTxmEUQ5A_5_0"/>
      <w:bookmarkStart w:id="1313" w:name="Tc_YqjQAXfHqU-ATmCvVdcIDQ_4_8"/>
      <w:bookmarkStart w:id="1314" w:name="Tc_-_b5pUhC80uJEstQSRnWSg_4_5"/>
      <w:bookmarkStart w:id="1315" w:name="Tc__0M9nMYBZUuT1aDLMc6UXg_4_2"/>
      <w:bookmarkStart w:id="1316" w:name="Tc_nJqSHslC-Ui9MnC_yMdjsQ_4_0"/>
      <w:bookmarkStart w:id="1317" w:name="Tc_k11tKdq34kGZuuk7C2Uyxg_3_2"/>
      <w:bookmarkStart w:id="1318" w:name="Tc_WV29ExUkqEWo_SVthxzpCA_2_8"/>
      <w:bookmarkStart w:id="1319" w:name="Tc_ubwjwfcoOk21MI-nHTZ1Kg_2_5"/>
      <w:bookmarkStart w:id="1320" w:name="Tc_ejMabNE_Qku9WTmDpQ7cDA_2_2"/>
      <w:bookmarkStart w:id="1321" w:name="Tc_OUCuf2_3Mkuc9HuaobaqqA_1_2"/>
      <w:bookmarkStart w:id="1322" w:name="_Hlk126077341"/>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ascii="Times New Roman;Times;serif" w:hAnsi="Times New Roman;Times;serif"/>
          <w:b/>
          <w:sz w:val="20"/>
        </w:rPr>
        <w:t>Note 18.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Income before income taxes is as follows:</w:t>
      </w:r>
    </w:p>
    <w:p>
      <w:pPr>
        <w:pStyle w:val="TextBody"/>
        <w:bidi w:val="0"/>
        <w:spacing w:before="0" w:after="0"/>
        <w:ind w:left="0" w:right="0" w:firstLine="720"/>
        <w:jc w:val="left"/>
        <w:rPr/>
      </w:pPr>
      <w:r>
        <w:rPr/>
        <w:t>​</w:t>
      </w:r>
    </w:p>
    <w:tbl>
      <w:tblPr>
        <w:tblW w:w="6531" w:type="dxa"/>
        <w:jc w:val="left"/>
        <w:tblInd w:w="0" w:type="dxa"/>
        <w:tblLayout w:type="fixed"/>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19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515110" cy="175260"/>
                      <wp:effectExtent l="0" t="0" r="0" b="0"/>
                      <wp:wrapNone/>
                      <wp:docPr id="312" name="Frame31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5935" cy="175260"/>
                      <wp:effectExtent l="0" t="0" r="0" b="0"/>
                      <wp:wrapNone/>
                      <wp:docPr id="315" name="Frame3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95935" cy="175260"/>
                      <wp:effectExtent l="0" t="0" r="0" b="0"/>
                      <wp:wrapNone/>
                      <wp:docPr id="318" name="Frame3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95935" cy="175260"/>
                      <wp:effectExtent l="0" t="0" r="0" b="0"/>
                      <wp:wrapNone/>
                      <wp:docPr id="321" name="Frame3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1285" cy="175260"/>
                      <wp:effectExtent l="0" t="0" r="0" b="0"/>
                      <wp:wrapNone/>
                      <wp:docPr id="322" name="Frame3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6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653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62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4,048</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120,428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Provision for income taxes is as follows:</w:t>
      </w:r>
    </w:p>
    <w:p>
      <w:pPr>
        <w:pStyle w:val="TextBody"/>
        <w:bidi w:val="0"/>
        <w:spacing w:before="0" w:after="0"/>
        <w:ind w:left="0" w:right="0" w:firstLine="720"/>
        <w:jc w:val="left"/>
        <w:rPr/>
      </w:pPr>
      <w:r>
        <w:rPr/>
        <w:t>​</w:t>
      </w:r>
    </w:p>
    <w:tbl>
      <w:tblPr>
        <w:tblW w:w="5796" w:type="dxa"/>
        <w:jc w:val="left"/>
        <w:tblInd w:w="0" w:type="dxa"/>
        <w:tblLayout w:type="fixed"/>
        <w:tblCellMar>
          <w:top w:w="0" w:type="dxa"/>
          <w:left w:w="0" w:type="dxa"/>
          <w:bottom w:w="0" w:type="dxa"/>
          <w:right w:w="0" w:type="dxa"/>
        </w:tblCellMar>
      </w:tblPr>
      <w:tblGrid>
        <w:gridCol w:w="1846"/>
        <w:gridCol w:w="326"/>
        <w:gridCol w:w="211"/>
        <w:gridCol w:w="796"/>
        <w:gridCol w:w="326"/>
        <w:gridCol w:w="211"/>
        <w:gridCol w:w="676"/>
        <w:gridCol w:w="326"/>
        <w:gridCol w:w="211"/>
        <w:gridCol w:w="676"/>
        <w:gridCol w:w="19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72210" cy="175260"/>
                      <wp:effectExtent l="0" t="0" r="0" b="0"/>
                      <wp:wrapNone/>
                      <wp:docPr id="323" name="Frame323"/>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05460" cy="175260"/>
                      <wp:effectExtent l="0" t="0" r="0" b="0"/>
                      <wp:wrapNone/>
                      <wp:docPr id="326" name="Frame3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29260" cy="175260"/>
                      <wp:effectExtent l="0" t="0" r="0" b="0"/>
                      <wp:wrapNone/>
                      <wp:docPr id="329" name="Frame3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9260" cy="175260"/>
                      <wp:effectExtent l="0" t="0" r="0" b="0"/>
                      <wp:wrapNone/>
                      <wp:docPr id="332" name="Frame3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1285" cy="175260"/>
                      <wp:effectExtent l="0" t="0" r="0" b="0"/>
                      <wp:wrapNone/>
                      <wp:docPr id="333" name="Frame3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579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3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9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w:t>
            </w:r>
          </w:p>
        </w:tc>
        <w:tc>
          <w:tcPr>
            <w:tcW w:w="19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20,521</w:t>
            </w:r>
          </w:p>
        </w:tc>
        <w:tc>
          <w:tcPr>
            <w:tcW w:w="19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191"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Reconciliation of income taxes at the United States Federal statutory rate to the effective income tax rate of 11.6% is as follows:</w:t>
      </w:r>
    </w:p>
    <w:p>
      <w:pPr>
        <w:pStyle w:val="TextBody"/>
        <w:bidi w:val="0"/>
        <w:spacing w:before="0" w:after="0"/>
        <w:ind w:left="0" w:right="0" w:firstLine="720"/>
        <w:jc w:val="left"/>
        <w:rPr/>
      </w:pPr>
      <w:r>
        <w:rPr/>
        <w:t>​</w:t>
      </w:r>
    </w:p>
    <w:tbl>
      <w:tblPr>
        <w:tblW w:w="8076" w:type="dxa"/>
        <w:jc w:val="left"/>
        <w:tblInd w:w="0" w:type="dxa"/>
        <w:tblLayout w:type="fixed"/>
        <w:tblCellMar>
          <w:top w:w="0" w:type="dxa"/>
          <w:left w:w="0" w:type="dxa"/>
          <w:bottom w:w="0" w:type="dxa"/>
          <w:right w:w="0" w:type="dxa"/>
        </w:tblCellMar>
      </w:tblPr>
      <w:tblGrid>
        <w:gridCol w:w="3991"/>
        <w:gridCol w:w="326"/>
        <w:gridCol w:w="211"/>
        <w:gridCol w:w="796"/>
        <w:gridCol w:w="326"/>
        <w:gridCol w:w="211"/>
        <w:gridCol w:w="796"/>
        <w:gridCol w:w="326"/>
        <w:gridCol w:w="211"/>
        <w:gridCol w:w="691"/>
        <w:gridCol w:w="19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534285" cy="175260"/>
                      <wp:effectExtent l="0" t="0" r="0" b="0"/>
                      <wp:wrapNone/>
                      <wp:docPr id="334" name="Frame334"/>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05460" cy="175260"/>
                      <wp:effectExtent l="0" t="0" r="0" b="0"/>
                      <wp:wrapNone/>
                      <wp:docPr id="337" name="Frame3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05460" cy="175260"/>
                      <wp:effectExtent l="0" t="0" r="0" b="0"/>
                      <wp:wrapNone/>
                      <wp:docPr id="340" name="Frame3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38785" cy="175260"/>
                      <wp:effectExtent l="0" t="0" r="0" b="0"/>
                      <wp:wrapNone/>
                      <wp:docPr id="343" name="Frame3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1285" cy="175260"/>
                      <wp:effectExtent l="0" t="0" r="0" b="0"/>
                      <wp:wrapNone/>
                      <wp:docPr id="344" name="Frame3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December 31, </w:t>
            </w:r>
          </w:p>
        </w:tc>
        <w:tc>
          <w:tcPr>
            <w:tcW w:w="191" w:type="dxa"/>
            <w:tcBorders/>
            <w:vAlign w:val="center"/>
          </w:tcPr>
          <w:p>
            <w:pPr>
              <w:pStyle w:val="TableContents"/>
              <w:bidi w:val="0"/>
              <w:spacing w:before="0" w:after="0"/>
              <w:ind w:left="0" w:right="0" w:hanging="0"/>
              <w:jc w:val="center"/>
              <w:rPr/>
            </w:pPr>
            <w:r>
              <w:rPr/>
              <w:t> </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807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6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at the United States statutory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91"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change in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income tax rate differentials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91"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revenue code section 162(m) limitation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c>
          <w:tcPr>
            <w:tcW w:w="191"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expirations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 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91"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generation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Discrete items,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91"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GILTI inclusion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Foreign-derived intangible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0"/>
        <w:ind w:left="0" w:right="0" w:firstLine="720"/>
        <w:jc w:val="left"/>
        <w:rPr>
          <w:rFonts w:ascii="Times New Roman;Times;serif" w:hAnsi="Times New Roman;Times;serif"/>
          <w:sz w:val="20"/>
        </w:rPr>
      </w:pPr>
      <w:bookmarkStart w:id="1323" w:name="Tc_izs5fduAAkC3WLi7I4zUaQ_25_5"/>
      <w:bookmarkStart w:id="1324" w:name="Tc_NBEkMpz0LUCZ1Zj4r1dHgA_25_2"/>
      <w:bookmarkStart w:id="1325" w:name="Tc_9zW4g2VlG0q6dtZCPrfAtg_25_0"/>
      <w:bookmarkStart w:id="1326" w:name="Tc_QBYSgrodAk6wrtE0kCN2lw_24_0"/>
      <w:bookmarkStart w:id="1327" w:name="Tc_Hgi08idpIUi8OA6Ta8f0tQ_23_0"/>
      <w:bookmarkStart w:id="1328" w:name="Tc_G7aYo3D5B0WQgwNa4TN24A_22_0"/>
      <w:bookmarkStart w:id="1329" w:name="Tc_-PcARNhSwk2hoeYgfIc6Ew_21_3"/>
      <w:bookmarkStart w:id="1330" w:name="Tc_XXwpAsPnu0SgLeuJCtxhnA_21_0"/>
      <w:bookmarkStart w:id="1331" w:name="Tc_sWECVnY9b0630_HYlYa2VQ_20_0"/>
      <w:bookmarkStart w:id="1332" w:name="Tc_jhIVDhxPikiqCZ1l3a2luw_19_0"/>
      <w:bookmarkStart w:id="1333" w:name="Tc_f0MPXkWXXUqAMHYCcJGShQ_18_0"/>
      <w:bookmarkStart w:id="1334" w:name="Tc_LaoMaMhCAkCT8lGwg4MSfw_17_0"/>
      <w:bookmarkStart w:id="1335" w:name="Tc_3fqSMfS0bEyYbSUjxyjmMA_16_0"/>
      <w:bookmarkStart w:id="1336" w:name="Tc_OSV4QP4hhEahDY49gubKog_15_0"/>
      <w:bookmarkStart w:id="1337" w:name="Tc_FI-RZDdISUuq1mdnwl8pVA_14_0"/>
      <w:bookmarkStart w:id="1338" w:name="Tc_Bi-pe-wr7UWPcE4efZmm_w_13_0"/>
      <w:bookmarkStart w:id="1339" w:name="Tc_ysLZdiRh7UWBa5CBtqiLLA_12_0"/>
      <w:bookmarkStart w:id="1340" w:name="Tc_DCviTEiQmEOQLIBH9Eqykg_11_0"/>
      <w:bookmarkStart w:id="1341" w:name="Tc_5X0Hu4vSCEe7q3dJrSqqkw_10_0"/>
      <w:bookmarkStart w:id="1342" w:name="Tc_6t8UAK_HbkyOOkoq4ledew_9_0"/>
      <w:bookmarkStart w:id="1343" w:name="Tc_yWYugZWhJUCkvYPuct3thw_8_0"/>
      <w:bookmarkStart w:id="1344" w:name="Tc_YHbnPi4qmUWNPwdFY0KqVg_7_6"/>
      <w:bookmarkStart w:id="1345" w:name="Tc_o2mwK9dXek62tRizPt3wdg_7_0"/>
      <w:bookmarkStart w:id="1346" w:name="Tc_QkycaF4o9UWM2wVHS8eeeA_6_0"/>
      <w:bookmarkStart w:id="1347" w:name="Tc_ZvN1p9eJ50CyGtbHNHGIFQ_5_5"/>
      <w:bookmarkStart w:id="1348" w:name="Tc_lTCwO4o1o0OmQZp7aQ5gpg_5_2"/>
      <w:bookmarkStart w:id="1349" w:name="Tc_OywdlZpx_kiRsuXWLyvmbQ_5_0"/>
      <w:bookmarkStart w:id="1350" w:name="Tc_37iBC_73oUyMdhbEXlGF5g_4_0"/>
      <w:bookmarkStart w:id="1351" w:name="Tc_2csak3WAkEqyCPWPDL5ASQ_3_2"/>
      <w:bookmarkStart w:id="1352" w:name="Tc_G3_gKGBfzUGSC1LGyNB1vw_2_5"/>
      <w:bookmarkStart w:id="1353" w:name="Tc_0-ytD7v8pUmTkFl2yriXrg_2_2"/>
      <w:bookmarkStart w:id="1354" w:name="Tc_Rsc30MaphkCAijIC71Vtdw_1_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ascii="Times New Roman;Times;serif" w:hAnsi="Times New Roman;Times;serif"/>
          <w:sz w:val="20"/>
        </w:rPr>
        <w:t>Significant components of long-term deferred income taxes are as follows:</w:t>
      </w:r>
    </w:p>
    <w:p>
      <w:pPr>
        <w:pStyle w:val="TextBody"/>
        <w:bidi w:val="0"/>
        <w:spacing w:before="0" w:after="0"/>
        <w:ind w:left="0" w:right="0" w:firstLine="720"/>
        <w:jc w:val="left"/>
        <w:rPr/>
      </w:pPr>
      <w:r>
        <w:rPr/>
        <w:t>​</w:t>
      </w:r>
    </w:p>
    <w:tbl>
      <w:tblPr>
        <w:tblW w:w="6211" w:type="dxa"/>
        <w:jc w:val="left"/>
        <w:tblInd w:w="0" w:type="dxa"/>
        <w:tblLayout w:type="fixed"/>
        <w:tblCellMar>
          <w:top w:w="0" w:type="dxa"/>
          <w:left w:w="0" w:type="dxa"/>
          <w:bottom w:w="0" w:type="dxa"/>
          <w:right w:w="0" w:type="dxa"/>
        </w:tblCellMar>
      </w:tblPr>
      <w:tblGrid>
        <w:gridCol w:w="3676"/>
        <w:gridCol w:w="326"/>
        <w:gridCol w:w="211"/>
        <w:gridCol w:w="796"/>
        <w:gridCol w:w="109"/>
        <w:gridCol w:w="211"/>
        <w:gridCol w:w="691"/>
        <w:gridCol w:w="19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334260" cy="175260"/>
                      <wp:effectExtent l="0" t="0" r="0" b="0"/>
                      <wp:wrapNone/>
                      <wp:docPr id="345" name="Frame345"/>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05460" cy="175260"/>
                      <wp:effectExtent l="0" t="0" r="0" b="0"/>
                      <wp:wrapNone/>
                      <wp:docPr id="348" name="Frame3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38785" cy="175260"/>
                      <wp:effectExtent l="0" t="0" r="0" b="0"/>
                      <wp:wrapNone/>
                      <wp:docPr id="351" name="Frame3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1285" cy="175260"/>
                      <wp:effectExtent l="0" t="0" r="0" b="0"/>
                      <wp:wrapNone/>
                      <wp:docPr id="352" name="Frame35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center"/>
              <w:rPr/>
            </w:pPr>
            <w:r>
              <w:rPr/>
              <w:t> </w:t>
            </w:r>
          </w:p>
        </w:tc>
      </w:tr>
      <w:tr>
        <w:trPr/>
        <w:tc>
          <w:tcPr>
            <w:tcW w:w="621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center"/>
              <w:rPr/>
            </w:pPr>
            <w:r>
              <w:rPr/>
              <w:t>​</w:t>
            </w:r>
          </w:p>
        </w:tc>
        <w:tc>
          <w:tcPr>
            <w:tcW w:w="2018" w:type="dxa"/>
            <w:gridSpan w:val="5"/>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net operating loss carryforwards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net operating loss carryforwards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tax credit carryforwards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tax credit carryforwards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8,683</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18,067</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w:t>
            </w:r>
          </w:p>
        </w:tc>
        <w:tc>
          <w:tcPr>
            <w:tcW w:w="191"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Changes in tax rates and tax laws are accounted for in the period of enactment. Our deferred tax assets and liabilities are measured at the enacted tax rate expected to apply when these temporary differences are expected to be realized or settled.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At December 31, 2023, we had $53.4 million of net deferred tax assets worldwide relating to capitalized R&amp;D costs and other temporary differences, which are available to reduce income taxes in future years. The increase in our deferred tax assets from the prior year was primarily due to a $20.0 million increase relating to capitalized R&amp;D costs. At December 31, 2023, we maintained a $11.0 million valuation allowance in the U.S. against certain tax credits and state net operating losses due to the uncertainty of their realization based on long-term Company forecasts and the expiration dates on these attributes. This represents an increase of $2.6 million from the prior year.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December 31, 2023, we had state net operating loss carryforwards of $0.1 million. State net operating losses will expire between 2024 and 2034. At December 31, 2023, we have foreign net operating loss carryforwards of $0.2 million. The majority of our foreign net operating losses have an unlimited carryforward period.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December 31, 2023, we had research and development and other tax credit carryforwards of $15.2 million. These carry forwards are subject to an uncertain tax position reserve of $3.0 million. These credits can be used to reduce future federal and state income tax liabilities and expire principally between 2024 and 2035.</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provision of the Tax Cuts and Jobs Act (“TCJA”) took effect in 2022, creating a significant change to our treatment of research and experimental expenditures. Historically, businesses had the option of deducting R&amp;D expenses in the year incurred or capitalizing and amortizing the costs over five years. The TCJA provision eliminates this option and requires R&amp;D expenses associated with research conducted in the U.S. to be capitalized and amortized over a five-year period. For expenses associated with research outside of the United States, R&amp;D expenses are capitalized and amortized over a 15-year period. The Company has included the tax impact of capitalizing and amortizing these costs over the required periods in their tax provision for the year ended December 31, 2023.</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160"/>
        <w:ind w:left="0" w:right="0" w:firstLine="720"/>
        <w:jc w:val="left"/>
        <w:rPr>
          <w:rFonts w:ascii="Times New Roman;Times;serif" w:hAnsi="Times New Roman;Times;serif"/>
          <w:sz w:val="20"/>
        </w:rPr>
      </w:pPr>
      <w:bookmarkStart w:id="1355" w:name="Tc_gut4dw1Ix0m0Ez8vcyW4Tw_13_8"/>
      <w:bookmarkStart w:id="1356" w:name="Tc_HAMimuM5jEq9AeeW2q0Dsw_13_5"/>
      <w:bookmarkStart w:id="1357" w:name="Tc_JI7W3eE-bUGkL1nqEl6hhg_13_2"/>
      <w:bookmarkStart w:id="1358" w:name="Tc_KFID2pXXJEaqhIcNn9De6g_13_0"/>
      <w:bookmarkStart w:id="1359" w:name="Tc_Hn-Ay1HG6EKG4_WyAa6FIQ_12_0"/>
      <w:bookmarkStart w:id="1360" w:name="Tc_ibMiULTLGkunW7VMvC6IoA_11_9"/>
      <w:bookmarkStart w:id="1361" w:name="Tc_myodwvFIDUmTPhYu-wTLqQ_11_8"/>
      <w:bookmarkStart w:id="1362" w:name="Tc_2ZxHy8uy-k6DUamhoQxLaA_11_5"/>
      <w:bookmarkStart w:id="1363" w:name="Tc_ws72OHldpECJLc6gdvVkEw_11_2"/>
      <w:bookmarkStart w:id="1364" w:name="Tc_Kc2yx0-tOEu6L3KhIDHLZw_11_0"/>
      <w:bookmarkStart w:id="1365" w:name="Tc_VqL_NqimH0OfRj0w2a1vlA_9_8"/>
      <w:bookmarkStart w:id="1366" w:name="Tc_J2Oy46X8L0KwvE7gdIPixg_9_5"/>
      <w:bookmarkStart w:id="1367" w:name="Tc_glO6nzmpz0egjrEMOGyIrA_9_2"/>
      <w:bookmarkStart w:id="1368" w:name="Tc_W0hZZSbnEUes3ojQ6Kxx4w_9_0"/>
      <w:bookmarkStart w:id="1369" w:name="Tc_XM3UIfSP_UmWp-dg0KJqNQ_8_0"/>
      <w:bookmarkStart w:id="1370" w:name="Tc_xeWYErd9xEKNYfvZfw40Ow_7_6"/>
      <w:bookmarkStart w:id="1371" w:name="Tc_i-wgxlJy40a1F-lJ2Wgxzg_7_3"/>
      <w:bookmarkStart w:id="1372" w:name="Tc_t-P9g_U3i0y_OPjQs3F1cA_7_0"/>
      <w:bookmarkStart w:id="1373" w:name="Tc_2eLzFm17mUOYTZSS-_wrTQ_6_9"/>
      <w:bookmarkStart w:id="1374" w:name="Tc_K_go9BTB1UmIRWkgP9i7MA_6_3"/>
      <w:bookmarkStart w:id="1375" w:name="Tc_20LZyRr4yEuVwHRWf2nYmA_6_0"/>
      <w:bookmarkStart w:id="1376" w:name="Tc_NFUWKg_a1k-jeB4FtPPseg_5_0"/>
      <w:bookmarkStart w:id="1377" w:name="Tc_TPKTq4s4rEyRZWgHg8L4Wg_4_8"/>
      <w:bookmarkStart w:id="1378" w:name="Tc_dH4mmDKar0uJqEzx8FQx9g_4_5"/>
      <w:bookmarkStart w:id="1379" w:name="Tc_RsGmAmKo00KfUbJI9bw8NQ_4_2"/>
      <w:bookmarkStart w:id="1380" w:name="Tc_xaQX6GT8PUO9WOB_RbaqXg_4_0"/>
      <w:bookmarkStart w:id="1381" w:name="Tc_EA6G5tZ8ckaxa4UH3OX-mA_3_2"/>
      <w:bookmarkStart w:id="1382" w:name="Tc_XDXpzYyzeUaDU0cvI65odA_2_8"/>
      <w:bookmarkStart w:id="1383" w:name="Tc_jk7w61Vo4UauCQPS1bpalQ_2_5"/>
      <w:bookmarkStart w:id="1384" w:name="Tc_w1mjdpfaCkyhQbsNLoKdeg_2_2"/>
      <w:bookmarkStart w:id="1385" w:name="Tc_6_hafDKp2UeAG49wL5EI7Q_1_3"/>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r>
        <w:rPr>
          <w:rFonts w:ascii="Times New Roman;Times;serif" w:hAnsi="Times New Roman;Times;serif"/>
          <w:sz w:val="20"/>
        </w:rPr>
        <w:t>We consider the undistributed earnings of our foreign subsidiaries as of December 31, 2023 to be indefinitely reinvested and, accordingly, no U.S. income taxes have been provided thereon. As of December 31, 2023, the amount of cash associated with indefinitely reinvested foreign earnings was approximately $11.8 million. We have not, nor do we anticipate the need to, repatriate funds to the United States to satisfy domestic liquidity needs arising in the ordinary course of business, including liquidity needs associated with our domestic debt service requirements.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and our subsidiaries file income tax returns in the U.S. federal jurisdiction and various states and foreign jurisdictions. We and most foreign subsidiaries are subject to income tax examinations by tax authorities for all years dating back to 2009. Our policy is to recognize interest related to unrecognized tax benefits as interest expense and penalties as operating expenses. We believe that we have appropriate support for the income tax positions taken and to be taken on our tax returns and that our accruals for tax liabilities are adequate for all open years based on an assessment of many factors including past experience and interpretations of tax law applied to the facts of each matter.</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At December 31, 2023, we had unrecognized tax benefits related to uncertain tax positions of $11.9 million, $8.3 million of which is recorded as a long-term liability, and the remainder of which reduced the Company’s state deferred tax assets and the offsetting valuation allowance. We recognized $0.5 million in interest and penalty expenses for the year ended December 31, 2023 relating to these uncertain tax positions. These unrecognized tax benefits, if recognized, would reduce the effective tax rate and also reverse associated accrued interest and penalty expenses.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reconciliation of the beginning and ending balance of unrecognized tax benefits are as follows:</w:t>
      </w:r>
    </w:p>
    <w:p>
      <w:pPr>
        <w:pStyle w:val="TextBody"/>
        <w:bidi w:val="0"/>
        <w:spacing w:before="0" w:after="0"/>
        <w:ind w:left="0" w:right="0" w:firstLine="72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6592"/>
        <w:gridCol w:w="326"/>
        <w:gridCol w:w="211"/>
        <w:gridCol w:w="676"/>
        <w:gridCol w:w="109"/>
        <w:gridCol w:w="211"/>
        <w:gridCol w:w="676"/>
        <w:gridCol w:w="326"/>
        <w:gridCol w:w="211"/>
        <w:gridCol w:w="676"/>
        <w:gridCol w:w="191"/>
      </w:tblGrid>
      <w:tr>
        <w:trPr/>
        <w:tc>
          <w:tcPr>
            <w:tcW w:w="6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185920" cy="175260"/>
                      <wp:effectExtent l="0" t="0" r="0" b="0"/>
                      <wp:wrapNone/>
                      <wp:docPr id="353" name="Frame353"/>
                      <a:graphic xmlns:a="http://schemas.openxmlformats.org/drawingml/2006/main">
                        <a:graphicData uri="http://schemas.microsoft.com/office/word/2010/wordprocessingShape">
                          <wps:wsp>
                            <wps:cNvSpPr txBox="1"/>
                            <wps:spPr>
                              <a:xfrm>
                                <a:off x="0" y="0"/>
                                <a:ext cx="418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29260" cy="175260"/>
                      <wp:effectExtent l="0" t="0" r="0" b="0"/>
                      <wp:wrapNone/>
                      <wp:docPr id="356" name="Frame3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29260" cy="175260"/>
                      <wp:effectExtent l="0" t="0" r="0" b="0"/>
                      <wp:wrapNone/>
                      <wp:docPr id="358" name="Frame3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9260" cy="175260"/>
                      <wp:effectExtent l="0" t="0" r="0" b="0"/>
                      <wp:wrapNone/>
                      <wp:docPr id="361"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21285" cy="175260"/>
                      <wp:effectExtent l="0" t="0" r="0" b="0"/>
                      <wp:wrapNone/>
                      <wp:docPr id="362" name="Frame36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288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c>
          <w:tcPr>
            <w:tcW w:w="191" w:type="dxa"/>
            <w:tcBorders/>
            <w:vAlign w:val="center"/>
          </w:tcPr>
          <w:p>
            <w:pPr>
              <w:pStyle w:val="TableContents"/>
              <w:bidi w:val="0"/>
              <w:spacing w:before="0" w:after="0"/>
              <w:ind w:left="0" w:right="0" w:hanging="0"/>
              <w:jc w:val="center"/>
              <w:rPr/>
            </w:pPr>
            <w:r>
              <w:rPr/>
              <w:t> </w:t>
            </w:r>
          </w:p>
        </w:tc>
      </w:tr>
      <w:tr>
        <w:trPr/>
        <w:tc>
          <w:tcPr>
            <w:tcW w:w="6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91" w:type="dxa"/>
            <w:tcBorders/>
            <w:vAlign w:val="center"/>
          </w:tcPr>
          <w:p>
            <w:pPr>
              <w:pStyle w:val="TableContents"/>
              <w:bidi w:val="0"/>
              <w:spacing w:before="0" w:after="0"/>
              <w:ind w:left="0" w:right="0" w:hanging="0"/>
              <w:jc w:val="center"/>
              <w:rPr/>
            </w:pPr>
            <w:r>
              <w:rPr/>
              <w:t> </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6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9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6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unrecognized tax benefits as a result of tax positions taken during a prior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91" w:type="dxa"/>
            <w:tcBorders/>
            <w:vAlign w:val="center"/>
          </w:tcPr>
          <w:p>
            <w:pPr>
              <w:pStyle w:val="TableContents"/>
              <w:bidi w:val="0"/>
              <w:spacing w:before="0" w:after="0"/>
              <w:ind w:left="0" w:right="0" w:hanging="0"/>
              <w:jc w:val="left"/>
              <w:rPr/>
            </w:pPr>
            <w:r>
              <w:rPr/>
              <w:t>​</w:t>
            </w:r>
          </w:p>
        </w:tc>
      </w:tr>
      <w:tr>
        <w:trPr/>
        <w:tc>
          <w:tcPr>
            <w:tcW w:w="6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Decreases in unrecognized tax benefits related to settlements with tax authorities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Reductions to unrecognized tax benefits as a result of a lapse of the applicable statute of limitation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91" w:type="dxa"/>
            <w:tcBorders/>
            <w:vAlign w:val="center"/>
          </w:tcPr>
          <w:p>
            <w:pPr>
              <w:pStyle w:val="TableContents"/>
              <w:bidi w:val="0"/>
              <w:spacing w:before="0" w:after="0"/>
              <w:ind w:left="0" w:right="0" w:hanging="0"/>
              <w:jc w:val="left"/>
              <w:rPr/>
            </w:pPr>
            <w:r>
              <w:rPr/>
              <w:t>​</w:t>
            </w:r>
          </w:p>
        </w:tc>
      </w:tr>
      <w:tr>
        <w:trPr/>
        <w:tc>
          <w:tcPr>
            <w:tcW w:w="6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in unrecognized tax benefits as a result of tax positions taken during the current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9,961</w:t>
            </w:r>
          </w:p>
        </w:tc>
        <w:tc>
          <w:tcPr>
            <w:tcW w:w="191" w:type="dxa"/>
            <w:tcBorders/>
            <w:vAlign w:val="center"/>
          </w:tcPr>
          <w:p>
            <w:pPr>
              <w:pStyle w:val="TableContents"/>
              <w:bidi w:val="0"/>
              <w:spacing w:before="0" w:after="0"/>
              <w:ind w:left="0" w:right="0" w:hanging="0"/>
              <w:jc w:val="left"/>
              <w:rPr/>
            </w:pPr>
            <w:r>
              <w:rPr/>
              <w:t>​</w:t>
            </w:r>
          </w:p>
        </w:tc>
      </w:tr>
      <w:tr>
        <w:trPr/>
        <w:tc>
          <w:tcPr>
            <w:tcW w:w="65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Recorded as other long-term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Recorded as a decrease in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9,961</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386" w:name="_contentSection_4ba95dbb_2718_4603_8d5f_"/>
      <w:bookmarkEnd w:id="1386"/>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0"/>
        <w:ind w:left="0" w:right="0" w:hanging="0"/>
        <w:jc w:val="center"/>
        <w:rPr/>
      </w:pPr>
      <w:bookmarkStart w:id="1387" w:name="_db03d3e2_8d85_42fb_b4f5_c316060ce26b"/>
      <w:bookmarkEnd w:id="1387"/>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II—Valuation and Qualifying Accounts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Axcelis Technologies,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thousands)</w:t>
      </w:r>
    </w:p>
    <w:p>
      <w:pPr>
        <w:pStyle w:val="TextBody"/>
        <w:bidi w:val="0"/>
        <w:spacing w:before="0" w:after="0"/>
        <w:ind w:left="0" w:right="0" w:hanging="0"/>
        <w:jc w:val="left"/>
        <w:rPr/>
      </w:pPr>
      <w:bookmarkStart w:id="1388" w:name="Tc_oGIQuGLsGEK4MtKMUJUeMQ_12_0"/>
      <w:bookmarkStart w:id="1389" w:name="Tc_309gN_XC60SwigARQYS0KA_11_12"/>
      <w:bookmarkStart w:id="1390" w:name="Tc_wUT_gAe-QUOR_s6cgFcbFA_11_11"/>
      <w:bookmarkStart w:id="1391" w:name="Tc_COTHsDxolkOxpNLQppvTvQ_11_9"/>
      <w:bookmarkStart w:id="1392" w:name="Tc_AvBefpXRG06-JA83TlyGMw_11_8"/>
      <w:bookmarkStart w:id="1393" w:name="Tc_J1-qb0tz1E-zUkfkcScNyQ_11_6"/>
      <w:bookmarkStart w:id="1394" w:name="Tc_RPhbAwWLaEWXA8NEiyNrGw_11_5"/>
      <w:bookmarkStart w:id="1395" w:name="Tc_C13tn9jAJECKCcPWIDz8XQ_11_3"/>
      <w:bookmarkStart w:id="1396" w:name="Tc_Z4xJ9GabXE6zqQgeA3WC7Q_11_2"/>
      <w:bookmarkStart w:id="1397" w:name="Tc_Od2BS6qbBUiiFlLelBpAUg_11_0"/>
      <w:bookmarkStart w:id="1398" w:name="Tc_3YR85IzXHE-W09bRtbwU4g_10_0"/>
      <w:bookmarkStart w:id="1399" w:name="Tc_h4qF2D9pP0Wr9Yr65obnig_9_0"/>
      <w:bookmarkStart w:id="1400" w:name="Tc_9AswpgeBIE2lrkAHvr2_PA_8_12"/>
      <w:bookmarkStart w:id="1401" w:name="Tc_X8hqT-P-Jk6qjpfCO6EZYQ_8_11"/>
      <w:bookmarkStart w:id="1402" w:name="Tc_f61CUIsSsESWK5iJMDAy9w_8_9"/>
      <w:bookmarkStart w:id="1403" w:name="Tc_nQhyb-mysEmAcLeZV3AesA_8_8"/>
      <w:bookmarkStart w:id="1404" w:name="Tc_W4Rt_2sZJEK-uYLQOH-cWA_8_6"/>
      <w:bookmarkStart w:id="1405" w:name="Tc_DpkUM3zWfkanfgd0kip19Q_8_5"/>
      <w:bookmarkStart w:id="1406" w:name="Tc_yoH_Q07hG0WyICVoVGauwQ_8_3"/>
      <w:bookmarkStart w:id="1407" w:name="Tc_FO3m-GPnzUuacRnF3b4kJQ_8_2"/>
      <w:bookmarkStart w:id="1408" w:name="Tc_6_-BjGru5kexmWGLE_tPng_8_0"/>
      <w:bookmarkStart w:id="1409" w:name="Tc_dJNSBqqUwkGZ7LPLvOnGQA_7_0"/>
      <w:bookmarkStart w:id="1410" w:name="Tc_Xa1HbNlzeUatBwkbdI21rQ_6_0"/>
      <w:bookmarkStart w:id="1411" w:name="Tc_PD7ymiOdCkOReEOsLmKkWA_5_11"/>
      <w:bookmarkStart w:id="1412" w:name="Tc_oxYCIYKJlkqFWJuBwycUrA_5_8"/>
      <w:bookmarkStart w:id="1413" w:name="Tc_k2dqRwLNzkimYXRP9VGJQw_5_5"/>
      <w:bookmarkStart w:id="1414" w:name="Tc_tahN4yA2EEOcsbM6PyVojA_5_3"/>
      <w:bookmarkStart w:id="1415" w:name="Tc_yThKsHvPk0WFXMJU3PELsg_5_2"/>
      <w:bookmarkStart w:id="1416" w:name="Tc_LZqNj0TLDEWNetW_rdbOnw_5_0"/>
      <w:bookmarkStart w:id="1417" w:name="Tc_TxfBlOVYtUS94qqx9XeIDw_4_0"/>
      <w:bookmarkStart w:id="1418" w:name="Tc_F74fUbspuU20q0Kmmxji4Q_3_11"/>
      <w:bookmarkStart w:id="1419" w:name="Tc_tzjUNliKtUCaQdD-jsdCvw_3_8"/>
      <w:bookmarkStart w:id="1420" w:name="Tc_ZZdfq90XxUKOBpR_0AeO2Q_3_5"/>
      <w:bookmarkStart w:id="1421" w:name="Tc_Mh83v8Y6mkSKm9zfZsMhbA_3_2"/>
      <w:bookmarkStart w:id="1422" w:name="Tc_5rrou_jjkUWY2mlcDnxLLQ_2_11"/>
      <w:bookmarkStart w:id="1423" w:name="Tc_8rVcjczn8EO92W3xOf4tTQ_2_5"/>
      <w:bookmarkStart w:id="1424" w:name="Tc_VNmwhhOQaUOzEVaSRIWqlA_2_2"/>
      <w:bookmarkStart w:id="1425" w:name="Tc_tYbKnGtQ0Uqvc43yYia_Sw_1_11"/>
      <w:bookmarkStart w:id="1426" w:name="Tc_Fw4fAX2VKUayzTLULRtK0A_1_5"/>
      <w:bookmarkStart w:id="1427" w:name="Tc_0BrovNnvH0O98A-jfFZPzw_1_2"/>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r>
        <w:rPr/>
        <w:t>​</w:t>
      </w:r>
    </w:p>
    <w:tbl>
      <w:tblPr>
        <w:tblW w:w="8956" w:type="dxa"/>
        <w:jc w:val="left"/>
        <w:tblInd w:w="0" w:type="dxa"/>
        <w:tblLayout w:type="fixed"/>
        <w:tblCellMar>
          <w:top w:w="0" w:type="dxa"/>
          <w:left w:w="0" w:type="dxa"/>
          <w:bottom w:w="0" w:type="dxa"/>
          <w:right w:w="0" w:type="dxa"/>
        </w:tblCellMar>
      </w:tblPr>
      <w:tblGrid>
        <w:gridCol w:w="3721"/>
        <w:gridCol w:w="326"/>
        <w:gridCol w:w="275"/>
        <w:gridCol w:w="746"/>
        <w:gridCol w:w="326"/>
        <w:gridCol w:w="251"/>
        <w:gridCol w:w="680"/>
        <w:gridCol w:w="326"/>
        <w:gridCol w:w="243"/>
        <w:gridCol w:w="658"/>
        <w:gridCol w:w="326"/>
        <w:gridCol w:w="211"/>
        <w:gridCol w:w="676"/>
        <w:gridCol w:w="191"/>
      </w:tblGrid>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32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Charged to</w:t>
            </w:r>
          </w:p>
        </w:tc>
        <w:tc>
          <w:tcPr>
            <w:tcW w:w="326" w:type="dxa"/>
            <w:tcBorders/>
            <w:vAlign w:val="center"/>
          </w:tcPr>
          <w:p>
            <w:pPr>
              <w:pStyle w:val="TableContents"/>
              <w:bidi w:val="0"/>
              <w:spacing w:before="0" w:after="0"/>
              <w:ind w:left="0" w:right="0" w:hanging="0"/>
              <w:jc w:val="center"/>
              <w:rPr/>
            </w:pPr>
            <w:r>
              <w:rPr/>
              <w:t>    </w:t>
            </w:r>
          </w:p>
        </w:tc>
        <w:tc>
          <w:tcPr>
            <w:tcW w:w="24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9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and</w:t>
            </w:r>
          </w:p>
        </w:tc>
        <w:tc>
          <w:tcPr>
            <w:tcW w:w="326" w:type="dxa"/>
            <w:tcBorders/>
            <w:vAlign w:val="center"/>
          </w:tcPr>
          <w:p>
            <w:pPr>
              <w:pStyle w:val="TableContents"/>
              <w:bidi w:val="0"/>
              <w:spacing w:before="0" w:after="0"/>
              <w:ind w:left="0" w:right="0" w:hanging="0"/>
              <w:jc w:val="center"/>
              <w:rPr/>
            </w:pPr>
            <w:r>
              <w:rPr/>
              <w:t>​</w:t>
            </w:r>
          </w:p>
        </w:tc>
        <w:tc>
          <w:tcPr>
            <w:tcW w:w="243" w:type="dxa"/>
            <w:tcBorders/>
            <w:vAlign w:val="center"/>
          </w:tcPr>
          <w:p>
            <w:pPr>
              <w:pStyle w:val="TableContents"/>
              <w:bidi w:val="0"/>
              <w:spacing w:before="0" w:after="0"/>
              <w:ind w:left="0" w:right="0" w:hanging="0"/>
              <w:jc w:val="center"/>
              <w:rPr/>
            </w:pPr>
            <w:r>
              <w:rPr/>
              <w:t>​</w:t>
            </w:r>
          </w:p>
        </w:tc>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w:t>
            </w:r>
          </w:p>
        </w:tc>
        <w:tc>
          <w:tcPr>
            <w:tcW w:w="19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Expenses</w:t>
            </w:r>
          </w:p>
        </w:tc>
        <w:tc>
          <w:tcPr>
            <w:tcW w:w="326"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Deductions</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9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2023</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 and returns</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valuation allowance</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w:t>
            </w:r>
          </w:p>
        </w:tc>
        <w:tc>
          <w:tcPr>
            <w:tcW w:w="191"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 and returns</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1,529</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ended December 31, 2021</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 and returns</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valuation allowance</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9,133</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428" w:name="_96317eb6_a004_4ae1_b945_b7fa658a3474"/>
      <w:bookmarkEnd w:id="1428"/>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658"/>
        <w:gridCol w:w="326"/>
        <w:gridCol w:w="9221"/>
      </w:tblGrid>
      <w:tr>
        <w:trPr/>
        <w:tc>
          <w:tcPr>
            <w:tcW w:w="658"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8915" cy="29210"/>
                      <wp:effectExtent l="0" t="0" r="0" b="0"/>
                      <wp:wrapNone/>
                      <wp:docPr id="363" name="Frame363"/>
                      <a:graphic xmlns:a="http://schemas.openxmlformats.org/drawingml/2006/main">
                        <a:graphicData uri="http://schemas.microsoft.com/office/word/2010/wordprocessingShape">
                          <wps:wsp>
                            <wps:cNvSpPr txBox="1"/>
                            <wps:spPr>
                              <a:xfrm>
                                <a:off x="0" y="0"/>
                                <a:ext cx="2089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22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927350" cy="29210"/>
                      <wp:effectExtent l="0" t="0" r="0" b="0"/>
                      <wp:wrapNone/>
                      <wp:docPr id="364" name="Frame364"/>
                      <a:graphic xmlns:a="http://schemas.openxmlformats.org/drawingml/2006/main">
                        <a:graphicData uri="http://schemas.microsoft.com/office/word/2010/wordprocessingShape">
                          <wps:wsp>
                            <wps:cNvSpPr txBox="1"/>
                            <wps:spPr>
                              <a:xfrm>
                                <a:off x="0" y="0"/>
                                <a:ext cx="29273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58"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326" w:type="dxa"/>
            <w:tcBorders/>
            <w:vAlign w:val="center"/>
          </w:tcPr>
          <w:p>
            <w:pPr>
              <w:pStyle w:val="TableHeading"/>
              <w:bidi w:val="0"/>
              <w:spacing w:before="0" w:after="0"/>
              <w:ind w:left="0" w:right="0" w:hanging="0"/>
              <w:jc w:val="center"/>
              <w:rPr/>
            </w:pPr>
            <w:r>
              <w:rPr/>
              <w:t>    </w:t>
            </w:r>
          </w:p>
        </w:tc>
        <w:tc>
          <w:tcPr>
            <w:tcW w:w="922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Certificate of Incorporation of the Company, filed November 2, 2017. Incorporated by reference to Exhibit 3.1 of the Company’s Form 10-Q filed with the Commission on November 3, 2017.</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Bylaws of the Company, as amended and restated as of May 11, 2022. Incorporated by reference to Exhibit 3.1 of the Company’s Form 8-K filed with the Commission on May 11, 2022</w:t>
              </w:r>
            </w:hyperlink>
            <w:r>
              <w:rPr>
                <w:rFonts w:ascii="Times New Roman;Times;serif" w:hAnsi="Times New Roman;Times;serif"/>
                <w:sz w:val="20"/>
              </w:rPr>
              <w:t>.</w:t>
            </w:r>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Description of Securities Registered under Section 12 of the Securities Exchange Act of 1934. Incorporated by reference to Exhibit 4.4 of the Company’s Form 10-K for the year ended December 31, 2019 filed with the Commission on March 2, 2020.</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Axcelis Technologies, Inc. 2012 Equity Incentive Plan, as approved by stockholders on May 14, 2019 and as amended by the Board of Directors on August 11, 2022. Incorporated by reference to Exhibit 10.1 of the Company’s Form 10-Q for the quarter ended September 30, 2022 filed with the Commission on November 3, 2022</w:t>
              </w:r>
            </w:hyperlink>
            <w:r>
              <w:rPr>
                <w:rFonts w:ascii="Times New Roman;Times;serif" w:hAnsi="Times New Roman;Times;serif"/>
                <w:sz w:val="20"/>
              </w:rPr>
              <w:t>.</w:t>
            </w:r>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Axcelis Management Incentive Plan, as amended and restated by the Compensation Committee of the Board of Directors on February 11, 2010. Incorporated by reference to Exhibit 10.2 of the Company’s report on Form 10-K for the year ended December 31, 2009 filed with the Commission on March 15, 2010.</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Indemnification Agreement approved by the Board of Directors of the Company on February 9, 2012 for use with each of its directors and officers. Incorporated by reference to Exhibit 10.4 of the Company’s report on Form 10-K for the year ended December 31, 2011 filed with the Commission on February 29, 2012.</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Change in Control Agreement, as amended, as approved by the Compensation Committee of the Board of Directors on November 11, 2016, between the Company and each of its executive officers. Incorporated by reference to Exhibit 10.6 of the Company’s Form 10-K for the year ended December 31, 2016 filed with the Commission on March 14, 2017.</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Employee Non-Qualified Stock Option Certificate under the 2012 Equity Incentive Plan, adopted June 18, 2012. Incorporated by reference to Exhibit 10.2 of the Company’s report on Form 10-Q for the quarter ended June 30, 2012 filed with the Commission on August 7, 2012.</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Non-Employee Director Non-Qualified Stock Option Certificate under the 2012 Equity Incentive Plan, adopted June 18, 2012. Incorporated by reference to Exhibit 10.3 of the Company’s report on Form 10-Q for the quarter ended June 30, 2012 filed with the Commission on August 7, 2012.</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Form of Restricted Stock Unit Award Agreement under the 2012 Equity Incentive Plan, adopted June 18, 2012. Incorporated by reference to Exhibit 10.4 of the Company’s report on Form 10-Q for the quarter ended June 30, 2012 filed with the Commission on August 7, 2012.</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w:anchor="acls-20231231xex10d8.htm">
              <w:r>
                <w:rPr>
                  <w:rStyle w:val="InternetLink"/>
                  <w:rFonts w:ascii="Times New Roman;Times;serif" w:hAnsi="Times New Roman;Times;serif"/>
                  <w:b w:val="false"/>
                  <w:i w:val="false"/>
                  <w:caps w:val="false"/>
                  <w:smallCaps w:val="false"/>
                  <w:sz w:val="20"/>
                </w:rPr>
                <w:t>Named Executive Officer Base Compensation at February 15, 2024. Filed herewith.</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w:anchor="acls-20231231xex10d9.htm">
              <w:r>
                <w:rPr>
                  <w:rStyle w:val="InternetLink"/>
                  <w:rFonts w:ascii="Times New Roman;Times;serif" w:hAnsi="Times New Roman;Times;serif"/>
                  <w:b w:val="false"/>
                  <w:i w:val="false"/>
                  <w:caps w:val="false"/>
                  <w:smallCaps w:val="false"/>
                  <w:sz w:val="20"/>
                </w:rPr>
                <w:t>Non-Employee Director Cash Compensation at February 15, 2024. Filed herewith.</w:t>
              </w:r>
            </w:hyperlink>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Employment Agreement between the Company and Russell J. Low dated May 11, 2023. Incorporated by reference to Exhibit 10.1 of the Company’s report on Form 8-K filed with the Commission on May 12, 2023</w:t>
              </w:r>
            </w:hyperlink>
            <w:r>
              <w:rPr>
                <w:rFonts w:ascii="Times New Roman;Times;serif" w:hAnsi="Times New Roman;Times;serif"/>
                <w:sz w:val="20"/>
              </w:rPr>
              <w:t xml:space="preserve">. </w:t>
            </w:r>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r>
        <w:trPr/>
        <w:tc>
          <w:tcPr>
            <w:tcW w:w="6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2023 Amended and Restated Employment Agreement between the Company and Mary G. Puma dated February 24, 2023. Incorporated by reference to Exhibit 10.1 of the Company’s report on Form 8-K filed with the Commission on April 18, 2023</w:t>
              </w:r>
            </w:hyperlink>
            <w:r>
              <w:rPr>
                <w:rFonts w:ascii="Times New Roman;Times;serif" w:hAnsi="Times New Roman;Times;serif"/>
                <w:sz w:val="20"/>
              </w:rPr>
              <w:t>.</w:t>
            </w:r>
          </w:p>
        </w:tc>
      </w:tr>
      <w:tr>
        <w:trPr/>
        <w:tc>
          <w:tcPr>
            <w:tcW w:w="65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1"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tbl>
      <w:tblPr>
        <w:tblW w:w="10205" w:type="dxa"/>
        <w:jc w:val="left"/>
        <w:tblInd w:w="0" w:type="dxa"/>
        <w:tblLayout w:type="fixed"/>
        <w:tblCellMar>
          <w:top w:w="0" w:type="dxa"/>
          <w:left w:w="0" w:type="dxa"/>
          <w:bottom w:w="0" w:type="dxa"/>
          <w:right w:w="0" w:type="dxa"/>
        </w:tblCellMar>
      </w:tblPr>
      <w:tblGrid>
        <w:gridCol w:w="655"/>
        <w:gridCol w:w="326"/>
        <w:gridCol w:w="9224"/>
      </w:tblGrid>
      <w:tr>
        <w:trPr/>
        <w:tc>
          <w:tcPr>
            <w:tcW w:w="65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645" cy="29210"/>
                      <wp:effectExtent l="0" t="0" r="0" b="0"/>
                      <wp:wrapNone/>
                      <wp:docPr id="365" name="Frame365"/>
                      <a:graphic xmlns:a="http://schemas.openxmlformats.org/drawingml/2006/main">
                        <a:graphicData uri="http://schemas.microsoft.com/office/word/2010/wordprocessingShape">
                          <wps:wsp>
                            <wps:cNvSpPr txBox="1"/>
                            <wps:spPr>
                              <a:xfrm>
                                <a:off x="0" y="0"/>
                                <a:ext cx="2076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Heading"/>
              <w:bidi w:val="0"/>
              <w:spacing w:before="0" w:after="0"/>
              <w:ind w:left="0" w:right="0" w:hanging="0"/>
              <w:jc w:val="left"/>
              <w:rPr/>
            </w:pPr>
            <w:r>
              <w:rPr/>
              <w:t>​</w:t>
            </w:r>
          </w:p>
        </w:tc>
        <w:tc>
          <w:tcPr>
            <w:tcW w:w="9224"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928620" cy="29210"/>
                      <wp:effectExtent l="0" t="0" r="0" b="0"/>
                      <wp:wrapNone/>
                      <wp:docPr id="366" name="Frame366"/>
                      <a:graphic xmlns:a="http://schemas.openxmlformats.org/drawingml/2006/main">
                        <a:graphicData uri="http://schemas.microsoft.com/office/word/2010/wordprocessingShape">
                          <wps:wsp>
                            <wps:cNvSpPr txBox="1"/>
                            <wps:spPr>
                              <a:xfrm>
                                <a:off x="0" y="0"/>
                                <a:ext cx="29286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55"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326" w:type="dxa"/>
            <w:tcBorders/>
            <w:vAlign w:val="center"/>
          </w:tcPr>
          <w:p>
            <w:pPr>
              <w:pStyle w:val="TableHeading"/>
              <w:bidi w:val="0"/>
              <w:spacing w:before="0" w:after="0"/>
              <w:ind w:left="0" w:right="0" w:hanging="0"/>
              <w:jc w:val="center"/>
              <w:rPr/>
            </w:pPr>
            <w:r>
              <w:rPr/>
              <w:t>    </w:t>
            </w:r>
          </w:p>
        </w:tc>
        <w:tc>
          <w:tcPr>
            <w:tcW w:w="922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Executive Separation Pay Agreement between the Company and each of its executive officers, including Lynnette C. Fallon, Greg Redinbo, Douglas Lawson, Gerald M. Blumenstock, Christopher Tatnall and James G. Coogan, having dates from May 15, 2019 to September 29, 2023. Incorporated by reference to Exhibit 10.2 of the Company’s Form 10-Q for the quarter ended June 30, 2019 filed with the Commission on August 7, 2019</w:t>
              </w:r>
            </w:hyperlink>
            <w:r>
              <w:rPr>
                <w:rFonts w:ascii="Times New Roman;Times;serif" w:hAnsi="Times New Roman;Times;serif"/>
                <w:sz w:val="20"/>
              </w:rPr>
              <w:t>.</w:t>
            </w:r>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Lease Agreement between the Company and Beverly Property Owner LLC, effective January 30, 2015. Incorporated by reference to Exhibit 10.24 of the Company’s Form 10-K for the year ended December 31, 2014 filed with the Commission on March 11, 2015.</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10.14*</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10d14.htm">
              <w:r>
                <w:rPr>
                  <w:rStyle w:val="InternetLink"/>
                  <w:rFonts w:ascii="Times New Roman;Times;serif" w:hAnsi="Times New Roman;Times;serif"/>
                  <w:b w:val="false"/>
                  <w:i w:val="false"/>
                  <w:caps w:val="false"/>
                  <w:smallCaps w:val="false"/>
                  <w:sz w:val="20"/>
                </w:rPr>
                <w:t>Executive Compensation Clawback Policy, as adopted by the Board of Directors on August 10, 2023. Filed herewith</w:t>
              </w:r>
            </w:hyperlink>
            <w:r>
              <w:rPr>
                <w:rFonts w:ascii="Times New Roman;Times;serif" w:hAnsi="Times New Roman;Times;serif"/>
                <w:sz w:val="20"/>
              </w:rPr>
              <w:t>.</w:t>
            </w:r>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Ethical Business Conduct at Axcelis, revised through January 2003. Incorporated by reference to Exhibit 14.1 of the Company’s report on Form 10-K filed with the Commission on March 28, 2003.</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19.1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19d1.htm">
              <w:r>
                <w:rPr>
                  <w:rStyle w:val="InternetLink"/>
                  <w:rFonts w:ascii="Times New Roman;Times;serif" w:hAnsi="Times New Roman;Times;serif"/>
                  <w:b w:val="false"/>
                  <w:i w:val="false"/>
                  <w:caps w:val="false"/>
                  <w:smallCaps w:val="false"/>
                  <w:sz w:val="20"/>
                </w:rPr>
                <w:t>2023 Insider Trading Policy, as adopted by the Board of Directors on August 10, 2023. Filed herewith</w:t>
              </w:r>
            </w:hyperlink>
            <w:r>
              <w:rPr>
                <w:rFonts w:ascii="Times New Roman;Times;serif" w:hAnsi="Times New Roman;Times;serif"/>
                <w:sz w:val="20"/>
              </w:rPr>
              <w:t>.</w:t>
            </w:r>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21d1.htm">
              <w:r>
                <w:rPr>
                  <w:rStyle w:val="InternetLink"/>
                  <w:rFonts w:ascii="Times New Roman;Times;serif" w:hAnsi="Times New Roman;Times;serif"/>
                  <w:b w:val="false"/>
                  <w:i w:val="false"/>
                  <w:caps w:val="false"/>
                  <w:smallCaps w:val="false"/>
                  <w:sz w:val="20"/>
                </w:rPr>
                <w:t>Subsidiaries of the Company. Filed herewith.</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23d1.htm">
              <w:r>
                <w:rPr>
                  <w:rStyle w:val="InternetLink"/>
                  <w:rFonts w:ascii="Times New Roman;Times;serif" w:hAnsi="Times New Roman;Times;serif"/>
                  <w:b w:val="false"/>
                  <w:i w:val="false"/>
                  <w:caps w:val="false"/>
                  <w:smallCaps w:val="false"/>
                  <w:sz w:val="20"/>
                </w:rPr>
                <w:t>Consent of Ernst &amp; Young LLP, Independent Registered Public Accounting Firm. Filed herewith.</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31d1.htm">
              <w:r>
                <w:rPr>
                  <w:rStyle w:val="InternetLink"/>
                  <w:rFonts w:ascii="Times New Roman;Times;serif" w:hAnsi="Times New Roman;Times;serif"/>
                  <w:b w:val="false"/>
                  <w:i w:val="false"/>
                  <w:caps w:val="false"/>
                  <w:smallCaps w:val="false"/>
                  <w:sz w:val="20"/>
                </w:rPr>
                <w:t>Certification of the Principal Executive Officer under Exchange Act Rule 13a-14(a)/15d-14(a) (Section 302 of the Sarbanes-Oxley Act), dated February 23, 2024. Filed herewith.</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31d2.htm">
              <w:r>
                <w:rPr>
                  <w:rStyle w:val="InternetLink"/>
                  <w:rFonts w:ascii="Times New Roman;Times;serif" w:hAnsi="Times New Roman;Times;serif"/>
                  <w:b w:val="false"/>
                  <w:i w:val="false"/>
                  <w:caps w:val="false"/>
                  <w:smallCaps w:val="false"/>
                  <w:sz w:val="20"/>
                </w:rPr>
                <w:t>Certification of the Principal Financial Officer under Exchange Act Rule 13a-14(a)/15d-14(a) (Section 302 of the Sarbanes-Oxley Act), dated February 23, 2024. Filed herewith.</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32d1.htm">
              <w:r>
                <w:rPr>
                  <w:rStyle w:val="InternetLink"/>
                  <w:rFonts w:ascii="Times New Roman;Times;serif" w:hAnsi="Times New Roman;Times;serif"/>
                  <w:b w:val="false"/>
                  <w:i w:val="false"/>
                  <w:caps w:val="false"/>
                  <w:smallCaps w:val="false"/>
                  <w:sz w:val="20"/>
                </w:rPr>
                <w:t>Certification of the Principal Executive Officer pursuant to Section 1350 of Chapter 63 of title 18 of the United States Code (Section 906 of the Sarbanes-Oxley Act), dated February 23, 2024. Filed herewith.</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hyperlink w:anchor="acls-20231231xex32d2.htm">
              <w:r>
                <w:rPr>
                  <w:rStyle w:val="InternetLink"/>
                  <w:rFonts w:ascii="Times New Roman;Times;serif" w:hAnsi="Times New Roman;Times;serif"/>
                  <w:b w:val="false"/>
                  <w:i w:val="false"/>
                  <w:caps w:val="false"/>
                  <w:smallCaps w:val="false"/>
                  <w:sz w:val="20"/>
                </w:rPr>
                <w:t>Certification of the Principal Financial Officer pursuant to Section 1350 of Chapter 63 of title 18 of the United States Code (Section 906 of the Sarbanes-Oxley Act), dated February 23, 2024. Filed herewith.</w:t>
              </w:r>
            </w:hyperlink>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materials from the Company’s Form 10-K for the year ended December 31, 2022, formatted in eXtensible Business Reporting Language (XBRL): (i) Consolidated Statements of Operations, (ii) Consolidated Statement of Comprehensive Income (iii) Consolidated Balance Sheets, (iv) Consolidated Statements of Equity, (v) Consolidated Statements of Cash Flows, and (vi) Notes to Consolidated Financial Statements.</w:t>
            </w:r>
          </w:p>
        </w:tc>
      </w:tr>
      <w:tr>
        <w:trPr/>
        <w:tc>
          <w:tcPr>
            <w:tcW w:w="6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pPr>
            <w:r>
              <w:rPr/>
              <w:t>​</w:t>
            </w:r>
          </w:p>
        </w:tc>
      </w:tr>
      <w:tr>
        <w:trPr/>
        <w:tc>
          <w:tcPr>
            <w:tcW w:w="6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iXBRL and contained in Exhibit 101).</w:t>
            </w:r>
          </w:p>
        </w:tc>
      </w:tr>
    </w:tbl>
    <w:tbl>
      <w:tblPr>
        <w:tblW w:w="4877" w:type="dxa"/>
        <w:jc w:val="left"/>
        <w:tblInd w:w="0" w:type="dxa"/>
        <w:tblLayout w:type="fixed"/>
        <w:tblCellMar>
          <w:top w:w="0" w:type="dxa"/>
          <w:left w:w="0" w:type="dxa"/>
          <w:bottom w:w="0" w:type="dxa"/>
          <w:right w:w="0" w:type="dxa"/>
        </w:tblCellMar>
      </w:tblPr>
      <w:tblGrid>
        <w:gridCol w:w="226"/>
        <w:gridCol w:w="4651"/>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46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a management contract or compensatory plan.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240"/>
        <w:ind w:left="0" w:right="0" w:hanging="0"/>
        <w:jc w:val="left"/>
        <w:rPr>
          <w:rFonts w:ascii="Times New Roman;Times;serif" w:hAnsi="Times New Roman;Times;serif"/>
          <w:b/>
          <w:sz w:val="20"/>
        </w:rPr>
      </w:pPr>
      <w:bookmarkStart w:id="1429" w:name="_87a0cc7b_389a_4d21_b559_d1f8bd3adca7"/>
      <w:bookmarkEnd w:id="142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t>​</w:t>
      </w:r>
    </w:p>
    <w:tbl>
      <w:tblPr>
        <w:tblW w:w="5838" w:type="dxa"/>
        <w:jc w:val="left"/>
        <w:tblInd w:w="0" w:type="dxa"/>
        <w:tblLayout w:type="fixed"/>
        <w:tblCellMar>
          <w:top w:w="0" w:type="dxa"/>
          <w:left w:w="0" w:type="dxa"/>
          <w:bottom w:w="0" w:type="dxa"/>
          <w:right w:w="0" w:type="dxa"/>
        </w:tblCellMar>
      </w:tblPr>
      <w:tblGrid>
        <w:gridCol w:w="2191"/>
        <w:gridCol w:w="406"/>
        <w:gridCol w:w="3241"/>
      </w:tblGrid>
      <w:tr>
        <w:trPr/>
        <w:tc>
          <w:tcPr>
            <w:tcW w:w="21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58035" cy="175260"/>
                      <wp:effectExtent l="0" t="0" r="0" b="0"/>
                      <wp:wrapNone/>
                      <wp:docPr id="367" name="Frame367"/>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pBdr/>
              <w:bidi w:val="0"/>
              <w:spacing w:before="0" w:after="0"/>
              <w:ind w:left="0" w:right="0" w:hanging="0"/>
              <w:jc w:val="left"/>
              <w:rPr/>
            </w:pPr>
            <w:r>
              <w:rPr/>
              <w:t>​</w:t>
            </w:r>
          </w:p>
        </w:tc>
        <w:tc>
          <w:tcPr>
            <w:tcW w:w="3647" w:type="dxa"/>
            <w:gridSpan w:val="2"/>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AXCELIS TECHNOLOGIES, INC.</w:t>
            </w:r>
          </w:p>
        </w:tc>
      </w:tr>
      <w:tr>
        <w:trPr/>
        <w:tc>
          <w:tcPr>
            <w:tcW w:w="219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Russell Low</w:t>
            </w:r>
          </w:p>
        </w:tc>
      </w:tr>
      <w:tr>
        <w:trPr/>
        <w:tc>
          <w:tcPr>
            <w:tcW w:w="219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Russell Low,</w:t>
            </w:r>
          </w:p>
        </w:tc>
      </w:tr>
      <w:tr>
        <w:trPr/>
        <w:tc>
          <w:tcPr>
            <w:tcW w:w="2191" w:type="dxa"/>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21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23, 2024</w:t>
            </w:r>
          </w:p>
        </w:tc>
        <w:tc>
          <w:tcPr>
            <w:tcW w:w="40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 indicated.</w:t>
      </w:r>
    </w:p>
    <w:p>
      <w:pPr>
        <w:pStyle w:val="TextBody"/>
        <w:bidi w:val="0"/>
        <w:spacing w:before="0" w:after="0"/>
        <w:ind w:left="0" w:right="0" w:hanging="0"/>
        <w:jc w:val="left"/>
        <w:rPr/>
      </w:pPr>
      <w:r>
        <w:rPr/>
        <w:t>​</w:t>
      </w:r>
    </w:p>
    <w:tbl>
      <w:tblPr>
        <w:tblW w:w="8381" w:type="dxa"/>
        <w:jc w:val="left"/>
        <w:tblInd w:w="0" w:type="dxa"/>
        <w:tblLayout w:type="fixed"/>
        <w:tblCellMar>
          <w:top w:w="0" w:type="dxa"/>
          <w:left w:w="0" w:type="dxa"/>
          <w:bottom w:w="28" w:type="dxa"/>
          <w:right w:w="0" w:type="dxa"/>
        </w:tblCellMar>
      </w:tblPr>
      <w:tblGrid>
        <w:gridCol w:w="2056"/>
        <w:gridCol w:w="326"/>
        <w:gridCol w:w="3601"/>
        <w:gridCol w:w="326"/>
        <w:gridCol w:w="1591"/>
        <w:gridCol w:w="109"/>
        <w:gridCol w:w="109"/>
        <w:gridCol w:w="109"/>
        <w:gridCol w:w="154"/>
      </w:tblGrid>
      <w:tr>
        <w:trPr/>
        <w:tc>
          <w:tcPr>
            <w:tcW w:w="205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6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60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Russell J. Low</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 and Principal Executive Officer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Russell J. Low</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tcBorders>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op w:val="single" w:sz="2" w:space="0" w:color="000000"/>
            </w:tcBorders>
            <w:tcMar>
              <w:top w:w="28" w:type="dxa"/>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James G. Coogan</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James G. Coogan</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Mary G. Puma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Mary G. Puma</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vMerge w:val="continue"/>
            <w:tcBorders/>
            <w:tcMar>
              <w:bottom w:w="0" w:type="dxa"/>
            </w:tcMar>
            <w:vAlign w:val="center"/>
          </w:tcPr>
          <w:p>
            <w:pPr>
              <w:pStyle w:val="Normal"/>
              <w:bidi w:val="0"/>
              <w:jc w:val="left"/>
              <w:rPr/>
            </w:pPr>
            <w:r>
              <w:rPr/>
            </w:r>
          </w:p>
        </w:tc>
        <w:tc>
          <w:tcPr>
            <w:tcW w:w="326" w:type="dxa"/>
            <w:tcBorders/>
            <w:tcMar>
              <w:bottom w:w="0" w:type="dxa"/>
            </w:tcMar>
            <w:vAlign w:val="center"/>
          </w:tcPr>
          <w:p>
            <w:pPr>
              <w:pStyle w:val="TableContents"/>
              <w:bidi w:val="0"/>
              <w:spacing w:before="0" w:after="0"/>
              <w:ind w:left="0" w:right="0" w:hanging="0"/>
              <w:jc w:val="left"/>
              <w:rPr/>
            </w:pPr>
            <w:r>
              <w:rPr/>
              <w:t>​</w:t>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2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continue"/>
            <w:tcBorders/>
            <w:tcMar>
              <w:bottom w:w="0" w:type="dxa"/>
            </w:tcMar>
            <w:vAlign w:val="center"/>
          </w:tcPr>
          <w:p>
            <w:pPr>
              <w:pStyle w:val="Normal"/>
              <w:bidi w:val="0"/>
              <w:jc w:val="left"/>
              <w:rPr/>
            </w:pPr>
            <w:r>
              <w:rPr/>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91" w:type="dxa"/>
            <w:vMerge w:val="continue"/>
            <w:tcBorders/>
            <w:tcMar>
              <w:bottom w:w="0" w:type="dxa"/>
            </w:tcMar>
            <w:vAlign w:val="center"/>
          </w:tcPr>
          <w:p>
            <w:pPr>
              <w:pStyle w:val="Normal"/>
              <w:bidi w:val="0"/>
              <w:jc w:val="left"/>
              <w:rPr/>
            </w:pPr>
            <w:r>
              <w:rPr/>
            </w:r>
          </w:p>
        </w:tc>
        <w:tc>
          <w:tcPr>
            <w:tcW w:w="109" w:type="dxa"/>
            <w:vMerge w:val="restart"/>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263" w:type="dxa"/>
            <w:gridSpan w:val="2"/>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Tzu-Yin Chiu</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9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Joseph P. Keithley</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Joseph P. Keithley</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John T. Kurtzweil</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John T. Kurtzweil</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Jeanne Quirk</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Jeanne Quirk</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Thomas St. Dennis</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Thomas St. Dennis</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5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w:t>
            </w:r>
            <w:r>
              <w:rPr>
                <w:rFonts w:ascii="Times New Roman;Times;serif" w:hAnsi="Times New Roman;Times;serif"/>
                <w:smallCaps/>
                <w:sz w:val="20"/>
              </w:rPr>
              <w:t xml:space="preserve">orge </w:t>
            </w:r>
            <w:r>
              <w:rPr>
                <w:rFonts w:ascii="Times New Roman;Times;serif" w:hAnsi="Times New Roman;Times;serif"/>
                <w:sz w:val="20"/>
              </w:rPr>
              <w:t>T</w:t>
            </w:r>
            <w:r>
              <w:rPr>
                <w:rFonts w:ascii="Times New Roman;Times;serif" w:hAnsi="Times New Roman;Times;serif"/>
                <w:smallCaps/>
                <w:sz w:val="20"/>
              </w:rPr>
              <w:t>itinger</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Jorge Titinger</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0"/>
              <w:ind w:left="0" w:right="0" w:hanging="0"/>
              <w:jc w:val="center"/>
              <w:rPr/>
            </w:pPr>
            <w:r>
              <w:rPr/>
              <w:t>​</w:t>
            </w:r>
          </w:p>
        </w:tc>
      </w:tr>
      <w:tr>
        <w:trPr/>
        <w:tc>
          <w:tcPr>
            <w:tcW w:w="2056"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601"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91" w:type="dxa"/>
            <w:tcBorders/>
            <w:tcMar>
              <w:bottom w:w="0" w:type="dxa"/>
            </w:tcMar>
            <w:vAlign w:val="center"/>
          </w:tcPr>
          <w:p>
            <w:pPr>
              <w:pStyle w:val="TableContents"/>
              <w:bidi w:val="0"/>
              <w:spacing w:before="0" w:after="0"/>
              <w:ind w:left="0" w:right="0" w:hanging="0"/>
              <w:jc w:val="center"/>
              <w:rPr/>
            </w:pPr>
            <w:r>
              <w:rPr/>
              <w:t>​</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Dipti </w:t>
            </w:r>
            <w:r>
              <w:rPr>
                <w:rFonts w:ascii="Times New Roman;Times;serif" w:hAnsi="Times New Roman;Times;serif"/>
                <w:smallCaps/>
                <w:sz w:val="20"/>
              </w:rPr>
              <w:t>Vachani</w:t>
            </w:r>
          </w:p>
        </w:tc>
        <w:tc>
          <w:tcPr>
            <w:tcW w:w="326" w:type="dxa"/>
            <w:vMerge w:val="restart"/>
            <w:tcBorders/>
            <w:tcMar>
              <w:bottom w:w="0" w:type="dxa"/>
            </w:tcMar>
            <w:vAlign w:val="center"/>
          </w:tcPr>
          <w:p>
            <w:pPr>
              <w:pStyle w:val="TableContents"/>
              <w:bidi w:val="0"/>
              <w:spacing w:before="0" w:after="0"/>
              <w:ind w:left="0" w:right="0" w:hanging="0"/>
              <w:jc w:val="left"/>
              <w:rPr/>
            </w:pPr>
            <w:r>
              <w:rPr/>
              <w:t>​</w:t>
            </w:r>
          </w:p>
        </w:tc>
        <w:tc>
          <w:tcPr>
            <w:tcW w:w="3601" w:type="dxa"/>
            <w:vMerge w:val="restart"/>
            <w:tcBorders/>
            <w:tcMar>
              <w:bottom w:w="0" w:type="dxa"/>
            </w:tcMar>
            <w:vAlign w:val="center"/>
          </w:tcPr>
          <w:p>
            <w:pPr>
              <w:pStyle w:val="TableContents"/>
              <w:bidi w:val="0"/>
              <w:spacing w:lineRule="auto" w:line="429"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tcMar>
              <w:bottom w:w="0" w:type="dxa"/>
            </w:tcMar>
            <w:vAlign w:val="center"/>
          </w:tcPr>
          <w:p>
            <w:pPr>
              <w:pStyle w:val="TableContents"/>
              <w:bidi w:val="0"/>
              <w:spacing w:before="0" w:after="0"/>
              <w:ind w:left="0" w:right="0" w:hanging="0"/>
              <w:jc w:val="center"/>
              <w:rPr/>
            </w:pPr>
            <w:r>
              <w:rPr/>
              <w:t>​</w:t>
            </w:r>
          </w:p>
        </w:tc>
        <w:tc>
          <w:tcPr>
            <w:tcW w:w="1591" w:type="dxa"/>
            <w:vMerge w:val="restart"/>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23, 2024</w:t>
            </w:r>
          </w:p>
        </w:tc>
        <w:tc>
          <w:tcPr>
            <w:tcW w:w="481" w:type="dxa"/>
            <w:gridSpan w:val="4"/>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056"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0"/>
              <w:ind w:left="0" w:right="0" w:hanging="0"/>
              <w:jc w:val="center"/>
              <w:rPr/>
            </w:pPr>
            <w:r>
              <w:rPr/>
              <w:t>​</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op w:val="single" w:sz="2" w:space="0" w:color="000000"/>
            </w:tcBorders>
            <w:tcMar>
              <w:top w:w="28" w:type="dxa"/>
              <w:bottom w:w="0" w:type="dxa"/>
            </w:tcMar>
            <w:vAlign w:val="center"/>
          </w:tcPr>
          <w:p>
            <w:pPr>
              <w:pStyle w:val="TableContents"/>
              <w:pBdr/>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Dipti Vachani</w:t>
            </w:r>
          </w:p>
        </w:tc>
        <w:tc>
          <w:tcPr>
            <w:tcW w:w="326" w:type="dxa"/>
            <w:vMerge w:val="continue"/>
            <w:tcBorders/>
            <w:tcMar>
              <w:bottom w:w="0" w:type="dxa"/>
            </w:tcMar>
            <w:vAlign w:val="center"/>
          </w:tcPr>
          <w:p>
            <w:pPr>
              <w:pStyle w:val="Normal"/>
              <w:bidi w:val="0"/>
              <w:jc w:val="left"/>
              <w:rPr/>
            </w:pPr>
            <w:r>
              <w:rPr/>
            </w:r>
          </w:p>
        </w:tc>
        <w:tc>
          <w:tcPr>
            <w:tcW w:w="3601" w:type="dxa"/>
            <w:vMerge w:val="continue"/>
            <w:tcBorders/>
            <w:tcMar>
              <w:bottom w:w="0" w:type="dxa"/>
            </w:tcMar>
            <w:vAlign w:val="center"/>
          </w:tcPr>
          <w:p>
            <w:pPr>
              <w:pStyle w:val="Normal"/>
              <w:bidi w:val="0"/>
              <w:jc w:val="left"/>
              <w:rPr/>
            </w:pPr>
            <w:r>
              <w:rPr/>
            </w:r>
          </w:p>
        </w:tc>
        <w:tc>
          <w:tcPr>
            <w:tcW w:w="326" w:type="dxa"/>
            <w:vMerge w:val="continue"/>
            <w:tcBorders/>
            <w:tcMar>
              <w:bottom w:w="0" w:type="dxa"/>
            </w:tcMar>
            <w:vAlign w:val="center"/>
          </w:tcPr>
          <w:p>
            <w:pPr>
              <w:pStyle w:val="Normal"/>
              <w:bidi w:val="0"/>
              <w:jc w:val="left"/>
              <w:rPr/>
            </w:pPr>
            <w:r>
              <w:rPr/>
            </w:r>
          </w:p>
        </w:tc>
        <w:tc>
          <w:tcPr>
            <w:tcW w:w="1591"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1430" w:name="_contentSection_28304540_4f20_4ec5_bf03_"/>
      <w:bookmarkEnd w:id="1430"/>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240"/>
        <w:ind w:left="0" w:right="0" w:hanging="0"/>
        <w:jc w:val="right"/>
        <w:rPr>
          <w:rFonts w:ascii="Times New Roman;Times;serif" w:hAnsi="Times New Roman;Times;serif"/>
          <w:b/>
          <w:sz w:val="20"/>
        </w:rPr>
      </w:pPr>
      <w:bookmarkStart w:id="1431" w:name="acls-20231231xex10d8.htm"/>
      <w:bookmarkStart w:id="1432" w:name="ksacls20231231xex10d8"/>
      <w:bookmarkEnd w:id="1431"/>
      <w:bookmarkEnd w:id="1432"/>
      <w:r>
        <w:rPr>
          <w:rFonts w:ascii="Times New Roman;Times;serif" w:hAnsi="Times New Roman;Times;serif"/>
          <w:b/>
          <w:sz w:val="20"/>
        </w:rPr>
        <w:t>Exhibit 10.8</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Named Executive Officer Base Compensation at February 15, 2024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This Exhibit discloses the current understandings with respect to base compensation between Axcelis Technologies, Inc. (the “Company”) and each of:</w:t>
      </w:r>
    </w:p>
    <w:p>
      <w:pPr>
        <w:pStyle w:val="TextBody"/>
        <w:bidi w:val="0"/>
        <w:spacing w:lineRule="auto" w:line="285" w:before="0" w:after="0"/>
        <w:ind w:left="0" w:right="0" w:firstLine="720"/>
        <w:jc w:val="left"/>
        <w:rPr/>
      </w:pPr>
      <w:r>
        <w:rPr/>
        <w:t> </w:t>
      </w:r>
    </w:p>
    <w:p>
      <w:pPr>
        <w:pStyle w:val="TextBody"/>
        <w:pBdr/>
        <w:bidi w:val="0"/>
        <w:spacing w:lineRule="auto" w:line="285" w:before="0" w:after="0"/>
        <w:ind w:left="720" w:right="0" w:hanging="360"/>
        <w:jc w:val="left"/>
        <w:rPr>
          <w:rFonts w:ascii="Times New Roman;Times;serif" w:hAnsi="Times New Roman;Times;serif"/>
          <w:sz w:val="6"/>
        </w:rPr>
      </w:pPr>
      <w:r>
        <w:rPr>
          <w:rFonts w:ascii="Symbol" w:hAnsi="Symbol"/>
          <w:sz w:val="20"/>
        </w:rPr>
        <w:t>·</w:t>
      </w:r>
      <w:r>
        <w:rPr>
          <w:rFonts w:ascii="Times New Roman;Times;serif" w:hAnsi="Times New Roman;Times;serif"/>
          <w:sz w:val="6"/>
        </w:rPr>
        <w:t xml:space="preserve">                  </w:t>
      </w:r>
      <w:r>
        <w:rPr>
          <w:rFonts w:ascii="Times New Roman;Times;serif" w:hAnsi="Times New Roman;Times;serif"/>
          <w:sz w:val="20"/>
        </w:rPr>
        <w:t>the Company’s principal executive officer (Russell J. Low),</w:t>
      </w:r>
    </w:p>
    <w:p>
      <w:pPr>
        <w:pStyle w:val="TextBody"/>
        <w:pBdr/>
        <w:bidi w:val="0"/>
        <w:spacing w:lineRule="auto" w:line="285" w:before="0" w:after="0"/>
        <w:ind w:left="720" w:right="0" w:hanging="360"/>
        <w:jc w:val="left"/>
        <w:rPr/>
      </w:pPr>
      <w:r>
        <w:rPr/>
        <w:t> </w:t>
      </w:r>
    </w:p>
    <w:p>
      <w:pPr>
        <w:pStyle w:val="TextBody"/>
        <w:pBdr/>
        <w:bidi w:val="0"/>
        <w:spacing w:lineRule="auto" w:line="285" w:before="0" w:after="0"/>
        <w:ind w:left="720" w:right="0" w:hanging="360"/>
        <w:jc w:val="left"/>
        <w:rPr>
          <w:rFonts w:ascii="Times New Roman;Times;serif" w:hAnsi="Times New Roman;Times;serif"/>
          <w:sz w:val="6"/>
        </w:rPr>
      </w:pPr>
      <w:r>
        <w:rPr>
          <w:rFonts w:ascii="Symbol" w:hAnsi="Symbol"/>
          <w:sz w:val="20"/>
        </w:rPr>
        <w:t>·</w:t>
      </w:r>
      <w:r>
        <w:rPr>
          <w:rFonts w:ascii="Times New Roman;Times;serif" w:hAnsi="Times New Roman;Times;serif"/>
          <w:sz w:val="6"/>
        </w:rPr>
        <w:t xml:space="preserve">                  </w:t>
      </w:r>
      <w:r>
        <w:rPr>
          <w:rFonts w:ascii="Times New Roman;Times;serif" w:hAnsi="Times New Roman;Times;serif"/>
          <w:sz w:val="20"/>
        </w:rPr>
        <w:t>the Company’s principal financial officer (James G. Coogan), and</w:t>
      </w:r>
    </w:p>
    <w:p>
      <w:pPr>
        <w:pStyle w:val="TextBody"/>
        <w:pBdr/>
        <w:bidi w:val="0"/>
        <w:spacing w:lineRule="auto" w:line="285" w:before="0" w:after="0"/>
        <w:ind w:left="72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most highly compensated other executive officers serving as executive officers at December 31, 2023, who are still serving as executive officers as of the filing date of this Form 10-K.</w:t>
            </w:r>
          </w:p>
        </w:tc>
      </w:tr>
    </w:tbl>
    <w:p>
      <w:pPr>
        <w:pStyle w:val="TextBody"/>
        <w:pBdr/>
        <w:bidi w:val="0"/>
        <w:spacing w:lineRule="auto" w:line="285" w:before="0" w:after="0"/>
        <w:ind w:left="720" w:right="0" w:hanging="36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These executive officers are referred to herein as “named executive officers” or “NEOs.”</w:t>
      </w:r>
    </w:p>
    <w:p>
      <w:pPr>
        <w:pStyle w:val="TextBody"/>
        <w:bidi w:val="0"/>
        <w:spacing w:lineRule="auto" w:line="285" w:before="0" w:after="0"/>
        <w:ind w:left="0" w:right="0" w:firstLine="72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Each of Russell J. Low and Mary G. Puma have entered into a written agreement with the Company addressing a minimum level of base salary due to the executive. These employment agreements are listed as Exhibits to this Form 10-K.  Each of the other NEOs and the Company have entered into an Executive Separation Pay Agreement in which a termination without cause will entitle the executive to one year of separation pay.  The form of Executive Separation Pay Agreement is listed as an Exhibit to this Form 10-K.</w:t>
      </w:r>
    </w:p>
    <w:p>
      <w:pPr>
        <w:pStyle w:val="TextBody"/>
        <w:bidi w:val="0"/>
        <w:spacing w:lineRule="auto" w:line="285" w:before="0" w:after="0"/>
        <w:ind w:left="0" w:right="0" w:firstLine="72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maintains that all executive officers, other than Dr. Low and Ms. Puma, are employees at will and that the Company has no obligation to continue their employment, other than in cases where such obligation arises under either a Change of Control Agreement or an Executive Separation Pay Agreement as described in our Proxy Statement and as filed as Exhibits to this Form 10-K.</w:t>
      </w:r>
    </w:p>
    <w:p>
      <w:pPr>
        <w:pStyle w:val="TextBody"/>
        <w:bidi w:val="0"/>
        <w:spacing w:lineRule="auto" w:line="285" w:before="0" w:after="0"/>
        <w:ind w:left="0" w:right="0" w:firstLine="72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Rate of Base Pay</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(provided Dr. Low’s and Ms. Puma’s employment agreements set a minimum base pay amount). The following table sets forth the annual base salary as communicated to the named executive officers of the Company as in effect on February 15, 2024:</w:t>
      </w:r>
    </w:p>
    <w:p>
      <w:pPr>
        <w:pStyle w:val="TextBody"/>
        <w:bidi w:val="0"/>
        <w:spacing w:lineRule="auto" w:line="285" w:before="0" w:after="0"/>
        <w:ind w:left="0" w:right="0" w:hanging="0"/>
        <w:jc w:val="left"/>
        <w:rPr/>
      </w:pPr>
      <w:r>
        <w:rPr/>
        <w:t> </w:t>
      </w:r>
    </w:p>
    <w:tbl>
      <w:tblPr>
        <w:tblW w:w="7791" w:type="dxa"/>
        <w:jc w:val="left"/>
        <w:tblInd w:w="0" w:type="dxa"/>
        <w:tblLayout w:type="fixed"/>
        <w:tblCellMar>
          <w:top w:w="0" w:type="dxa"/>
          <w:left w:w="0" w:type="dxa"/>
          <w:bottom w:w="28" w:type="dxa"/>
          <w:right w:w="0" w:type="dxa"/>
        </w:tblCellMar>
      </w:tblPr>
      <w:tblGrid>
        <w:gridCol w:w="2251"/>
        <w:gridCol w:w="146"/>
        <w:gridCol w:w="3841"/>
        <w:gridCol w:w="146"/>
        <w:gridCol w:w="258"/>
        <w:gridCol w:w="958"/>
        <w:gridCol w:w="191"/>
      </w:tblGrid>
      <w:tr>
        <w:trPr/>
        <w:tc>
          <w:tcPr>
            <w:tcW w:w="2251"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41"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58"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58"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91" w:type="dxa"/>
            <w:tcBorders>
              <w:bottom w:val="single" w:sz="12" w:space="0" w:color="8FAADC"/>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top w:val="single" w:sz="2" w:space="0" w:color="8FAADC"/>
              <w:bottom w:val="single" w:sz="2" w:space="0" w:color="8FAADC"/>
              <w:right w:val="single" w:sz="2" w:space="0" w:color="8FAADC"/>
            </w:tcBorders>
            <w:shd w:fill="DAE3F3" w:val="clear"/>
            <w:tcMar>
              <w:top w:w="28"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Named Executive Officer</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center"/>
              <w:rPr/>
            </w:pPr>
            <w:r>
              <w:rPr/>
              <w:t> </w:t>
            </w:r>
          </w:p>
        </w:tc>
        <w:tc>
          <w:tcPr>
            <w:tcW w:w="3841"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center"/>
              <w:rPr/>
            </w:pPr>
            <w:r>
              <w:rPr/>
              <w:t> </w:t>
            </w:r>
          </w:p>
        </w:tc>
        <w:tc>
          <w:tcPr>
            <w:tcW w:w="1216" w:type="dxa"/>
            <w:gridSpan w:val="2"/>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Rate of Annual</w:t>
              <w:br/>
              <w:t>Base Pay</w:t>
            </w:r>
          </w:p>
        </w:tc>
        <w:tc>
          <w:tcPr>
            <w:tcW w:w="191" w:type="dxa"/>
            <w:tcBorders>
              <w:top w:val="single" w:sz="2" w:space="0" w:color="8FAADC"/>
              <w:left w:val="single" w:sz="2" w:space="0" w:color="8FAADC"/>
              <w:bottom w:val="single" w:sz="2" w:space="0" w:color="8FAADC"/>
            </w:tcBorders>
            <w:shd w:fill="DAE3F3" w:val="clear"/>
            <w:tcMar>
              <w:top w:w="28" w:type="dxa"/>
              <w:left w:w="105" w:type="dxa"/>
            </w:tcMar>
            <w:vAlign w:val="center"/>
          </w:tcPr>
          <w:p>
            <w:pPr>
              <w:pStyle w:val="TableContents"/>
              <w:bidi w:val="0"/>
              <w:spacing w:lineRule="auto" w:line="285" w:before="0" w:after="0"/>
              <w:ind w:left="0" w:right="0" w:hanging="0"/>
              <w:jc w:val="center"/>
              <w:rPr/>
            </w:pPr>
            <w:r>
              <w:rPr/>
              <w:t> </w:t>
            </w:r>
          </w:p>
        </w:tc>
      </w:tr>
      <w:tr>
        <w:trPr/>
        <w:tc>
          <w:tcPr>
            <w:tcW w:w="2251" w:type="dxa"/>
            <w:tcBorders>
              <w:top w:val="single" w:sz="2" w:space="0" w:color="8FAADC"/>
              <w:bottom w:val="single" w:sz="2" w:space="0" w:color="8FAADC"/>
              <w:right w:val="single" w:sz="2" w:space="0" w:color="8FAADC"/>
            </w:tcBorders>
            <w:tcMar>
              <w:top w:w="28" w:type="dxa"/>
              <w:right w:w="105" w:type="dxa"/>
            </w:tcMar>
            <w:vAlign w:val="center"/>
          </w:tcPr>
          <w:p>
            <w:pPr>
              <w:pStyle w:val="TableContents"/>
              <w:pBdr/>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Russell J. Low, Ph.D.</w:t>
            </w:r>
          </w:p>
        </w:tc>
        <w:tc>
          <w:tcPr>
            <w:tcW w:w="146"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3841"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46"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258"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633,000</w:t>
            </w:r>
            <w:r>
              <w:rPr>
                <w:rFonts w:ascii="Times New Roman;Times;serif" w:hAnsi="Times New Roman;Times;serif"/>
                <w:color w:val="FFFFFF"/>
                <w:sz w:val="20"/>
              </w:rPr>
              <w:t xml:space="preserve"> </w:t>
            </w:r>
          </w:p>
        </w:tc>
        <w:tc>
          <w:tcPr>
            <w:tcW w:w="191" w:type="dxa"/>
            <w:tcBorders>
              <w:top w:val="single" w:sz="2" w:space="0" w:color="8FAADC"/>
              <w:left w:val="single" w:sz="2" w:space="0" w:color="8FAADC"/>
              <w:bottom w:val="single" w:sz="2" w:space="0" w:color="8FAADC"/>
            </w:tcBorders>
            <w:tcMar>
              <w:top w:w="28" w:type="dxa"/>
              <w:left w:w="105" w:type="dxa"/>
            </w:tcMar>
            <w:vAlign w:val="center"/>
          </w:tcPr>
          <w:p>
            <w:pPr>
              <w:pStyle w:val="TableContents"/>
              <w:bidi w:val="0"/>
              <w:spacing w:lineRule="auto" w:line="285" w:before="0" w:after="0"/>
              <w:ind w:left="0" w:right="0" w:hanging="0"/>
              <w:jc w:val="left"/>
              <w:rPr/>
            </w:pPr>
            <w:r>
              <w:rPr/>
              <w:t> </w:t>
            </w:r>
          </w:p>
        </w:tc>
      </w:tr>
      <w:tr>
        <w:trPr/>
        <w:tc>
          <w:tcPr>
            <w:tcW w:w="2251" w:type="dxa"/>
            <w:tcBorders>
              <w:top w:val="single" w:sz="2" w:space="0" w:color="8FAADC"/>
              <w:bottom w:val="single" w:sz="2" w:space="0" w:color="8FAADC"/>
              <w:right w:val="single" w:sz="2" w:space="0" w:color="8FAADC"/>
            </w:tcBorders>
            <w:shd w:fill="DAE3F3" w:val="clear"/>
            <w:tcMar>
              <w:top w:w="28" w:type="dxa"/>
              <w:right w:w="105" w:type="dxa"/>
            </w:tcMar>
            <w:vAlign w:val="center"/>
          </w:tcPr>
          <w:p>
            <w:pPr>
              <w:pStyle w:val="TableContents"/>
              <w:pBdr/>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James G. Coogan</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3841"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VP and Chief Financial Officer</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258"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485,000 </w:t>
            </w:r>
          </w:p>
        </w:tc>
        <w:tc>
          <w:tcPr>
            <w:tcW w:w="191" w:type="dxa"/>
            <w:tcBorders>
              <w:top w:val="single" w:sz="2" w:space="0" w:color="8FAADC"/>
              <w:left w:val="single" w:sz="2" w:space="0" w:color="8FAADC"/>
              <w:bottom w:val="single" w:sz="2" w:space="0" w:color="8FAADC"/>
            </w:tcBorders>
            <w:shd w:fill="DAE3F3" w:val="clear"/>
            <w:tcMar>
              <w:top w:w="28" w:type="dxa"/>
              <w:left w:w="105" w:type="dxa"/>
            </w:tcMar>
            <w:vAlign w:val="center"/>
          </w:tcPr>
          <w:p>
            <w:pPr>
              <w:pStyle w:val="TableContents"/>
              <w:bidi w:val="0"/>
              <w:spacing w:lineRule="auto" w:line="285" w:before="0" w:after="0"/>
              <w:ind w:left="0" w:right="0" w:hanging="0"/>
              <w:jc w:val="left"/>
              <w:rPr/>
            </w:pPr>
            <w:r>
              <w:rPr/>
              <w:t> </w:t>
            </w:r>
          </w:p>
        </w:tc>
      </w:tr>
      <w:tr>
        <w:trPr/>
        <w:tc>
          <w:tcPr>
            <w:tcW w:w="2251" w:type="dxa"/>
            <w:tcBorders>
              <w:top w:val="single" w:sz="2" w:space="0" w:color="8FAADC"/>
              <w:bottom w:val="single" w:sz="2" w:space="0" w:color="8FAADC"/>
              <w:right w:val="single" w:sz="2" w:space="0" w:color="8FAADC"/>
            </w:tcBorders>
            <w:tcMar>
              <w:top w:w="28" w:type="dxa"/>
              <w:right w:w="105" w:type="dxa"/>
            </w:tcMar>
            <w:vAlign w:val="center"/>
          </w:tcPr>
          <w:p>
            <w:pPr>
              <w:pStyle w:val="TableContents"/>
              <w:pBdr/>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Mary G. Puma</w:t>
            </w:r>
          </w:p>
        </w:tc>
        <w:tc>
          <w:tcPr>
            <w:tcW w:w="146"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3841"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Chairperson of the Board</w:t>
            </w:r>
          </w:p>
        </w:tc>
        <w:tc>
          <w:tcPr>
            <w:tcW w:w="146"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258"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669,000</w:t>
            </w:r>
          </w:p>
        </w:tc>
        <w:tc>
          <w:tcPr>
            <w:tcW w:w="191" w:type="dxa"/>
            <w:tcBorders>
              <w:top w:val="single" w:sz="2" w:space="0" w:color="8FAADC"/>
              <w:left w:val="single" w:sz="2" w:space="0" w:color="8FAADC"/>
              <w:bottom w:val="single" w:sz="2" w:space="0" w:color="8FAADC"/>
            </w:tcBorders>
            <w:tcMar>
              <w:top w:w="28" w:type="dxa"/>
              <w:left w:w="105" w:type="dxa"/>
            </w:tcMar>
            <w:vAlign w:val="center"/>
          </w:tcPr>
          <w:p>
            <w:pPr>
              <w:pStyle w:val="TableContents"/>
              <w:bidi w:val="0"/>
              <w:spacing w:lineRule="auto" w:line="285" w:before="0" w:after="0"/>
              <w:ind w:left="0" w:right="0" w:hanging="0"/>
              <w:jc w:val="left"/>
              <w:rPr/>
            </w:pPr>
            <w:r>
              <w:rPr/>
              <w:t> </w:t>
            </w:r>
          </w:p>
        </w:tc>
      </w:tr>
      <w:tr>
        <w:trPr/>
        <w:tc>
          <w:tcPr>
            <w:tcW w:w="2251" w:type="dxa"/>
            <w:tcBorders>
              <w:top w:val="single" w:sz="2" w:space="0" w:color="8FAADC"/>
              <w:bottom w:val="single" w:sz="2" w:space="0" w:color="8FAADC"/>
              <w:right w:val="single" w:sz="2" w:space="0" w:color="8FAADC"/>
            </w:tcBorders>
            <w:shd w:fill="DAE3F3" w:val="clear"/>
            <w:tcMar>
              <w:top w:w="28" w:type="dxa"/>
              <w:right w:w="105" w:type="dxa"/>
            </w:tcMar>
            <w:vAlign w:val="center"/>
          </w:tcPr>
          <w:p>
            <w:pPr>
              <w:pStyle w:val="TableContents"/>
              <w:pBdr/>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Lynnette C. Fallon</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3841"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VP, HR/Legal and General Counsel</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258"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375,000</w:t>
            </w:r>
          </w:p>
        </w:tc>
        <w:tc>
          <w:tcPr>
            <w:tcW w:w="191" w:type="dxa"/>
            <w:tcBorders>
              <w:top w:val="single" w:sz="2" w:space="0" w:color="8FAADC"/>
              <w:left w:val="single" w:sz="2" w:space="0" w:color="8FAADC"/>
              <w:bottom w:val="single" w:sz="2" w:space="0" w:color="8FAADC"/>
            </w:tcBorders>
            <w:shd w:fill="DAE3F3" w:val="clear"/>
            <w:tcMar>
              <w:top w:w="28" w:type="dxa"/>
              <w:left w:w="105" w:type="dxa"/>
            </w:tcMar>
            <w:vAlign w:val="center"/>
          </w:tcPr>
          <w:p>
            <w:pPr>
              <w:pStyle w:val="TableContents"/>
              <w:bidi w:val="0"/>
              <w:spacing w:lineRule="auto" w:line="285" w:before="0" w:after="0"/>
              <w:ind w:left="0" w:right="0" w:hanging="0"/>
              <w:jc w:val="left"/>
              <w:rPr/>
            </w:pPr>
            <w:r>
              <w:rPr/>
              <w:t> </w:t>
            </w:r>
          </w:p>
        </w:tc>
      </w:tr>
      <w:tr>
        <w:trPr/>
        <w:tc>
          <w:tcPr>
            <w:tcW w:w="2251" w:type="dxa"/>
            <w:tcBorders>
              <w:top w:val="single" w:sz="2" w:space="0" w:color="8FAADC"/>
              <w:bottom w:val="single" w:sz="2" w:space="0" w:color="8FAADC"/>
              <w:right w:val="single" w:sz="2" w:space="0" w:color="8FAADC"/>
            </w:tcBorders>
            <w:tcMar>
              <w:top w:w="28" w:type="dxa"/>
              <w:right w:w="105" w:type="dxa"/>
            </w:tcMar>
            <w:vAlign w:val="center"/>
          </w:tcPr>
          <w:p>
            <w:pPr>
              <w:pStyle w:val="TableContents"/>
              <w:pBdr/>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Gregory F. Redinbo, Ph.D.</w:t>
            </w:r>
          </w:p>
        </w:tc>
        <w:tc>
          <w:tcPr>
            <w:tcW w:w="146"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pPr>
            <w:r>
              <w:rPr/>
              <w:t>​</w:t>
            </w:r>
          </w:p>
        </w:tc>
        <w:tc>
          <w:tcPr>
            <w:tcW w:w="3841"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VP, Marketing and Applications</w:t>
            </w:r>
          </w:p>
        </w:tc>
        <w:tc>
          <w:tcPr>
            <w:tcW w:w="146"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258"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top w:val="single" w:sz="2" w:space="0" w:color="8FAADC"/>
              <w:left w:val="single" w:sz="2" w:space="0" w:color="8FAADC"/>
              <w:bottom w:val="single" w:sz="2" w:space="0" w:color="8FAADC"/>
              <w:right w:val="single" w:sz="2" w:space="0" w:color="8FAADC"/>
            </w:tcBorders>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310,000</w:t>
            </w:r>
          </w:p>
        </w:tc>
        <w:tc>
          <w:tcPr>
            <w:tcW w:w="191" w:type="dxa"/>
            <w:tcBorders>
              <w:top w:val="single" w:sz="2" w:space="0" w:color="8FAADC"/>
              <w:left w:val="single" w:sz="2" w:space="0" w:color="8FAADC"/>
              <w:bottom w:val="single" w:sz="2" w:space="0" w:color="8FAADC"/>
            </w:tcBorders>
            <w:tcMar>
              <w:top w:w="28" w:type="dxa"/>
              <w:left w:w="105" w:type="dxa"/>
            </w:tcMar>
            <w:vAlign w:val="center"/>
          </w:tcPr>
          <w:p>
            <w:pPr>
              <w:pStyle w:val="TableContents"/>
              <w:bidi w:val="0"/>
              <w:spacing w:lineRule="auto" w:line="285" w:before="0" w:after="0"/>
              <w:ind w:left="0" w:right="0" w:hanging="0"/>
              <w:jc w:val="left"/>
              <w:rPr/>
            </w:pPr>
            <w:r>
              <w:rPr/>
              <w:t> </w:t>
            </w:r>
          </w:p>
        </w:tc>
      </w:tr>
      <w:tr>
        <w:trPr/>
        <w:tc>
          <w:tcPr>
            <w:tcW w:w="2251" w:type="dxa"/>
            <w:tcBorders>
              <w:top w:val="single" w:sz="2" w:space="0" w:color="8FAADC"/>
              <w:bottom w:val="single" w:sz="2" w:space="0" w:color="8FAADC"/>
              <w:right w:val="single" w:sz="2" w:space="0" w:color="8FAADC"/>
            </w:tcBorders>
            <w:shd w:fill="DAE3F3" w:val="clear"/>
            <w:tcMar>
              <w:top w:w="28" w:type="dxa"/>
              <w:right w:w="105" w:type="dxa"/>
            </w:tcMar>
            <w:vAlign w:val="center"/>
          </w:tcPr>
          <w:p>
            <w:pPr>
              <w:pStyle w:val="TableContents"/>
              <w:pBdr/>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Gerald M. Blumenstock</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pPr>
            <w:r>
              <w:rPr/>
              <w:t>​</w:t>
            </w:r>
          </w:p>
        </w:tc>
        <w:tc>
          <w:tcPr>
            <w:tcW w:w="3841"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VP, Engineering</w:t>
            </w:r>
          </w:p>
        </w:tc>
        <w:tc>
          <w:tcPr>
            <w:tcW w:w="146"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pPr>
            <w:r>
              <w:rPr/>
              <w:t> </w:t>
            </w:r>
          </w:p>
        </w:tc>
        <w:tc>
          <w:tcPr>
            <w:tcW w:w="258"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top w:val="single" w:sz="2" w:space="0" w:color="8FAADC"/>
              <w:left w:val="single" w:sz="2" w:space="0" w:color="8FAADC"/>
              <w:bottom w:val="single" w:sz="2" w:space="0" w:color="8FAADC"/>
              <w:right w:val="single" w:sz="2" w:space="0" w:color="8FAADC"/>
            </w:tcBorders>
            <w:shd w:fill="DAE3F3" w:val="clear"/>
            <w:tcMar>
              <w:top w:w="28" w:type="dxa"/>
              <w:left w:w="105" w:type="dxa"/>
              <w:right w:w="105"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325,000</w:t>
            </w:r>
          </w:p>
        </w:tc>
        <w:tc>
          <w:tcPr>
            <w:tcW w:w="191" w:type="dxa"/>
            <w:tcBorders>
              <w:top w:val="single" w:sz="2" w:space="0" w:color="8FAADC"/>
              <w:left w:val="single" w:sz="2" w:space="0" w:color="8FAADC"/>
              <w:bottom w:val="single" w:sz="2" w:space="0" w:color="8FAADC"/>
            </w:tcBorders>
            <w:shd w:fill="DAE3F3" w:val="clear"/>
            <w:tcMar>
              <w:top w:w="28" w:type="dxa"/>
              <w:left w:w="105"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33" w:name="acls-20231231xex10d9.htm"/>
      <w:bookmarkStart w:id="1434" w:name="ksacls20231231xex10d9"/>
      <w:bookmarkEnd w:id="1433"/>
      <w:bookmarkEnd w:id="1434"/>
      <w:r>
        <w:rPr>
          <w:rFonts w:ascii="Times New Roman;Times;serif" w:hAnsi="Times New Roman;Times;serif"/>
          <w:b/>
          <w:sz w:val="20"/>
        </w:rPr>
        <w:t>Exhibit 10.9</w:t>
      </w:r>
      <w:r>
        <w:br w:type="page"/>
      </w:r>
    </w:p>
    <w:p>
      <w:pPr>
        <w:pStyle w:val="TextBody"/>
        <w:bidi w:val="0"/>
        <w:spacing w:lineRule="auto" w:line="285" w:before="0" w:after="0"/>
        <w:ind w:left="0" w:right="0" w:hanging="0"/>
        <w:jc w:val="center"/>
        <w:rPr>
          <w:rFonts w:ascii="Times New Roman;Times;serif" w:hAnsi="Times New Roman;Times;serif"/>
          <w:b/>
          <w:sz w:val="20"/>
        </w:rPr>
      </w:pPr>
      <w:bookmarkStart w:id="1435" w:name="toc_ki76601_2"/>
      <w:bookmarkStart w:id="1436" w:name="ki76601_axcelis_technologies__in"/>
      <w:bookmarkEnd w:id="1435"/>
      <w:bookmarkEnd w:id="1436"/>
      <w:r>
        <w:rPr>
          <w:rFonts w:ascii="Times New Roman;Times;serif" w:hAnsi="Times New Roman;Times;serif"/>
          <w:b/>
          <w:sz w:val="20"/>
        </w:rPr>
        <w:t>Axcelis Technologies, Inc.</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Non-Employee Director Cash Compensation at February 15, 2024</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Exhibit discloses the current understandings with respect to cash compensation between Axcelis Technologies, Inc. (the “Company”) and each of its non-employee directors. Axcelis provides cash retainers to its non-employee directors, as follows:</w:t>
      </w:r>
      <w:bookmarkStart w:id="1437" w:name="toc_ki76601_3"/>
      <w:bookmarkStart w:id="1438" w:name="ki76601_annual_retainers__paid_q"/>
      <w:bookmarkEnd w:id="1437"/>
      <w:bookmarkEnd w:id="1438"/>
    </w:p>
    <w:tbl>
      <w:tblPr>
        <w:tblW w:w="5882" w:type="dxa"/>
        <w:jc w:val="center"/>
        <w:tblInd w:w="0" w:type="dxa"/>
        <w:tblLayout w:type="fixed"/>
        <w:tblCellMar>
          <w:top w:w="0" w:type="dxa"/>
          <w:left w:w="0" w:type="dxa"/>
          <w:bottom w:w="0" w:type="dxa"/>
          <w:right w:w="0" w:type="dxa"/>
        </w:tblCellMar>
      </w:tblPr>
      <w:tblGrid>
        <w:gridCol w:w="5056"/>
        <w:gridCol w:w="826"/>
      </w:tblGrid>
      <w:tr>
        <w:trPr/>
        <w:tc>
          <w:tcPr>
            <w:tcW w:w="5056" w:type="dxa"/>
            <w:tcBorders/>
            <w:shd w:fill="A5A5A5" w:val="clear"/>
            <w:vAlign w:val="center"/>
          </w:tcPr>
          <w:p>
            <w:pPr>
              <w:pStyle w:val="TableContents"/>
              <w:bidi w:val="0"/>
              <w:spacing w:lineRule="auto" w:line="285" w:before="0" w:after="0"/>
              <w:ind w:left="0" w:right="0" w:hanging="0"/>
              <w:jc w:val="left"/>
              <w:rPr>
                <w:color w:val="FFFFFF"/>
              </w:rPr>
            </w:pPr>
            <w:r>
              <w:rPr>
                <w:color w:val="FFFFFF"/>
              </w:rPr>
              <w:t>​</w:t>
            </w:r>
          </w:p>
        </w:tc>
        <w:tc>
          <w:tcPr>
            <w:tcW w:w="826" w:type="dxa"/>
            <w:tcBorders/>
            <w:shd w:fill="A5A5A5" w:val="clear"/>
            <w:vAlign w:val="center"/>
          </w:tcPr>
          <w:p>
            <w:pPr>
              <w:pStyle w:val="TableContents"/>
              <w:bidi w:val="0"/>
              <w:spacing w:lineRule="auto" w:line="285" w:before="0" w:after="0"/>
              <w:ind w:left="0" w:right="0" w:hanging="0"/>
              <w:jc w:val="left"/>
              <w:rPr>
                <w:color w:val="FFFFFF"/>
              </w:rPr>
            </w:pPr>
            <w:r>
              <w:rPr>
                <w:color w:val="FFFFFF"/>
              </w:rPr>
              <w:t>​</w:t>
            </w:r>
          </w:p>
        </w:tc>
      </w:tr>
      <w:tr>
        <w:trPr/>
        <w:tc>
          <w:tcPr>
            <w:tcW w:w="5882" w:type="dxa"/>
            <w:gridSpan w:val="2"/>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Annual Cash Retainers, paid quarterly in advance</w:t>
            </w:r>
          </w:p>
          <w:p>
            <w:pPr>
              <w:pStyle w:val="TableContents"/>
              <w:bidi w:val="0"/>
              <w:spacing w:lineRule="auto" w:line="285" w:before="0" w:after="0"/>
              <w:ind w:left="0" w:right="0" w:hanging="0"/>
              <w:jc w:val="left"/>
              <w:rPr/>
            </w:pPr>
            <w:r>
              <w:rPr/>
              <w:t>​</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Board Member Retainer</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$60,000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Independent Chairman Premium</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$50,000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Committee Chair Retainers</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pPr>
            <w:r>
              <w:rPr/>
              <w:t>​</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Audit Committee Chairman</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$25,000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Committee Chairman</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$15,000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Nominating and Governance Committee Chairman</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 and Product Development Committee Chairman</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Committee Member (not Chairman) Retainers</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pPr>
            <w:r>
              <w:rPr/>
              <w:t>​</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Audit Committee Member</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Committee Member</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$7,500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Nominating and Governance Committee Member</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$5,000</w:t>
            </w:r>
          </w:p>
        </w:tc>
      </w:tr>
      <w:tr>
        <w:trPr/>
        <w:tc>
          <w:tcPr>
            <w:tcW w:w="505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 and Product Development Committee Member</w:t>
            </w:r>
          </w:p>
        </w:tc>
        <w:tc>
          <w:tcPr>
            <w:tcW w:w="826" w:type="dxa"/>
            <w:tcBorders>
              <w:top w:val="single" w:sz="2" w:space="0" w:color="C9C9C9"/>
              <w:left w:val="single" w:sz="2" w:space="0" w:color="C9C9C9"/>
              <w:bottom w:val="single" w:sz="2" w:space="0" w:color="C9C9C9"/>
              <w:right w:val="single" w:sz="2" w:space="0" w:color="C9C9C9"/>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$5,000</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720"/>
        <w:jc w:val="left"/>
        <w:rPr>
          <w:rFonts w:ascii="Times New Roman;Times;serif" w:hAnsi="Times New Roman;Times;serif"/>
          <w:sz w:val="20"/>
        </w:rPr>
      </w:pPr>
      <w:r>
        <w:rPr>
          <w:rFonts w:ascii="Times New Roman;Times;serif" w:hAnsi="Times New Roman;Times;serif"/>
          <w:sz w:val="20"/>
        </w:rPr>
        <w:t>Non-employee directors also receive reimbursement of out-of-pocket expenses incurred in attending Board and committee meetings. Non-employee directors do not receive any Company-paid perquisites.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Board of Directors may, from time to time, form committees in addition to the Audit, Compensation, Nominating and Governance and Technology and Product Development Committees and set compensation for service on such additional committees.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bookmarkStart w:id="1439" w:name="acls-20231231xex10d14.htm"/>
      <w:bookmarkStart w:id="1440" w:name="ksacls20231231xex10d14"/>
      <w:bookmarkEnd w:id="1439"/>
      <w:bookmarkEnd w:id="1440"/>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10.14</w:t>
      </w:r>
      <w:r>
        <mc:AlternateContent>
          <mc:Choice Requires="wps">
            <w:drawing>
              <wp:anchor behindDoc="0" distT="0" distB="0" distL="0" distR="0" simplePos="0" locked="0" layoutInCell="1" allowOverlap="1" relativeHeight="370">
                <wp:simplePos x="0" y="0"/>
                <wp:positionH relativeFrom="page">
                  <wp:posOffset>0</wp:posOffset>
                </wp:positionH>
                <wp:positionV relativeFrom="line">
                  <wp:posOffset>635</wp:posOffset>
                </wp:positionV>
                <wp:extent cx="6480175" cy="175260"/>
                <wp:effectExtent l="0" t="0" r="0" b="0"/>
                <wp:wrapNone/>
                <wp:docPr id="368"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Axcelis Technologies, Inc.</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Executive Compensation Clawback Policy</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Calibri;Helvetica;sans-serif" w:hAnsi="Calibri;Helvetica;sans-serif"/>
          <w:sz w:val="22"/>
        </w:rPr>
      </w:pPr>
      <w:r>
        <w:rPr>
          <w:rFonts w:ascii="Times New Roman;Times;serif" w:hAnsi="Times New Roman;Times;serif"/>
          <w:sz w:val="24"/>
        </w:rPr>
        <w:t>As adopted by the Board of Directors on August 10, 2023</w:t>
        <w:br/>
      </w:r>
      <w:r>
        <w:rPr>
          <w:rFonts w:ascii="Calibri;Helvetica;sans-serif" w:hAnsi="Calibri;Helvetica;sans-serif"/>
          <w:sz w:val="22"/>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Purpose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The Board of Directors (the “Board”) of Axcelis Technologies, Inc. (the “Company”) believes that it is in the best interest of the Company and its shareholders to maintain a culture that emphasizes integrity and accountability and that reinforces the Company’s compensation philosophy. The Board has therefore adopted this compensation clawback policy (the “Policy”) which provides for the recoupment of incentive-based compensation in the event of an accounting restatement and certain other covered events. This Policy is intended to comply with Section 10D of the Securities Exchange Act of 1934 (the “Act”), the rules promulgated thereunder by the Securities and Exchange Commission, and the listing standards of Nasdaq (collectively, the “Applicable Rules”), and will be interpreted consistent therewith.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 xml:space="preserve">Applicability and Effective Date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This Policy is effective August 10, 2023 (the “Effective Date”) and is applicable to all Incentive-Based Compensation (as defined below) received by Executive Officers (as defined below) after the Effective Date. The Policy will be administered by the Board or, if so designated by the Board, the Compensation Committee of the Board (the “Committee”), in which case references to the Board will be deemed to be references to the Committee. Any determination made by the Board under this Policy will be final and binding on all affected individuals. A member of the Board who is also serving as an Executive Officer shall not participate in any Board determinations related to this Policy. Each Executive Officer shall be required to execute the acknowledgement in Appendix A of this Policy as soon as practicable after the later of (i) the Effective Date and (ii) the date on which the employee is designated as an Executive Officer; provided, however, that failure to execute such acknowledgement shall have no impact on the enforceability of this Policy.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Restatement Clawback</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In the event the Company is required to prepare an Accounting Restatement (as defined below), any Executive Officer who received Excess Compensation (as defined below) during the three (3) completed fiscal years preceding the date the Company is required to prepare an Accounting Restatement (the “Restatement Look-Back Period”) shall be required to repay or forfeit such Excess Compensation reasonably promptly.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Covered Event Clawback</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In the event of a Covered Event (as defined below), any Executive Officer to whom the Covered Event relates shall be required to repay or forfeit the after-tax portion of any compensation other than base pay (including but not limited to Incentive-Based Compensation) received (whether on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10.14</w:t>
      </w:r>
      <w:r>
        <mc:AlternateContent>
          <mc:Choice Requires="wps">
            <w:drawing>
              <wp:anchor behindDoc="0" distT="0" distB="0" distL="0" distR="0" simplePos="0" locked="0" layoutInCell="1" allowOverlap="1" relativeHeight="371">
                <wp:simplePos x="0" y="0"/>
                <wp:positionH relativeFrom="page">
                  <wp:posOffset>0</wp:posOffset>
                </wp:positionH>
                <wp:positionV relativeFrom="line">
                  <wp:posOffset>635</wp:posOffset>
                </wp:positionV>
                <wp:extent cx="6480175" cy="175260"/>
                <wp:effectExtent l="0" t="0" r="0" b="0"/>
                <wp:wrapNone/>
                <wp:docPr id="369"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payment, grant or vesting) during the twelve (12) months prior to the occurrence of such Covered Event (the “Covered Event Look-Back Period”) reasonably promptly.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b/>
          <w:sz w:val="24"/>
        </w:rPr>
      </w:pPr>
      <w:r>
        <w:rPr>
          <w:rFonts w:ascii="Times New Roman;Times;serif" w:hAnsi="Times New Roman;Times;serif"/>
          <w:b/>
          <w:sz w:val="24"/>
        </w:rPr>
        <w:t>Method of Repayment, Conditions for Non-Recovery</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The Board shall have discretion to determine the appropriate means of recovery of Excess Compensation or Incentive-Based Compensation, as applicable, which may include, without limitation, direct payment in a lump sum from the Executive Officer, recovery over time, cancellation of outstanding awards, the reduction of future pay and/or awards, and/or any other method which the Board determines is advisable to achieve reasonably prompt recovery of such Excess Compensation or Incentive-Based Compensation. At the direction of the Board, the Company shall take all actions reasonable and appropriate to recover Excess Compensation or Incentive-Based Compensation, as applicable, from any applicable Executive Officer, and such Executive Officer shall be required to reimburse the Company for any and all expenses reasonably incurred (including legal fees) by the Company in recovering such Excess Compensation or Incentive-Based Compensation in accordance with this Policy.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Calibri;Helvetica;sans-serif" w:hAnsi="Calibri;Helvetica;sans-serif"/>
          <w:sz w:val="22"/>
        </w:rPr>
      </w:pPr>
      <w:r>
        <w:rPr>
          <w:rFonts w:ascii="Times New Roman;Times;serif" w:hAnsi="Times New Roman;Times;serif"/>
          <w:sz w:val="24"/>
        </w:rPr>
        <w:t>The Board may determine that repayment of Excess Compensation or Incentive-Based Compensation (or a portion thereof) is not required only where</w:t>
      </w:r>
      <w:r>
        <w:rPr>
          <w:rFonts w:ascii="Calibri;Helvetica;sans-serif" w:hAnsi="Calibri;Helvetica;sans-serif"/>
          <w:sz w:val="22"/>
        </w:rPr>
        <w:t xml:space="preserve"> </w:t>
      </w:r>
      <w:r>
        <w:rPr>
          <w:rFonts w:ascii="Times New Roman;Times;serif" w:hAnsi="Times New Roman;Times;serif"/>
          <w:sz w:val="24"/>
        </w:rPr>
        <w:t>it determines that recovery would be impracticable and one of the following circumstances exists: (i) the direct expense paid to a third party to assist in enforcing this Policy would exceed the amount to be recovered, provided the Company has (A) made a reasonable attempt to recover such compensation, (B) documented such reasonable attempt, and (C) provided such documentation to Nasdaq; or (ii)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No Fault Application, No Indemnification</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Recovery of erroneously received compensation under this Policy in connection with an Accounting Restatement is on a “no fault” basis, meaning that it will occur regardless of whether the Executive Officer engaged in misconduct or was otherwise directly or indirectly responsible, in whole or in part, for the Accounting Restatement. No Executive Officer may be indemnified by the Company, or any of its affiliates, from losses arising from the application of this Policy.</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Definitions</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For purposes of this Policy, the following definitions will apply: </w:t>
      </w:r>
    </w:p>
    <w:p>
      <w:pPr>
        <w:pStyle w:val="TextBody"/>
        <w:bidi w:val="0"/>
        <w:spacing w:lineRule="auto" w:line="307" w:before="0" w:after="160"/>
        <w:ind w:left="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b/>
          <w:sz w:val="24"/>
        </w:rPr>
        <w:t>Accounting Restatement”</w:t>
      </w:r>
      <w:r>
        <w:rPr>
          <w:rFonts w:ascii="Calibri;Helvetica;sans-serif" w:hAnsi="Calibri;Helvetica;sans-serif"/>
          <w:sz w:val="22"/>
        </w:rPr>
        <w:t xml:space="preserve"> </w:t>
      </w:r>
      <w:r>
        <w:rPr>
          <w:rFonts w:ascii="Times New Roman;Times;serif" w:hAnsi="Times New Roman;Times;serif"/>
          <w:sz w:val="24"/>
        </w:rPr>
        <w:t xml:space="preserve">means an accounting restatement due to the material noncompliance of the Company with any financial reporting requirement under securities laws, including any required accounting restatement to correct an error in previously issued financial statements that is material to the previously issued financial statements, or that corrects an error that is not material to previously issued financial statements but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10.14</w:t>
      </w:r>
      <w:r>
        <mc:AlternateContent>
          <mc:Choice Requires="wps">
            <w:drawing>
              <wp:anchor behindDoc="0" distT="0" distB="0" distL="0" distR="0" simplePos="0" locked="0" layoutInCell="1" allowOverlap="1" relativeHeight="372">
                <wp:simplePos x="0" y="0"/>
                <wp:positionH relativeFrom="page">
                  <wp:posOffset>0</wp:posOffset>
                </wp:positionH>
                <wp:positionV relativeFrom="line">
                  <wp:posOffset>635</wp:posOffset>
                </wp:positionV>
                <wp:extent cx="6480175" cy="175260"/>
                <wp:effectExtent l="0" t="0" r="0" b="0"/>
                <wp:wrapNone/>
                <wp:docPr id="370"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would result in a material misstatement if the error were corrected in the current period or left uncorrected in the current period.</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Changes to financial statements that do not constitute an Accounting Restatement include retrospective: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(v) adjustments to provisional amounts in connection with a prior business combination; and (vi) revisions for stock splits, reverse stock splits, stock dividends, or other changes in capital structure.</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b/>
          <w:sz w:val="24"/>
        </w:rPr>
        <w:t>Covered Event”</w:t>
      </w:r>
      <w:r>
        <w:rPr>
          <w:rFonts w:ascii="Calibri;Helvetica;sans-serif" w:hAnsi="Calibri;Helvetica;sans-serif"/>
          <w:sz w:val="22"/>
        </w:rPr>
        <w:t xml:space="preserve"> </w:t>
      </w:r>
      <w:r>
        <w:rPr>
          <w:rFonts w:ascii="Times New Roman;Times;serif" w:hAnsi="Times New Roman;Times;serif"/>
          <w:sz w:val="24"/>
        </w:rPr>
        <w:t xml:space="preserve">means, with respect to an Executive Officer, any material violation of any agreement between the Company and such Executive Officer or violation of any material policy of the Company applicable to such Executive Officer, including but not limited to (i) acts of fraud, other legal non-compliance or ethical violations prohibited by the Company’s Ethical Business Conduct Policy or (ii) violations of the Assignment of Inventions and Confidentiality Agreement between the Executive Officer and the Company. </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b/>
          <w:sz w:val="24"/>
        </w:rPr>
        <w:t xml:space="preserve">Excess Compensation” </w:t>
      </w:r>
      <w:r>
        <w:rPr>
          <w:rFonts w:ascii="Times New Roman;Times;serif" w:hAnsi="Times New Roman;Times;serif"/>
          <w:sz w:val="24"/>
        </w:rPr>
        <w:t>means any amount of Incentive-Based Compensation received by an Executive Officer that exceeds the amount of Incentive-Based Compensation that otherwise would have been received had it been determined based on the Accounting Restatement, computed without regard to any taxes paid. For Incentive-Based Compensation based on stock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 stock price or total shareholder return, as applicable, and the Company shall retain documentation of the determination of such estimate and provide such documentation to Nasdaq if so required by the Applicable Rules. Incentive-Based Compensation is deemed received during the fiscal year during which the applicable financial reporting measure, stock price and/or total shareholder return measure, upon which the payment is based, is achieved, even if the grant or payment occurs after the end of such period.</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b/>
          <w:sz w:val="24"/>
        </w:rPr>
        <w:t>Executive Officer”</w:t>
      </w:r>
      <w:r>
        <w:rPr>
          <w:rFonts w:ascii="Calibri;Helvetica;sans-serif" w:hAnsi="Calibri;Helvetica;sans-serif"/>
          <w:sz w:val="22"/>
        </w:rPr>
        <w:t xml:space="preserve"> </w:t>
      </w:r>
      <w:r>
        <w:rPr>
          <w:rFonts w:ascii="Times New Roman;Times;serif" w:hAnsi="Times New Roman;Times;serif"/>
          <w:sz w:val="24"/>
        </w:rPr>
        <w:t xml:space="preserve">means an individual who is, or was during the applicable Look-Back Period, an executive officer of the Company within the meaning of Rule 10D-1(d) under the Act, as well as any other officer or employee designated as an “Executive Officer” for purposes of this Policy from time to time. </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b/>
          <w:sz w:val="24"/>
        </w:rPr>
        <w:t>Incentive-Based Compensation”</w:t>
      </w:r>
      <w:r>
        <w:rPr>
          <w:rFonts w:ascii="Calibri;Helvetica;sans-serif" w:hAnsi="Calibri;Helvetica;sans-serif"/>
          <w:sz w:val="22"/>
        </w:rPr>
        <w:t xml:space="preserve"> </w:t>
      </w:r>
      <w:r>
        <w:rPr>
          <w:rFonts w:ascii="Times New Roman;Times;serif" w:hAnsi="Times New Roman;Times;serif"/>
          <w:sz w:val="24"/>
        </w:rPr>
        <w:t xml:space="preserve">means any compensation that is granted, earned or vested based wholly or in part on stock price, total shareholder return, and/or the attainment of (i) any financial reporting measure(s) that are determined and presented in accordance with the accounting principles using in preparing the Company’s financial statements and/or (ii) any other measures that are derived in whole or in part from such measures.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10.14</w:t>
      </w:r>
      <w:r>
        <mc:AlternateContent>
          <mc:Choice Requires="wps">
            <w:drawing>
              <wp:anchor behindDoc="0" distT="0" distB="0" distL="0" distR="0" simplePos="0" locked="0" layoutInCell="1" allowOverlap="1" relativeHeight="373">
                <wp:simplePos x="0" y="0"/>
                <wp:positionH relativeFrom="page">
                  <wp:posOffset>0</wp:posOffset>
                </wp:positionH>
                <wp:positionV relativeFrom="line">
                  <wp:posOffset>635</wp:posOffset>
                </wp:positionV>
                <wp:extent cx="6480175" cy="175260"/>
                <wp:effectExtent l="0" t="0" r="0" b="0"/>
                <wp:wrapNone/>
                <wp:docPr id="371"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Compensation that does not constitute “Incentive-Based Compensation” includes equity incentive awards for which the grant is not contingent upon achieving any financial reporting measure or other performance goal and that vests exclusively upon completion of a specified employment period, without any performance condition, and bonus awards that are discretionary or based on subjective goals or goals unrelated to financial reporting measures. </w:t>
      </w:r>
    </w:p>
    <w:p>
      <w:pPr>
        <w:pStyle w:val="TextBody"/>
        <w:bidi w:val="0"/>
        <w:spacing w:lineRule="auto" w:line="307" w:before="0" w:after="160"/>
        <w:ind w:left="720" w:right="0" w:hanging="0"/>
        <w:jc w:val="left"/>
        <w:rPr/>
      </w:pPr>
      <w:r>
        <w:rPr/>
        <w:t>​</w:t>
      </w:r>
    </w:p>
    <w:p>
      <w:pPr>
        <w:pStyle w:val="TextBody"/>
        <w:bidi w:val="0"/>
        <w:spacing w:lineRule="auto" w:line="285" w:before="0" w:after="0"/>
        <w:ind w:left="720" w:right="0" w:hanging="0"/>
        <w:jc w:val="left"/>
        <w:rPr/>
      </w:pPr>
      <w:r>
        <w:rPr/>
        <w:t>“</w:t>
      </w:r>
      <w:r>
        <w:rPr>
          <w:rFonts w:ascii="Times New Roman;Times;serif" w:hAnsi="Times New Roman;Times;serif"/>
          <w:b/>
          <w:sz w:val="24"/>
        </w:rPr>
        <w:t>Look-Back Period”</w:t>
      </w:r>
      <w:r>
        <w:rPr>
          <w:rFonts w:ascii="Calibri;Helvetica;sans-serif" w:hAnsi="Calibri;Helvetica;sans-serif"/>
          <w:sz w:val="22"/>
        </w:rPr>
        <w:t xml:space="preserve"> </w:t>
      </w:r>
      <w:r>
        <w:rPr>
          <w:rFonts w:ascii="Times New Roman;Times;serif" w:hAnsi="Times New Roman;Times;serif"/>
          <w:sz w:val="24"/>
        </w:rPr>
        <w:t xml:space="preserve">means the Restatement Look-Back Period or Covered Event Look-Back Period, as applicable. </w:t>
      </w:r>
    </w:p>
    <w:p>
      <w:pPr>
        <w:pStyle w:val="TextBody"/>
        <w:bidi w:val="0"/>
        <w:spacing w:lineRule="auto" w:line="307" w:before="0" w:after="160"/>
        <w:ind w:left="720" w:right="0" w:hanging="0"/>
        <w:jc w:val="left"/>
        <w:rPr/>
      </w:pPr>
      <w:r>
        <w:rPr/>
        <w:t>​</w:t>
      </w:r>
    </w:p>
    <w:p>
      <w:pPr>
        <w:pStyle w:val="TextBody"/>
        <w:bidi w:val="0"/>
        <w:spacing w:lineRule="auto" w:line="285" w:before="0" w:after="0"/>
        <w:ind w:left="0" w:right="0" w:hanging="0"/>
        <w:jc w:val="left"/>
        <w:rPr>
          <w:rFonts w:ascii="Calibri;Helvetica;sans-serif" w:hAnsi="Calibri;Helvetica;sans-serif"/>
          <w:sz w:val="22"/>
        </w:rPr>
      </w:pPr>
      <w:r>
        <w:rPr>
          <w:rFonts w:ascii="Times New Roman;Times;serif" w:hAnsi="Times New Roman;Times;serif"/>
          <w:b/>
          <w:sz w:val="24"/>
        </w:rPr>
        <w:t>Administration, Amendment, and Termination</w:t>
      </w:r>
      <w:r>
        <w:rPr>
          <w:rFonts w:ascii="Calibri;Helvetica;sans-serif" w:hAnsi="Calibri;Helvetica;sans-serif"/>
          <w:sz w:val="22"/>
        </w:rPr>
        <w:t xml:space="preserve">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This Policy will be enforced, and appropriate proxy disclosures and exhibit filings will be made, in accordance with the Applicable Rules and any other applicable rules and regulations of the Securities and Exchange Commission and applicable Nasdaq listing standards.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The Board shall have authority to (i) exercise all of the powers granted to it under the Policy, (ii) construe, interpret, and implement this Policy, and (iii) make all determinations necessary or advisable in administering this Policy.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In addition, the Board may amend this Policy, from time to time in its discretion, and shall amend this Policy, as it deems necessary, including to reflect changes in applicable law. The Board may terminate this Policy at any time. Any such amendment (or provision thereof) or termination shall not be effective if such amendment or termination would (after taking into account any actions taken by the Company contemporaneously with such amendment or termination) cause the Company to violate the Applicable Rules.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In the event of any conflict or inconsistency between this Policy and any other policies, plans, or other materials of the Company, this Policy will govern.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This Policy will be deemed to be automatically updated to incorporate any requirement of law, the Securities and Exchange Commission, exchange listing standard, rule or regulation applicable to the Company. </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10.14</w:t>
      </w:r>
      <w:r>
        <mc:AlternateContent>
          <mc:Choice Requires="wps">
            <w:drawing>
              <wp:anchor behindDoc="0" distT="0" distB="0" distL="0" distR="0" simplePos="0" locked="0" layoutInCell="1" allowOverlap="1" relativeHeight="374">
                <wp:simplePos x="0" y="0"/>
                <wp:positionH relativeFrom="page">
                  <wp:posOffset>0</wp:posOffset>
                </wp:positionH>
                <wp:positionV relativeFrom="line">
                  <wp:posOffset>635</wp:posOffset>
                </wp:positionV>
                <wp:extent cx="6480175" cy="175260"/>
                <wp:effectExtent l="0" t="0" r="0" b="0"/>
                <wp:wrapNone/>
                <wp:docPr id="372"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Appendix A: </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Axcelis Technologies, Inc.</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Executive Compensation Clawback Policy</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ACKNOWLEDGMENT</w: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The undersigned acknowledges and agrees that the undersigned (i) is, and will be, subject to the Executive Compensation Clawback Policy to which this acknowledgement is appended, and (ii) will abide by the terms of the Executive Compensation Clawback Policy, including by returning Excess Compensation or Incentive-Based Compensation (as defined in the Executive Compensation Clawback Policy) pursuant to whatever method the Board determines is advisable to achieve reasonably prompt recovery of such Excess Compensation or Incentive-Based Compensation, as applicable, as prescribed under the Policy. </w:t>
      </w:r>
    </w:p>
    <w:p>
      <w:pPr>
        <w:pStyle w:val="TextBody"/>
        <w:bidi w:val="0"/>
        <w:spacing w:lineRule="auto" w:line="307" w:before="0" w:after="160"/>
        <w:ind w:left="0" w:right="0" w:hanging="0"/>
        <w:jc w:val="left"/>
        <w:rPr/>
      </w:pPr>
      <w:r>
        <w:rPr/>
        <w:t>​</w:t>
      </w:r>
    </w:p>
    <w:tbl>
      <w:tblPr>
        <w:tblW w:w="1353" w:type="dxa"/>
        <w:jc w:val="left"/>
        <w:tblInd w:w="0" w:type="dxa"/>
        <w:tblLayout w:type="fixed"/>
        <w:tblCellMar>
          <w:top w:w="0" w:type="dxa"/>
          <w:left w:w="0" w:type="dxa"/>
          <w:bottom w:w="0" w:type="dxa"/>
          <w:right w:w="0" w:type="dxa"/>
        </w:tblCellMar>
      </w:tblPr>
      <w:tblGrid>
        <w:gridCol w:w="1063"/>
        <w:gridCol w:w="23"/>
        <w:gridCol w:w="113"/>
        <w:gridCol w:w="154"/>
      </w:tblGrid>
      <w:tr>
        <w:trPr/>
        <w:tc>
          <w:tcPr>
            <w:tcW w:w="1086" w:type="dxa"/>
            <w:gridSpan w:val="2"/>
            <w:tcBorders/>
            <w:vAlign w:val="center"/>
          </w:tcPr>
          <w:p>
            <w:pPr>
              <w:pStyle w:val="TableContents"/>
              <w:bidi w:val="0"/>
              <w:spacing w:before="0" w:after="0"/>
              <w:ind w:left="0" w:right="0" w:hanging="0"/>
              <w:jc w:val="both"/>
              <w:rPr/>
            </w:pPr>
            <w:r>
              <w:rPr/>
              <w:t>​</w:t>
            </w:r>
          </w:p>
        </w:tc>
        <w:tc>
          <w:tcPr>
            <w:tcW w:w="11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86" w:type="dxa"/>
            <w:gridSpan w:val="2"/>
            <w:tcBorders/>
            <w:vAlign w:val="center"/>
          </w:tcPr>
          <w:p>
            <w:pPr>
              <w:pStyle w:val="TableContents"/>
              <w:bidi w:val="0"/>
              <w:spacing w:before="0" w:after="0"/>
              <w:ind w:left="0" w:right="0" w:hanging="0"/>
              <w:jc w:val="both"/>
              <w:rPr/>
            </w:pPr>
            <w:r>
              <w:rPr/>
              <w:t>​</w:t>
            </w:r>
          </w:p>
        </w:tc>
        <w:tc>
          <w:tcPr>
            <w:tcW w:w="11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pBdr>
                <w:bottom w:val="single" w:sz="2" w:space="1" w:color="000000"/>
              </w:pBdr>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Print Name</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pBdr>
                <w:bottom w:val="single" w:sz="2" w:space="1" w:color="000000"/>
              </w:pBdr>
              <w:bidi w:val="0"/>
              <w:spacing w:before="0" w:after="0"/>
              <w:ind w:left="0" w:right="0" w:hanging="0"/>
              <w:jc w:val="both"/>
              <w:rPr/>
            </w:pPr>
            <w:r>
              <w:rPr/>
              <w:t>​</w:t>
            </w:r>
          </w:p>
        </w:tc>
        <w:tc>
          <w:tcPr>
            <w:tcW w:w="136" w:type="dxa"/>
            <w:gridSpan w:val="2"/>
            <w:vMerge w:val="restart"/>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063"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Signature</w:t>
            </w:r>
          </w:p>
        </w:tc>
        <w:tc>
          <w:tcPr>
            <w:tcW w:w="136" w:type="dxa"/>
            <w:gridSpan w:val="2"/>
            <w:vMerge w:val="continue"/>
            <w:tcBorders/>
            <w:vAlign w:val="center"/>
          </w:tcPr>
          <w:p>
            <w:pPr>
              <w:pStyle w:val="Normal"/>
              <w:bidi w:val="0"/>
              <w:jc w:val="left"/>
              <w:rPr/>
            </w:pPr>
            <w:r>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199" w:type="dxa"/>
            <w:gridSpan w:val="3"/>
            <w:tcBorders/>
            <w:vAlign w:val="center"/>
          </w:tcPr>
          <w:p>
            <w:pPr>
              <w:pStyle w:val="TableContents"/>
              <w:bidi w:val="0"/>
              <w:spacing w:before="0" w:after="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199" w:type="dxa"/>
            <w:gridSpan w:val="3"/>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Dated:  </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bookmarkStart w:id="1441" w:name="acls-20231231xex19d1.htm"/>
      <w:bookmarkStart w:id="1442" w:name="ksacls20231231xex19d1"/>
      <w:bookmarkEnd w:id="1441"/>
      <w:bookmarkEnd w:id="1442"/>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19.1</w:t>
      </w:r>
      <w:r>
        <mc:AlternateContent>
          <mc:Choice Requires="wps">
            <w:drawing>
              <wp:anchor behindDoc="0" distT="0" distB="0" distL="0" distR="0" simplePos="0" locked="0" layoutInCell="1" allowOverlap="1" relativeHeight="375">
                <wp:simplePos x="0" y="0"/>
                <wp:positionH relativeFrom="page">
                  <wp:posOffset>0</wp:posOffset>
                </wp:positionH>
                <wp:positionV relativeFrom="line">
                  <wp:posOffset>635</wp:posOffset>
                </wp:positionV>
                <wp:extent cx="6480175" cy="175260"/>
                <wp:effectExtent l="0" t="0" r="0" b="0"/>
                <wp:wrapNone/>
                <wp:docPr id="373"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83"/>
        <w:jc w:val="left"/>
        <w:rPr/>
      </w:pPr>
      <w:r>
        <w:rPr/>
        <w:drawing>
          <wp:inline distT="0" distB="0" distL="0" distR="0">
            <wp:extent cx="1714500" cy="381000"/>
            <wp:effectExtent l="0" t="0" r="0" b="0"/>
            <wp:docPr id="37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 descr=""/>
                    <pic:cNvPicPr>
                      <a:picLocks noChangeAspect="1" noChangeArrowheads="1"/>
                    </pic:cNvPicPr>
                  </pic:nvPicPr>
                  <pic:blipFill>
                    <a:blip r:embed="rId17"/>
                    <a:stretch>
                      <a:fillRect/>
                    </a:stretch>
                  </pic:blipFill>
                  <pic:spPr bwMode="auto">
                    <a:xfrm>
                      <a:off x="0" y="0"/>
                      <a:ext cx="1714500" cy="381000"/>
                    </a:xfrm>
                    <a:prstGeom prst="rect">
                      <a:avLst/>
                    </a:prstGeom>
                  </pic:spPr>
                </pic:pic>
              </a:graphicData>
            </a:graphic>
          </wp:inline>
        </w:drawing>
      </w:r>
    </w:p>
    <w:p>
      <w:pPr>
        <w:pStyle w:val="TextBody"/>
        <w:pBdr>
          <w:bottom w:val="single" w:sz="12" w:space="1" w:color="000000"/>
        </w:pBdr>
        <w:bidi w:val="0"/>
        <w:spacing w:lineRule="auto" w:line="285" w:before="240" w:after="60"/>
        <w:ind w:left="0" w:right="0" w:hanging="0"/>
        <w:jc w:val="left"/>
        <w:rPr>
          <w:rFonts w:ascii="Arial;Helvetica;sans-serif" w:hAnsi="Arial;Helvetica;sans-serif"/>
          <w:b/>
          <w:sz w:val="32"/>
        </w:rPr>
      </w:pPr>
      <w:r>
        <w:rPr>
          <w:rFonts w:ascii="Arial;Helvetica;sans-serif" w:hAnsi="Arial;Helvetica;sans-serif"/>
          <w:b/>
          <w:sz w:val="32"/>
        </w:rPr>
        <w:t xml:space="preserve">Insider Trading Policy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rFonts w:ascii="Arial;Helvetica;sans-serif" w:hAnsi="Arial;Helvetica;sans-serif"/>
          <w:b/>
          <w:sz w:val="22"/>
        </w:rPr>
      </w:pPr>
      <w:r>
        <w:rPr>
          <w:rFonts w:ascii="Arial;Helvetica;sans-serif" w:hAnsi="Arial;Helvetica;sans-serif"/>
          <w:b/>
          <w:sz w:val="22"/>
        </w:rPr>
        <w:t>Axcelis Technologies, Inc.</w:t>
      </w:r>
    </w:p>
    <w:p>
      <w:pPr>
        <w:pStyle w:val="TextBody"/>
        <w:bidi w:val="0"/>
        <w:spacing w:lineRule="auto" w:line="307" w:before="0" w:after="160"/>
        <w:ind w:left="0" w:right="0" w:hanging="0"/>
        <w:jc w:val="left"/>
        <w:rPr>
          <w:rFonts w:ascii="Arial;Helvetica;sans-serif" w:hAnsi="Arial;Helvetica;sans-serif"/>
          <w:sz w:val="22"/>
        </w:rPr>
      </w:pPr>
      <w:r>
        <w:rPr>
          <w:rFonts w:ascii="Arial;Helvetica;sans-serif" w:hAnsi="Arial;Helvetica;sans-serif"/>
          <w:sz w:val="22"/>
        </w:rPr>
        <w:t>108 Cherry Hill Drive</w:t>
      </w:r>
    </w:p>
    <w:p>
      <w:pPr>
        <w:pStyle w:val="TextBody"/>
        <w:bidi w:val="0"/>
        <w:spacing w:lineRule="auto" w:line="307" w:before="0" w:after="160"/>
        <w:ind w:left="0" w:right="0" w:hanging="0"/>
        <w:jc w:val="left"/>
        <w:rPr>
          <w:rFonts w:ascii="Arial;Helvetica;sans-serif" w:hAnsi="Arial;Helvetica;sans-serif"/>
          <w:sz w:val="22"/>
        </w:rPr>
      </w:pPr>
      <w:r>
        <w:rPr>
          <w:rFonts w:ascii="Arial;Helvetica;sans-serif" w:hAnsi="Arial;Helvetica;sans-serif"/>
          <w:sz w:val="22"/>
        </w:rPr>
        <w:t>Beverly, MA 01915</w:t>
      </w:r>
    </w:p>
    <w:p>
      <w:pPr>
        <w:pStyle w:val="TextBody"/>
        <w:bidi w:val="0"/>
        <w:spacing w:lineRule="auto" w:line="307" w:before="0" w:after="160"/>
        <w:ind w:left="0" w:right="0" w:hanging="0"/>
        <w:jc w:val="both"/>
        <w:rPr/>
      </w:pPr>
      <w:r>
        <w:rPr/>
        <w:t>​</w:t>
      </w:r>
    </w:p>
    <w:p>
      <w:pPr>
        <w:pStyle w:val="TextBody"/>
        <w:bidi w:val="0"/>
        <w:spacing w:lineRule="auto" w:line="285" w:before="0" w:after="240"/>
        <w:ind w:left="0" w:right="0" w:hanging="0"/>
        <w:jc w:val="left"/>
        <w:rPr>
          <w:rFonts w:ascii="Arial;Helvetica;sans-serif" w:hAnsi="Arial;Helvetica;sans-serif"/>
          <w:b/>
          <w:smallCaps/>
          <w:sz w:val="22"/>
        </w:rPr>
      </w:pPr>
      <w:r>
        <w:rPr>
          <w:rFonts w:ascii="Arial;Helvetica;sans-serif" w:hAnsi="Arial;Helvetica;sans-serif"/>
          <w:b/>
          <w:smallCaps/>
          <w:sz w:val="22"/>
        </w:rPr>
        <w:t>Company Policy as Dictated by Federal Law</w:t>
      </w:r>
    </w:p>
    <w:p>
      <w:pPr>
        <w:pStyle w:val="TextBody"/>
        <w:bidi w:val="0"/>
        <w:spacing w:lineRule="auto" w:line="307" w:before="0" w:after="240"/>
        <w:ind w:left="0" w:right="0" w:hanging="0"/>
        <w:jc w:val="left"/>
        <w:rPr>
          <w:rFonts w:ascii="Calibri;Helvetica;sans-serif" w:hAnsi="Calibri;Helvetica;sans-serif"/>
          <w:sz w:val="22"/>
        </w:rPr>
      </w:pPr>
      <w:r>
        <w:rPr>
          <w:rFonts w:ascii="Arial;Helvetica;sans-serif" w:hAnsi="Arial;Helvetica;sans-serif"/>
          <w:sz w:val="22"/>
        </w:rPr>
        <w:t xml:space="preserve">There are certain federal laws and regulations that public companies must abide by in order to protect themselves, their employees, and their shareholders. The federal laws prohibiting what is commonly known as “insider trading” are a prime example of such provisions. The definition of insider trading is as follows: </w:t>
      </w:r>
      <w:r>
        <w:rPr>
          <w:rFonts w:ascii="Arial;Helvetica;sans-serif" w:hAnsi="Arial;Helvetica;sans-serif"/>
          <w:i/>
          <w:sz w:val="22"/>
        </w:rPr>
        <w:t>The buying or selling of common stock or other company securities while in possession of material non-public information relating to that company. Insider trading also includes the passing of any inside information to someone else who then acts on it by buying or selling company stock.</w: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Our policy simply states that it is illegal for any Axcelis employee to engage in insider trading in violation of existing federal laws. This policy also applies to inside information about any other company with whom Axcelis is negotiating or does business. No employee may trade in the securities of any company on the basis of such information, nor may you communicate the information to others. These same restrictions apply to family members and others living in your household, and you are responsible for their compliance.</w: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What this statement boils down to is using common sense. If you use common sense when dealing with company information that is not yet public, you won’t have any problems. If you don’t, there is the chance that you will be caught and will pay the price. Axcelis does reserve the right to discipline any employee who violates this policy, and also reserves the right to terminate his or her employment with Axcelis.</w: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The reason why this topic is so important is that even the appearance of insider trading can be devastating to an individual’s personal and professional life. In addition, the leakage of inside information could force Axcelis to announce news we were not ready to announce, harming our business strategies.</w:t>
      </w:r>
    </w:p>
    <w:p>
      <w:pPr>
        <w:pStyle w:val="TextBody"/>
        <w:bidi w:val="0"/>
        <w:spacing w:lineRule="auto" w:line="307" w:before="0" w:after="240"/>
        <w:ind w:left="0" w:right="0" w:hanging="0"/>
        <w:jc w:val="both"/>
        <w:rPr>
          <w:rFonts w:ascii="Arial;Helvetica;sans-serif" w:hAnsi="Arial;Helvetica;sans-serif"/>
          <w:b/>
          <w:smallCaps/>
          <w:sz w:val="22"/>
        </w:rPr>
      </w:pPr>
      <w:r>
        <w:rPr>
          <w:rFonts w:ascii="Arial;Helvetica;sans-serif" w:hAnsi="Arial;Helvetica;sans-serif"/>
          <w:b/>
          <w:smallCaps/>
          <w:sz w:val="22"/>
        </w:rPr>
        <w:t>Possible Consequences of Violating this Policy</w:t>
      </w:r>
    </w:p>
    <w:p>
      <w:pPr>
        <w:pStyle w:val="TextBody"/>
        <w:bidi w:val="0"/>
        <w:spacing w:lineRule="auto" w:line="307" w:before="0" w:after="240"/>
        <w:ind w:left="0" w:right="0" w:hanging="0"/>
        <w:jc w:val="left"/>
        <w:rPr>
          <w:rFonts w:ascii="Calibri;Helvetica;sans-serif" w:hAnsi="Calibri;Helvetica;sans-serif"/>
          <w:sz w:val="22"/>
        </w:rPr>
      </w:pPr>
      <w:r>
        <w:rPr>
          <w:rFonts w:ascii="Arial;Helvetica;sans-serif" w:hAnsi="Arial;Helvetica;sans-serif"/>
          <w:sz w:val="22"/>
        </w:rPr>
        <w:t xml:space="preserve">There are very heavy penalties imposed by federal law for those employees who </w:t>
      </w:r>
      <w:r>
        <w:rPr>
          <w:rFonts w:ascii="Arial;Helvetica;sans-serif" w:hAnsi="Arial;Helvetica;sans-serif"/>
          <w:sz w:val="22"/>
          <w:u w:val="single"/>
        </w:rPr>
        <w:t>either</w:t>
      </w:r>
      <w:r>
        <w:rPr>
          <w:rFonts w:ascii="Calibri;Helvetica;sans-serif" w:hAnsi="Calibri;Helvetica;sans-serif"/>
          <w:sz w:val="22"/>
        </w:rPr>
        <w:t xml:space="preserve"> </w:t>
      </w:r>
      <w:r>
        <w:rPr>
          <w:rFonts w:ascii="Arial;Helvetica;sans-serif" w:hAnsi="Arial;Helvetica;sans-serif"/>
          <w:sz w:val="22"/>
        </w:rPr>
        <w:t xml:space="preserve">buy or sell securities while in possession of inside information </w:t>
      </w:r>
      <w:r>
        <w:rPr>
          <w:rFonts w:ascii="Arial;Helvetica;sans-serif" w:hAnsi="Arial;Helvetica;sans-serif"/>
          <w:sz w:val="22"/>
          <w:u w:val="single"/>
        </w:rPr>
        <w:t>or</w:t>
      </w:r>
      <w:r>
        <w:rPr>
          <w:rFonts w:ascii="Calibri;Helvetica;sans-serif" w:hAnsi="Calibri;Helvetica;sans-serif"/>
          <w:sz w:val="22"/>
        </w:rPr>
        <w:t xml:space="preserve"> </w:t>
      </w:r>
      <w:r>
        <w:rPr>
          <w:rFonts w:ascii="Arial;Helvetica;sans-serif" w:hAnsi="Arial;Helvetica;sans-serif"/>
          <w:sz w:val="22"/>
        </w:rPr>
        <w:t>pass the inside information along to others who use it to buy or sell securities (known as “tipping”). Potential penalties include civil and criminal fines and imprisonment.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19.1</w:t>
      </w:r>
      <w:r>
        <mc:AlternateContent>
          <mc:Choice Requires="wps">
            <w:drawing>
              <wp:anchor behindDoc="0" distT="0" distB="0" distL="0" distR="0" simplePos="0" locked="0" layoutInCell="1" allowOverlap="1" relativeHeight="376">
                <wp:simplePos x="0" y="0"/>
                <wp:positionH relativeFrom="page">
                  <wp:posOffset>0</wp:posOffset>
                </wp:positionH>
                <wp:positionV relativeFrom="line">
                  <wp:posOffset>635</wp:posOffset>
                </wp:positionV>
                <wp:extent cx="6480175" cy="175260"/>
                <wp:effectExtent l="0" t="0" r="0" b="0"/>
                <wp:wrapNone/>
                <wp:docPr id="375"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In addition, Axcelis and any supervisor of an employee who trades with or tips inside information may face penalties if Axcelis and the supervisor(s) fail to take appropriate steps to prevent such trading.:</w:t>
      </w:r>
    </w:p>
    <w:p>
      <w:pPr>
        <w:pStyle w:val="TextBody"/>
        <w:pBdr/>
        <w:bidi w:val="0"/>
        <w:spacing w:lineRule="auto" w:line="307" w:before="0" w:after="160"/>
        <w:ind w:left="0" w:right="0" w:hanging="0"/>
        <w:jc w:val="both"/>
        <w:rPr/>
      </w:pPr>
      <w:r>
        <w:rPr/>
        <w:t>​</w:t>
      </w:r>
    </w:p>
    <w:p>
      <w:pPr>
        <w:pStyle w:val="TextBody"/>
        <w:bidi w:val="0"/>
        <w:spacing w:lineRule="auto" w:line="307" w:before="0" w:after="240"/>
        <w:ind w:left="0" w:right="0" w:hanging="0"/>
        <w:jc w:val="both"/>
        <w:rPr>
          <w:rFonts w:ascii="Arial;Helvetica;sans-serif" w:hAnsi="Arial;Helvetica;sans-serif"/>
          <w:b/>
          <w:smallCaps/>
          <w:sz w:val="22"/>
        </w:rPr>
      </w:pPr>
      <w:r>
        <w:rPr>
          <w:rFonts w:ascii="Arial;Helvetica;sans-serif" w:hAnsi="Arial;Helvetica;sans-serif"/>
          <w:b/>
          <w:smallCaps/>
          <w:sz w:val="22"/>
        </w:rPr>
        <w:t>What is Material and Non-Public Information?</w:t>
      </w:r>
    </w:p>
    <w:p>
      <w:pPr>
        <w:pStyle w:val="TextBody"/>
        <w:bidi w:val="0"/>
        <w:spacing w:lineRule="auto" w:line="307" w:before="0" w:after="240"/>
        <w:ind w:left="0" w:right="0" w:hanging="0"/>
        <w:jc w:val="left"/>
        <w:rPr>
          <w:rFonts w:ascii="Calibri;Helvetica;sans-serif" w:hAnsi="Calibri;Helvetica;sans-serif"/>
          <w:sz w:val="22"/>
        </w:rPr>
      </w:pPr>
      <w:r>
        <w:rPr>
          <w:rFonts w:ascii="Arial;Helvetica;sans-serif" w:hAnsi="Arial;Helvetica;sans-serif"/>
          <w:sz w:val="22"/>
        </w:rPr>
        <w:t xml:space="preserve">Information is “material” if a potential investor would consider it significant in a decision to buy, hold or sell securities. Information that could reasonably be expected to affect the price of a security, </w:t>
      </w:r>
      <w:r>
        <w:rPr>
          <w:rFonts w:ascii="Arial;Helvetica;sans-serif" w:hAnsi="Arial;Helvetica;sans-serif"/>
          <w:i/>
          <w:sz w:val="22"/>
        </w:rPr>
        <w:t>either positively or negatively</w:t>
      </w:r>
      <w:r>
        <w:rPr>
          <w:rFonts w:ascii="Calibri;Helvetica;sans-serif" w:hAnsi="Calibri;Helvetica;sans-serif"/>
          <w:sz w:val="22"/>
        </w:rPr>
        <w:t xml:space="preserve"> </w:t>
      </w:r>
      <w:r>
        <w:rPr>
          <w:rFonts w:ascii="Arial;Helvetica;sans-serif" w:hAnsi="Arial;Helvetica;sans-serif"/>
          <w:sz w:val="22"/>
        </w:rPr>
        <w:t>is material.</w: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Common examples of information regarded as material include, but are not limited to, the following:</w:t>
      </w:r>
    </w:p>
    <w:p>
      <w:pPr>
        <w:pStyle w:val="TextBody"/>
        <w:pBdr/>
        <w:bidi w:val="0"/>
        <w:spacing w:lineRule="auto" w:line="307" w:before="0" w:after="240"/>
        <w:ind w:left="0" w:right="0" w:hanging="0"/>
        <w:jc w:val="left"/>
        <w:rPr/>
      </w:pPr>
      <w:r>
        <w:rPr/>
        <w:t>⚫</w:t>
      </w:r>
      <w:r>
        <w:rPr>
          <w:rFonts w:ascii="Arial;Helvetica;sans-serif" w:hAnsi="Arial;Helvetica;sans-serif"/>
          <w:sz w:val="22"/>
        </w:rPr>
        <w:t>Earnings performance that is significantly higher or lower than generally expected by the investment community</w:t>
      </w:r>
    </w:p>
    <w:p>
      <w:pPr>
        <w:pStyle w:val="TextBody"/>
        <w:pBdr/>
        <w:bidi w:val="0"/>
        <w:spacing w:lineRule="auto" w:line="307" w:before="0" w:after="240"/>
        <w:ind w:left="0" w:right="0" w:hanging="0"/>
        <w:jc w:val="left"/>
        <w:rPr/>
      </w:pPr>
      <w:r>
        <w:rPr/>
        <w:t>⚫</w:t>
      </w:r>
      <w:r>
        <w:rPr>
          <w:rFonts w:ascii="Arial;Helvetica;sans-serif" w:hAnsi="Arial;Helvetica;sans-serif"/>
          <w:sz w:val="22"/>
        </w:rPr>
        <w:t>A pending or proposed merger, acquisition, or sale of part of the Company’s business</w:t>
      </w:r>
    </w:p>
    <w:p>
      <w:pPr>
        <w:pStyle w:val="TextBody"/>
        <w:pBdr/>
        <w:bidi w:val="0"/>
        <w:spacing w:lineRule="auto" w:line="307" w:before="0" w:after="240"/>
        <w:ind w:left="0" w:right="0" w:hanging="0"/>
        <w:jc w:val="both"/>
        <w:rPr/>
      </w:pPr>
      <w:r>
        <w:rPr/>
        <w:t>⚫</w:t>
      </w:r>
      <w:r>
        <w:rPr>
          <w:rFonts w:ascii="Arial;Helvetica;sans-serif" w:hAnsi="Arial;Helvetica;sans-serif"/>
          <w:sz w:val="22"/>
        </w:rPr>
        <w:t>Impending public offerings by the Company</w:t>
      </w:r>
    </w:p>
    <w:p>
      <w:pPr>
        <w:pStyle w:val="TextBody"/>
        <w:bidi w:val="0"/>
        <w:spacing w:lineRule="auto" w:line="307" w:before="0" w:after="240"/>
        <w:ind w:left="0" w:right="0" w:hanging="0"/>
        <w:jc w:val="both"/>
        <w:rPr/>
      </w:pPr>
      <w:r>
        <w:rPr/>
        <w:t>⚫</w:t>
      </w:r>
      <w:r>
        <w:rPr>
          <w:rFonts w:ascii="Arial;Helvetica;sans-serif" w:hAnsi="Arial;Helvetica;sans-serif"/>
          <w:sz w:val="22"/>
        </w:rPr>
        <w:t>A proposed stock split or stock dividend</w:t>
      </w:r>
    </w:p>
    <w:p>
      <w:pPr>
        <w:pStyle w:val="TextBody"/>
        <w:pBdr/>
        <w:bidi w:val="0"/>
        <w:spacing w:lineRule="auto" w:line="307" w:before="0" w:after="240"/>
        <w:ind w:left="0" w:right="0" w:hanging="0"/>
        <w:jc w:val="both"/>
        <w:rPr/>
      </w:pPr>
      <w:r>
        <w:rPr/>
        <w:t>⚫</w:t>
      </w:r>
      <w:r>
        <w:rPr>
          <w:rFonts w:ascii="Arial;Helvetica;sans-serif" w:hAnsi="Arial;Helvetica;sans-serif"/>
          <w:sz w:val="22"/>
        </w:rPr>
        <w:t>Changes in management</w:t>
      </w:r>
    </w:p>
    <w:p>
      <w:pPr>
        <w:pStyle w:val="TextBody"/>
        <w:pBdr/>
        <w:bidi w:val="0"/>
        <w:spacing w:lineRule="auto" w:line="307" w:before="0" w:after="240"/>
        <w:ind w:left="0" w:right="0" w:hanging="0"/>
        <w:jc w:val="both"/>
        <w:rPr/>
      </w:pPr>
      <w:r>
        <w:rPr/>
        <w:t>⚫</w:t>
      </w:r>
      <w:r>
        <w:rPr>
          <w:rFonts w:ascii="Arial;Helvetica;sans-serif" w:hAnsi="Arial;Helvetica;sans-serif"/>
          <w:sz w:val="22"/>
        </w:rPr>
        <w:t>Significant new products or technological discoveries</w:t>
      </w:r>
    </w:p>
    <w:p>
      <w:pPr>
        <w:pStyle w:val="TextBody"/>
        <w:pBdr/>
        <w:bidi w:val="0"/>
        <w:spacing w:lineRule="auto" w:line="307" w:before="0" w:after="240"/>
        <w:ind w:left="0" w:right="0" w:hanging="0"/>
        <w:jc w:val="both"/>
        <w:rPr/>
      </w:pPr>
      <w:r>
        <w:rPr/>
        <w:t>⚫</w:t>
      </w:r>
      <w:r>
        <w:rPr>
          <w:rFonts w:ascii="Arial;Helvetica;sans-serif" w:hAnsi="Arial;Helvetica;sans-serif"/>
          <w:sz w:val="22"/>
        </w:rPr>
        <w:t>News regarding progress or setbacks in product development</w:t>
      </w:r>
    </w:p>
    <w:p>
      <w:pPr>
        <w:pStyle w:val="TextBody"/>
        <w:pBdr/>
        <w:bidi w:val="0"/>
        <w:spacing w:lineRule="auto" w:line="307" w:before="0" w:after="240"/>
        <w:ind w:left="0" w:right="0" w:hanging="0"/>
        <w:jc w:val="both"/>
        <w:rPr/>
      </w:pPr>
      <w:r>
        <w:rPr/>
        <w:t>⚫</w:t>
      </w:r>
      <w:r>
        <w:rPr>
          <w:rFonts w:ascii="Arial;Helvetica;sans-serif" w:hAnsi="Arial;Helvetica;sans-serif"/>
          <w:sz w:val="22"/>
        </w:rPr>
        <w:t>Negotiations regarding an important license or joint venture arrangement</w:t>
      </w:r>
    </w:p>
    <w:p>
      <w:pPr>
        <w:pStyle w:val="TextBody"/>
        <w:pBdr/>
        <w:bidi w:val="0"/>
        <w:spacing w:lineRule="auto" w:line="307" w:before="0" w:after="240"/>
        <w:ind w:left="0" w:right="0" w:hanging="0"/>
        <w:jc w:val="both"/>
        <w:rPr/>
      </w:pPr>
      <w:r>
        <w:rPr/>
        <w:t>⚫</w:t>
      </w:r>
      <w:r>
        <w:rPr>
          <w:rFonts w:ascii="Arial;Helvetica;sans-serif" w:hAnsi="Arial;Helvetica;sans-serif"/>
          <w:sz w:val="22"/>
        </w:rPr>
        <w:t>Patent developments</w:t>
      </w:r>
    </w:p>
    <w:p>
      <w:pPr>
        <w:pStyle w:val="TextBody"/>
        <w:pBdr/>
        <w:bidi w:val="0"/>
        <w:spacing w:lineRule="auto" w:line="307" w:before="0" w:after="240"/>
        <w:ind w:left="0" w:right="0" w:hanging="0"/>
        <w:jc w:val="both"/>
        <w:rPr/>
      </w:pPr>
      <w:r>
        <w:rPr/>
        <w:t>⚫</w:t>
      </w:r>
      <w:r>
        <w:rPr>
          <w:rFonts w:ascii="Arial;Helvetica;sans-serif" w:hAnsi="Arial;Helvetica;sans-serif"/>
          <w:sz w:val="22"/>
        </w:rPr>
        <w:t xml:space="preserve">The gain or loss of a substantial customer or supplier </w:t>
      </w:r>
    </w:p>
    <w:p>
      <w:pPr>
        <w:pStyle w:val="TextBody"/>
        <w:pBdr/>
        <w:bidi w:val="0"/>
        <w:spacing w:lineRule="auto" w:line="307" w:before="0" w:after="240"/>
        <w:ind w:left="0" w:right="0" w:hanging="0"/>
        <w:jc w:val="both"/>
        <w:rPr/>
      </w:pPr>
      <w:r>
        <w:rPr/>
        <w:t>⚫</w:t>
      </w:r>
      <w:r>
        <w:rPr>
          <w:rFonts w:ascii="Arial;Helvetica;sans-serif" w:hAnsi="Arial;Helvetica;sans-serif"/>
          <w:sz w:val="22"/>
        </w:rPr>
        <w:t>Impending financial liquidity or bankruptcy problems</w: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 xml:space="preserve">Information is “non-public” or “inside information” until it has been made available to investors generally through posting on the internet, press releases, filings submitted to the SEC EDGAR database, publicly announced telephone conferences or webcasts or other media, and the market has had time to digest it. </w:t>
      </w:r>
    </w:p>
    <w:p>
      <w:pPr>
        <w:pStyle w:val="TextBody"/>
        <w:bidi w:val="0"/>
        <w:spacing w:lineRule="auto" w:line="307" w:before="0" w:after="240"/>
        <w:ind w:left="0" w:right="0" w:hanging="0"/>
        <w:jc w:val="left"/>
        <w:rPr>
          <w:rFonts w:ascii="Calibri;Helvetica;sans-serif" w:hAnsi="Calibri;Helvetica;sans-serif"/>
          <w:sz w:val="22"/>
        </w:rPr>
      </w:pPr>
      <w:r>
        <w:rPr>
          <w:rFonts w:ascii="Arial;Helvetica;sans-serif" w:hAnsi="Arial;Helvetica;sans-serif"/>
          <w:sz w:val="22"/>
        </w:rPr>
        <w:t>As a general rule, if you know of material and non-public information about Axcelis, you should not engage in any stock transactions before the second business day after the day on which the information is publicly announced through a press release or SEC filing. If the information relates to Axcelis’ financial performance, you should wait until the second business day after Axcelis publishes its quarterly earnings report. This typically occurs</w:t>
      </w:r>
      <w:r>
        <w:rPr>
          <w:rFonts w:ascii="Calibri;Helvetica;sans-serif" w:hAnsi="Calibri;Helvetica;sans-serif"/>
          <w:sz w:val="22"/>
        </w:rPr>
        <w:t xml:space="preserve"> </w:t>
      </w:r>
      <w:r>
        <w:rPr>
          <w:rFonts w:ascii="Arial;Helvetica;sans-serif" w:hAnsi="Arial;Helvetica;sans-serif"/>
          <w:sz w:val="22"/>
        </w:rPr>
        <w:t>in late February, April, July and November.</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19.1</w:t>
      </w:r>
      <w:r>
        <mc:AlternateContent>
          <mc:Choice Requires="wps">
            <w:drawing>
              <wp:anchor behindDoc="0" distT="0" distB="0" distL="0" distR="0" simplePos="0" locked="0" layoutInCell="1" allowOverlap="1" relativeHeight="377">
                <wp:simplePos x="0" y="0"/>
                <wp:positionH relativeFrom="page">
                  <wp:posOffset>0</wp:posOffset>
                </wp:positionH>
                <wp:positionV relativeFrom="line">
                  <wp:posOffset>635</wp:posOffset>
                </wp:positionV>
                <wp:extent cx="6480175" cy="175260"/>
                <wp:effectExtent l="0" t="0" r="0" b="0"/>
                <wp:wrapNone/>
                <wp:docPr id="376"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240"/>
        <w:ind w:left="0" w:right="0" w:hanging="0"/>
        <w:jc w:val="both"/>
        <w:rPr>
          <w:rFonts w:ascii="Arial;Helvetica;sans-serif" w:hAnsi="Arial;Helvetica;sans-serif"/>
          <w:b/>
          <w:smallCaps/>
          <w:sz w:val="22"/>
        </w:rPr>
      </w:pPr>
      <w:r>
        <w:rPr>
          <w:rFonts w:ascii="Arial;Helvetica;sans-serif" w:hAnsi="Arial;Helvetica;sans-serif"/>
          <w:b/>
          <w:smallCaps/>
          <w:sz w:val="22"/>
        </w:rPr>
        <w:t>Black-outs For Trading by Restricted persons</w:t>
      </w:r>
    </w:p>
    <w:p>
      <w:pPr>
        <w:pStyle w:val="TextBody"/>
        <w:bidi w:val="0"/>
        <w:spacing w:lineRule="auto" w:line="307" w:before="0" w:after="240"/>
        <w:ind w:left="0" w:right="0" w:hanging="0"/>
        <w:jc w:val="left"/>
        <w:rPr>
          <w:rFonts w:ascii="Calibri;Helvetica;sans-serif" w:hAnsi="Calibri;Helvetica;sans-serif"/>
          <w:sz w:val="22"/>
        </w:rPr>
      </w:pPr>
      <w:r>
        <w:rPr>
          <w:rFonts w:ascii="Arial;Helvetica;sans-serif" w:hAnsi="Arial;Helvetica;sans-serif"/>
          <w:sz w:val="22"/>
        </w:rPr>
        <w:t>Because members of our Board of Directors, our executive officers and certain other designated key employees (all such individuals are referred to herein as “</w:t>
      </w:r>
      <w:r>
        <w:rPr>
          <w:rFonts w:ascii="Arial;Helvetica;sans-serif" w:hAnsi="Arial;Helvetica;sans-serif"/>
          <w:sz w:val="22"/>
          <w:u w:val="single"/>
        </w:rPr>
        <w:t>Restricted Persons</w:t>
      </w:r>
      <w:r>
        <w:rPr>
          <w:rFonts w:ascii="Calibri;Helvetica;sans-serif" w:hAnsi="Calibri;Helvetica;sans-serif"/>
          <w:sz w:val="22"/>
        </w:rPr>
        <w:t>”</w:t>
      </w:r>
      <w:r>
        <w:rPr>
          <w:rFonts w:ascii="Arial;Helvetica;sans-serif" w:hAnsi="Arial;Helvetica;sans-serif"/>
          <w:sz w:val="22"/>
        </w:rPr>
        <w:t>) have regular access to material non-public information, Axcelis has adopted specific trading restrictions to assist them in avoiding any appearance of insider trading, as follows: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Pre-approval and Post-sale notifications</w:t>
            </w:r>
            <w:r>
              <w:rPr>
                <w:rFonts w:ascii="Arial;Helvetica;sans-serif" w:hAnsi="Arial;Helvetica;sans-serif"/>
                <w:b w:val="false"/>
                <w:i w:val="false"/>
                <w:caps w:val="false"/>
                <w:smallCaps w:val="false"/>
                <w:sz w:val="22"/>
              </w:rPr>
              <w:t>. Except in the case of sales pursuant to Trading Plan (as defined below), each Restricted Person must call the General Counsel prior to purchasing or selling any Axcelis stock for authorization to execute any purchase or sale of Axcelis stock. In addition, the Company’s stock plan administrator, currently Morgan Stanley, will be instructed to seek approval of the General Counsel prior to engaging in any sale of shares or cashless option exercise by a Restricted Person. Members of the Board of Directors and executive officers (“</w:t>
            </w:r>
            <w:r>
              <w:rPr>
                <w:rFonts w:ascii="Arial;Helvetica;sans-serif" w:hAnsi="Arial;Helvetica;sans-serif"/>
                <w:b w:val="false"/>
                <w:i w:val="false"/>
                <w:caps w:val="false"/>
                <w:smallCaps w:val="false"/>
                <w:sz w:val="22"/>
                <w:u w:val="single"/>
              </w:rPr>
              <w:t>Reporting Persons</w:t>
            </w:r>
            <w:r>
              <w:rPr>
                <w:caps w:val="false"/>
                <w:smallCaps w:val="false"/>
              </w:rPr>
              <w:t>”</w:t>
            </w:r>
            <w:r>
              <w:rPr>
                <w:rFonts w:ascii="Arial;Helvetica;sans-serif" w:hAnsi="Arial;Helvetica;sans-serif"/>
                <w:b w:val="false"/>
                <w:i w:val="false"/>
                <w:caps w:val="false"/>
                <w:smallCaps w:val="false"/>
                <w:sz w:val="22"/>
              </w:rPr>
              <w:t xml:space="preserve">) must also notify the General Counsel upon execution of the transaction of the details of the transactions (i.e. date of transaction, number of shares, price per share, etc.).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Blackout Periods</w:t>
            </w:r>
            <w:r>
              <w:rPr>
                <w:rFonts w:ascii="Arial;Helvetica;sans-serif" w:hAnsi="Arial;Helvetica;sans-serif"/>
                <w:b w:val="false"/>
                <w:i w:val="false"/>
                <w:caps w:val="false"/>
                <w:smallCaps w:val="false"/>
                <w:sz w:val="22"/>
              </w:rPr>
              <w:t>. Except in the case of sales pursuant to a Trading Plan, no Restricted Person may make any purchase or sale of Axcelis stock:</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during the period between two weeks before the end of each fiscal quarter and the second business day after the public release of earnings;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during any other period in which the Restricted Person is aware of nonpublic material information until the second business day after the public release of such material information,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Approved Trading Plan Transactions</w:t>
            </w:r>
            <w:r>
              <w:rPr>
                <w:rFonts w:ascii="Arial;Helvetica;sans-serif" w:hAnsi="Arial;Helvetica;sans-serif"/>
                <w:b w:val="false"/>
                <w:i w:val="false"/>
                <w:caps w:val="false"/>
                <w:smallCaps w:val="false"/>
                <w:sz w:val="22"/>
              </w:rPr>
              <w:t xml:space="preserve">. Purchases or sales of Axcelis’ stock made in compliance with a written plan established by a Restricted Person that is acceptable to the General Counsel and that meets the requirements of Rule 10b5-1 (“Rule 10b5-1”) under the Securities Exchange Act of 1934, as amended (such act, the “Exchange Act” and such a plan, a “Trading Plan”), and this Policy may be made without restriction to any particular period. Such a Trading Plan must be established in compliance with the requirements of Rule 10b5-1, including the requirement that the individual make a written representation that he or she is establishing the Trading Plan (i) in good faith, (ii) not as part of a plan or scheme to evade the prohibitions of Rule 10b5-1, and (iii) at a time when the individual was not in possession of material non-public information about Axcelis. Such a Trading Plan must also be established during an open window period for trading in Axcelis stock and not during any trading “blackout” period. Additionally, anyone adopting a new Trading Plan may not have any other outstanding Trading Plans and may not subsequently enter into any additional Trading Plan, subject to certain exceptions. No individual will be permitted to use more than one single-trade Trading Plan in any 12-month period. </w:t>
            </w:r>
          </w:p>
        </w:tc>
      </w:tr>
    </w:tbl>
    <w:p>
      <w:pPr>
        <w:pStyle w:val="TextBody"/>
        <w:bidi w:val="0"/>
        <w:spacing w:lineRule="auto" w:line="285"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All Trading Plans must provide for a “cooling off” period before purchases and sales can occur under the Trading Plan. For a director or an executive officer, no purchases or sales under the Trading Plan can occur until the later of (i) 90 days after the adoption of the Trading Plan and (ii) two business days following disclosure of Axcelis’ results in a Form 10-Q or Form 10-K for a completed fiscal quarter in which the Trading Plan was adopted; provided that in no event will the required cooling off period be longer than 120 days after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Calibri;Helvetica;sans-serif" w:hAnsi="Calibri;Helvetica;sans-serif"/>
          <w:sz w:val="22"/>
        </w:rPr>
      </w:pPr>
      <w:r>
        <w:rPr>
          <w:rFonts w:ascii="Calibri;Helvetica;sans-serif" w:hAnsi="Calibri;Helvetica;sans-serif"/>
          <w:sz w:val="22"/>
          <w:shd w:fill="FFFFFF" w:val="clear"/>
        </w:rPr>
        <w:tab/>
      </w:r>
      <w:r>
        <w:rPr>
          <w:rFonts w:ascii="Calibri;Helvetica;sans-serif" w:hAnsi="Calibri;Helvetica;sans-serif"/>
          <w:b w:val="false"/>
          <w:i w:val="false"/>
          <w:caps w:val="false"/>
          <w:smallCaps w:val="false"/>
          <w:sz w:val="22"/>
          <w:shd w:fill="FFFFFF" w:val="clear"/>
        </w:rPr>
        <w:t>Exhibit 19.1</w:t>
      </w:r>
      <w:r>
        <mc:AlternateContent>
          <mc:Choice Requires="wps">
            <w:drawing>
              <wp:anchor behindDoc="0" distT="0" distB="0" distL="0" distR="0" simplePos="0" locked="0" layoutInCell="1" allowOverlap="1" relativeHeight="378">
                <wp:simplePos x="0" y="0"/>
                <wp:positionH relativeFrom="page">
                  <wp:posOffset>0</wp:posOffset>
                </wp:positionH>
                <wp:positionV relativeFrom="line">
                  <wp:posOffset>635</wp:posOffset>
                </wp:positionV>
                <wp:extent cx="6480175" cy="175260"/>
                <wp:effectExtent l="0" t="0" r="0" b="0"/>
                <wp:wrapNone/>
                <wp:docPr id="377"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adoption of the Trading Plan. No purchases or sales under a Trading Plan for a person other than a director or executive officer may be made until 30 days after adoption of the Trading Plan.</w:t>
            </w:r>
          </w:p>
        </w:tc>
      </w:tr>
    </w:tbl>
    <w:p>
      <w:pPr>
        <w:pStyle w:val="TextBody"/>
        <w:bidi w:val="0"/>
        <w:spacing w:lineRule="auto" w:line="285"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All Trading Plans and amendments thereto must be reviewed by the General Counsel prior to their establishment to confirm compliance with Rule 10b5-1 and this Policy. The General Counsel must also be notified of any amendments to, or termination of, any Trading Plan. Any modifications to the amount, pricing, or timing of purchases or sales of securities under a Trading Plan will constitute the termination of the Trading Plan and adoption of a new Trading Plan, which means that any such modifications will trigger the need for the new Trading Plan to satisfy all elements of Rule 10b5-1, including a new cooling off period before trading can begin again. In addition, no amendments to any Trading Plan will be permitted during any trading “blackout” period. Reporting Persons entering into Trading Plans must instruct the broker implementing their Trading Plan to call the General Counsel immediately after execution of a transaction under the Trading Plan and provide details of the transactions in writing (i.e., date of transaction, number of shares, price per share, etc.).</w:t>
            </w:r>
          </w:p>
        </w:tc>
      </w:tr>
    </w:tbl>
    <w:p>
      <w:pPr>
        <w:pStyle w:val="TextBody"/>
        <w:bidi w:val="0"/>
        <w:spacing w:lineRule="auto" w:line="285" w:before="0" w:after="12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i w:val="false"/>
                <w:caps w:val="false"/>
                <w:smallCaps w:val="false"/>
                <w:sz w:val="22"/>
              </w:rPr>
              <w:t>Concurrent Blackouts with ALTIP</w:t>
            </w:r>
            <w:r>
              <w:rPr>
                <w:rFonts w:ascii="Arial;Helvetica;sans-serif" w:hAnsi="Arial;Helvetica;sans-serif"/>
                <w:b w:val="false"/>
                <w:i w:val="false"/>
                <w:caps w:val="false"/>
                <w:smallCaps w:val="false"/>
                <w:sz w:val="22"/>
              </w:rPr>
              <w:t>. Reporting Persons may also not make any purchase or sale of Axcelis stock</w:t>
            </w:r>
            <w:r>
              <w:rPr>
                <w:caps w:val="false"/>
                <w:smallCaps w:val="false"/>
              </w:rPr>
              <w:t xml:space="preserve"> </w:t>
            </w:r>
            <w:r>
              <w:rPr>
                <w:rFonts w:ascii="Arial;Helvetica;sans-serif" w:hAnsi="Arial;Helvetica;sans-serif"/>
                <w:b w:val="false"/>
                <w:i w:val="false"/>
                <w:caps w:val="false"/>
                <w:smallCaps w:val="false"/>
                <w:sz w:val="22"/>
              </w:rPr>
              <w:t>during the continuance of any temporary suspension of the ability of participants in the Axcelis Long Term Investment 401(k) Plan (or similar plan maintained by Axcelis) to purchase or dispose of any shares of Axcelis stock held in such plan.</w:t>
            </w:r>
          </w:p>
        </w:tc>
      </w:tr>
    </w:tbl>
    <w:p>
      <w:pPr>
        <w:pStyle w:val="TextBody"/>
        <w:bidi w:val="0"/>
        <w:spacing w:lineRule="auto" w:line="285" w:before="0" w:after="120"/>
        <w:ind w:left="0" w:right="0" w:firstLine="720"/>
        <w:jc w:val="left"/>
        <w:rPr/>
      </w:pPr>
      <w:r>
        <w:rPr/>
        <w:t>​</w:t>
      </w:r>
    </w:p>
    <w:p>
      <w:pPr>
        <w:pStyle w:val="TextBody"/>
        <w:bidi w:val="0"/>
        <w:spacing w:lineRule="auto" w:line="285" w:before="0" w:after="120"/>
        <w:ind w:left="0" w:right="0" w:firstLine="720"/>
        <w:jc w:val="left"/>
        <w:rPr>
          <w:rFonts w:ascii="Arial;Helvetica;sans-serif" w:hAnsi="Arial;Helvetica;sans-serif"/>
          <w:sz w:val="22"/>
        </w:rPr>
      </w:pPr>
      <w:r>
        <w:rPr>
          <w:rFonts w:ascii="Arial;Helvetica;sans-serif" w:hAnsi="Arial;Helvetica;sans-serif"/>
          <w:sz w:val="22"/>
        </w:rPr>
        <w:t>In the event that the General Counsel is unavailable for notice or authorization, directors, executives and others covered by these trading restrictions may contact the Company’s Chief Financial Officer or Chief Executive Officer.</w:t>
      </w:r>
    </w:p>
    <w:p>
      <w:pPr>
        <w:pStyle w:val="TextBody"/>
        <w:bidi w:val="0"/>
        <w:spacing w:lineRule="auto" w:line="307" w:before="0" w:after="160"/>
        <w:ind w:left="0" w:right="0" w:hanging="0"/>
        <w:jc w:val="left"/>
        <w:rPr/>
      </w:pPr>
      <w:r>
        <w:rPr/>
        <w:t>​</w:t>
      </w:r>
    </w:p>
    <w:p>
      <w:pPr>
        <w:pStyle w:val="TextBody"/>
        <w:bidi w:val="0"/>
        <w:spacing w:lineRule="auto" w:line="307" w:before="0" w:after="240"/>
        <w:ind w:left="0" w:right="0" w:hanging="0"/>
        <w:jc w:val="center"/>
        <w:rPr>
          <w:rFonts w:ascii="Arial;Helvetica;sans-serif" w:hAnsi="Arial;Helvetica;sans-serif"/>
          <w:sz w:val="22"/>
        </w:rPr>
      </w:pPr>
      <w:r>
        <w:rPr>
          <w:rFonts w:ascii="Arial;Helvetica;sans-serif" w:hAnsi="Arial;Helvetica;sans-serif"/>
          <w:sz w:val="22"/>
        </w:rPr>
        <w:t>***</w:t>
      </w:r>
    </w:p>
    <w:p>
      <w:pPr>
        <w:pStyle w:val="TextBody"/>
        <w:bidi w:val="0"/>
        <w:spacing w:lineRule="auto" w:line="307" w:before="0" w:after="240"/>
        <w:ind w:left="0" w:right="0" w:hanging="0"/>
        <w:jc w:val="left"/>
        <w:rPr>
          <w:rFonts w:ascii="Arial;Helvetica;sans-serif" w:hAnsi="Arial;Helvetica;sans-serif"/>
          <w:b/>
          <w:sz w:val="22"/>
        </w:rPr>
      </w:pPr>
      <w:r>
        <w:rPr>
          <w:rFonts w:ascii="Arial;Helvetica;sans-serif" w:hAnsi="Arial;Helvetica;sans-serif"/>
          <w:b/>
          <w:sz w:val="22"/>
        </w:rPr>
        <w:t>Please be conscious that you do not have to be an identified Restricted Person in order to violate insider trading laws. Any employee who has access to material non-public information must not trade until such information becomes public.</w:t>
      </w:r>
    </w:p>
    <w:p>
      <w:pPr>
        <w:pStyle w:val="TextBody"/>
        <w:bidi w:val="0"/>
        <w:spacing w:lineRule="auto" w:line="307" w:before="0" w:after="240"/>
        <w:ind w:left="0" w:right="0" w:hanging="0"/>
        <w:jc w:val="left"/>
        <w:rPr>
          <w:rFonts w:ascii="Arial;Helvetica;sans-serif" w:hAnsi="Arial;Helvetica;sans-serif"/>
          <w:sz w:val="22"/>
        </w:rPr>
      </w:pPr>
      <w:r>
        <w:rPr>
          <w:rFonts w:ascii="Arial;Helvetica;sans-serif" w:hAnsi="Arial;Helvetica;sans-serif"/>
          <w:sz w:val="22"/>
        </w:rPr>
        <w:t>If you have any questions about this policy, please see your manager or contact Lynnette Fallon, Executive Vice President HR/Legal and General Counsel.</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43" w:name="acls-20231231xex21d1.htm"/>
      <w:bookmarkStart w:id="1444" w:name="ksacls20231231xex21d1"/>
      <w:bookmarkEnd w:id="1443"/>
      <w:bookmarkEnd w:id="1444"/>
      <w:r>
        <w:rPr>
          <w:rFonts w:ascii="Times New Roman;Times;serif" w:hAnsi="Times New Roman;Times;serif"/>
          <w:b/>
          <w:sz w:val="20"/>
        </w:rPr>
        <w:t>Exhibit 21.1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Exhibit 21.1 to Form 10-K for the year ended December 31, 2023</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Subsidiaries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list of all direct and indirect wholly-owned subsidiaries of Axcelis Technologies, Inc. as of the date hereof:</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Domestic Subsidiaries</w:t>
      </w:r>
    </w:p>
    <w:tbl>
      <w:tblPr>
        <w:tblW w:w="4870" w:type="dxa"/>
        <w:jc w:val="left"/>
        <w:tblInd w:w="0" w:type="dxa"/>
        <w:tblLayout w:type="fixed"/>
        <w:tblCellMar>
          <w:top w:w="0" w:type="dxa"/>
          <w:left w:w="0" w:type="dxa"/>
          <w:bottom w:w="0" w:type="dxa"/>
          <w:right w:w="0" w:type="dxa"/>
        </w:tblCellMar>
      </w:tblPr>
      <w:tblGrid>
        <w:gridCol w:w="170"/>
        <w:gridCol w:w="4700"/>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470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(Israel) Inc., a Delaware corporation</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European Subsidiaries</w:t>
      </w:r>
    </w:p>
    <w:tbl>
      <w:tblPr>
        <w:tblW w:w="3430" w:type="dxa"/>
        <w:jc w:val="left"/>
        <w:tblInd w:w="0" w:type="dxa"/>
        <w:tblLayout w:type="fixed"/>
        <w:tblCellMar>
          <w:top w:w="0" w:type="dxa"/>
          <w:left w:w="0" w:type="dxa"/>
          <w:bottom w:w="0" w:type="dxa"/>
          <w:right w:w="0" w:type="dxa"/>
        </w:tblCellMar>
      </w:tblPr>
      <w:tblGrid>
        <w:gridCol w:w="170"/>
        <w:gridCol w:w="3260"/>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326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GmbH (Germany)</w:t>
            </w:r>
          </w:p>
        </w:tc>
      </w:tr>
    </w:tbl>
    <w:tbl>
      <w:tblPr>
        <w:tblW w:w="2815" w:type="dxa"/>
        <w:jc w:val="left"/>
        <w:tblInd w:w="0" w:type="dxa"/>
        <w:tblLayout w:type="fixed"/>
        <w:tblCellMar>
          <w:top w:w="0" w:type="dxa"/>
          <w:left w:w="0" w:type="dxa"/>
          <w:bottom w:w="0" w:type="dxa"/>
          <w:right w:w="0" w:type="dxa"/>
        </w:tblCellMar>
      </w:tblPr>
      <w:tblGrid>
        <w:gridCol w:w="170"/>
        <w:gridCol w:w="264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3.</w:t>
            </w:r>
          </w:p>
        </w:tc>
        <w:tc>
          <w:tcPr>
            <w:tcW w:w="26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Srl (Italy)</w:t>
            </w:r>
          </w:p>
        </w:tc>
      </w:tr>
    </w:tbl>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4.</w:t>
            </w:r>
          </w:p>
        </w:tc>
        <w:tc>
          <w:tcPr>
            <w:tcW w:w="290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Sarl (France)</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Asian Subsidiaries</w:t>
      </w:r>
    </w:p>
    <w:tbl>
      <w:tblPr>
        <w:tblW w:w="2950" w:type="dxa"/>
        <w:jc w:val="left"/>
        <w:tblInd w:w="0" w:type="dxa"/>
        <w:tblLayout w:type="fixed"/>
        <w:tblCellMar>
          <w:top w:w="0" w:type="dxa"/>
          <w:left w:w="0" w:type="dxa"/>
          <w:bottom w:w="0" w:type="dxa"/>
          <w:right w:w="0" w:type="dxa"/>
        </w:tblCellMar>
      </w:tblPr>
      <w:tblGrid>
        <w:gridCol w:w="170"/>
        <w:gridCol w:w="2780"/>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5.</w:t>
            </w:r>
          </w:p>
        </w:tc>
        <w:tc>
          <w:tcPr>
            <w:tcW w:w="278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KK (Japan)</w:t>
            </w:r>
          </w:p>
        </w:tc>
      </w:tr>
    </w:tbl>
    <w:tbl>
      <w:tblPr>
        <w:tblW w:w="3295" w:type="dxa"/>
        <w:jc w:val="left"/>
        <w:tblInd w:w="0" w:type="dxa"/>
        <w:tblLayout w:type="fixed"/>
        <w:tblCellMar>
          <w:top w:w="0" w:type="dxa"/>
          <w:left w:w="0" w:type="dxa"/>
          <w:bottom w:w="0" w:type="dxa"/>
          <w:right w:w="0" w:type="dxa"/>
        </w:tblCellMar>
      </w:tblPr>
      <w:tblGrid>
        <w:gridCol w:w="170"/>
        <w:gridCol w:w="312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6.</w:t>
            </w:r>
          </w:p>
        </w:tc>
        <w:tc>
          <w:tcPr>
            <w:tcW w:w="312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Limited (Korea)</w:t>
            </w:r>
          </w:p>
        </w:tc>
      </w:tr>
    </w:tbl>
    <w:tbl>
      <w:tblPr>
        <w:tblW w:w="3145" w:type="dxa"/>
        <w:jc w:val="left"/>
        <w:tblInd w:w="0" w:type="dxa"/>
        <w:tblLayout w:type="fixed"/>
        <w:tblCellMar>
          <w:top w:w="0" w:type="dxa"/>
          <w:left w:w="0" w:type="dxa"/>
          <w:bottom w:w="0" w:type="dxa"/>
          <w:right w:w="0" w:type="dxa"/>
        </w:tblCellMar>
      </w:tblPr>
      <w:tblGrid>
        <w:gridCol w:w="170"/>
        <w:gridCol w:w="297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7.</w:t>
            </w:r>
          </w:p>
        </w:tc>
        <w:tc>
          <w:tcPr>
            <w:tcW w:w="297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Ltd. (Taiwan)</w:t>
            </w:r>
          </w:p>
        </w:tc>
      </w:tr>
    </w:tbl>
    <w:tbl>
      <w:tblPr>
        <w:tblW w:w="3670" w:type="dxa"/>
        <w:jc w:val="left"/>
        <w:tblInd w:w="0" w:type="dxa"/>
        <w:tblLayout w:type="fixed"/>
        <w:tblCellMar>
          <w:top w:w="0" w:type="dxa"/>
          <w:left w:w="0" w:type="dxa"/>
          <w:bottom w:w="0" w:type="dxa"/>
          <w:right w:w="0" w:type="dxa"/>
        </w:tblCellMar>
      </w:tblPr>
      <w:tblGrid>
        <w:gridCol w:w="170"/>
        <w:gridCol w:w="3500"/>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8.</w:t>
            </w:r>
          </w:p>
        </w:tc>
        <w:tc>
          <w:tcPr>
            <w:tcW w:w="350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Pte. Ltd. (Singapore)</w:t>
            </w:r>
          </w:p>
        </w:tc>
      </w:tr>
    </w:tbl>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9.</w:t>
            </w:r>
          </w:p>
        </w:tc>
        <w:tc>
          <w:tcPr>
            <w:tcW w:w="777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Axcelis Technologies Semiconductor Trading (Shanghai) Co., Ltd. (Peoples Republic of China)</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45" w:name="acls-20231231xex23d1.htm"/>
      <w:bookmarkStart w:id="1446" w:name="ksacls20231231xex23d1"/>
      <w:bookmarkEnd w:id="1445"/>
      <w:bookmarkEnd w:id="1446"/>
      <w:r>
        <w:rPr>
          <w:rFonts w:ascii="Times New Roman;Times;serif" w:hAnsi="Times New Roman;Times;serif"/>
          <w:b/>
          <w:sz w:val="20"/>
        </w:rPr>
        <w:t>Exhibit 23.1</w:t>
      </w:r>
      <w:r>
        <w:br w:type="page"/>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Statements (Form S-8 Nos. 333-181750, 333-188967, 333-196157, 333-204544, 333-211673, 333-218225 and 333-231634) pertaining to the 2012 Equity Incentive Plan of Axcelis Technologies, Inc.,</w:t>
            </w:r>
          </w:p>
        </w:tc>
      </w:tr>
    </w:tbl>
    <w:p>
      <w:pPr>
        <w:pStyle w:val="TextBody"/>
        <w:bidi w:val="0"/>
        <w:spacing w:lineRule="auto" w:line="285"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8"/>
        <w:gridCol w:w="9944"/>
      </w:tblGrid>
      <w:tr>
        <w:trPr/>
        <w:tc>
          <w:tcPr>
            <w:tcW w:w="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333-238770) pertaining to the 2020 Employee Stock Purchase Plan of Axcelis Technologies,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4"/>
        <w:gridCol w:w="9938"/>
      </w:tblGrid>
      <w:tr>
        <w:trPr/>
        <w:tc>
          <w:tcPr>
            <w:tcW w:w="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333-120356) pertaining to the 2000 Stock Plan and 2012 Equity Incentive Plan, 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S-3 No. 333-273639) and related Prospectus of Axcelis Technologies, Inc. for the registration of common stock, preferred stock, warrants, debt securities and units;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of our reports dated February 23 2024, with respect to the consolidated financial statements and schedule of Axcelis Technologies, Inc. and the effectiveness of internal control over financial reporting of Axcelis Technologies, Inc. included in this Annual Report (Form 10-K) of Axcelis Technologies, Inc. for the year ended December 31, 2023.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Boston, Massachusetts</w:t>
        <w:br/>
        <w:t>February 23, 2024</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47" w:name="acls-20231231xex31d1.htm"/>
      <w:bookmarkStart w:id="1448" w:name="ksacls20231231xex31d1"/>
      <w:bookmarkEnd w:id="1447"/>
      <w:bookmarkEnd w:id="1448"/>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Executive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180"/>
        <w:ind w:left="0" w:right="0" w:hanging="0"/>
        <w:jc w:val="left"/>
        <w:rPr>
          <w:rFonts w:ascii="Times New Roman;Times;serif" w:hAnsi="Times New Roman;Times;serif"/>
          <w:sz w:val="20"/>
        </w:rPr>
      </w:pPr>
      <w:r>
        <w:rPr>
          <w:rFonts w:ascii="Times New Roman;Times;serif" w:hAnsi="Times New Roman;Times;serif"/>
          <w:sz w:val="20"/>
        </w:rPr>
        <w:t>I, Russell Low, certify that:</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I have reviewed this annual report on Form 10-K of Axcelis Technologies,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center"/>
        <w:rPr/>
      </w:pPr>
      <w:r>
        <w:rPr/>
        <w:t>​</w:t>
      </w:r>
    </w:p>
    <w:tbl>
      <w:tblPr>
        <w:tblW w:w="5327" w:type="dxa"/>
        <w:jc w:val="center"/>
        <w:tblInd w:w="0" w:type="dxa"/>
        <w:tblLayout w:type="fixed"/>
        <w:tblCellMar>
          <w:top w:w="0" w:type="dxa"/>
          <w:left w:w="0" w:type="dxa"/>
          <w:bottom w:w="0" w:type="dxa"/>
          <w:right w:w="0" w:type="dxa"/>
        </w:tblCellMar>
      </w:tblPr>
      <w:tblGrid>
        <w:gridCol w:w="2086"/>
        <w:gridCol w:w="3241"/>
      </w:tblGrid>
      <w:tr>
        <w:trPr/>
        <w:tc>
          <w:tcPr>
            <w:tcW w:w="2086" w:type="dxa"/>
            <w:tcBorders/>
            <w:vAlign w:val="center"/>
          </w:tcPr>
          <w:p>
            <w:pPr>
              <w:pStyle w:val="TableContents"/>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0"/>
              <w:ind w:left="0" w:right="0" w:hanging="0"/>
              <w:jc w:val="left"/>
              <w:rPr/>
            </w:pPr>
            <w:r>
              <w:rPr/>
              <w:t>​</w:t>
            </w:r>
          </w:p>
        </w:tc>
      </w:tr>
      <w:tr>
        <w:trPr/>
        <w:tc>
          <w:tcPr>
            <w:tcW w:w="2086" w:type="dxa"/>
            <w:tcBorders/>
            <w:vAlign w:val="center"/>
          </w:tcPr>
          <w:p>
            <w:pPr>
              <w:pStyle w:val="TableContents"/>
              <w:pBdr/>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Date: February 23, 2024</w:t>
            </w:r>
          </w:p>
        </w:tc>
        <w:tc>
          <w:tcPr>
            <w:tcW w:w="324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Russell Low</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Russell Low,</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324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Chief Executive Officer and President</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49" w:name="acls-20231231xex31d2.htm"/>
      <w:bookmarkStart w:id="1450" w:name="ksacls20231231xex31d2"/>
      <w:bookmarkEnd w:id="1449"/>
      <w:bookmarkEnd w:id="1450"/>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of the Principal Financial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Rule 13a-14(a)/15d-14(a) (implementing Section 302 of the Sarbanes-Oxley Act)</w:t>
      </w:r>
    </w:p>
    <w:p>
      <w:pPr>
        <w:pStyle w:val="TextBody"/>
        <w:bidi w:val="0"/>
        <w:spacing w:lineRule="auto" w:line="285" w:before="0" w:after="180"/>
        <w:ind w:left="0" w:right="0" w:hanging="0"/>
        <w:jc w:val="left"/>
        <w:rPr>
          <w:rFonts w:ascii="Times New Roman;Times;serif" w:hAnsi="Times New Roman;Times;serif"/>
          <w:sz w:val="20"/>
        </w:rPr>
      </w:pPr>
      <w:r>
        <w:rPr>
          <w:rFonts w:ascii="Times New Roman;Times;serif" w:hAnsi="Times New Roman;Times;serif"/>
          <w:sz w:val="20"/>
        </w:rPr>
        <w:t>I, James Coogan, certify that:</w:t>
      </w:r>
    </w:p>
    <w:tbl>
      <w:tblPr>
        <w:tblW w:w="6580" w:type="dxa"/>
        <w:jc w:val="left"/>
        <w:tblInd w:w="0" w:type="dxa"/>
        <w:tblLayout w:type="fixed"/>
        <w:tblCellMar>
          <w:top w:w="0" w:type="dxa"/>
          <w:left w:w="0" w:type="dxa"/>
          <w:bottom w:w="0" w:type="dxa"/>
          <w:right w:w="0" w:type="dxa"/>
        </w:tblCellMar>
      </w:tblPr>
      <w:tblGrid>
        <w:gridCol w:w="170"/>
        <w:gridCol w:w="6410"/>
      </w:tblGrid>
      <w:tr>
        <w:trPr/>
        <w:tc>
          <w:tcPr>
            <w:tcW w:w="170"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1.</w:t>
            </w:r>
          </w:p>
        </w:tc>
        <w:tc>
          <w:tcPr>
            <w:tcW w:w="6410"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I have reviewed this annual report on Form 10-K of Axcelis Technologies,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lineRule="auto" w:line="285" w:before="0" w:after="18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center"/>
        <w:rPr/>
      </w:pPr>
      <w:r>
        <w:rPr/>
        <w:t>​</w:t>
      </w:r>
    </w:p>
    <w:tbl>
      <w:tblPr>
        <w:tblW w:w="6696" w:type="dxa"/>
        <w:jc w:val="center"/>
        <w:tblInd w:w="0" w:type="dxa"/>
        <w:tblLayout w:type="fixed"/>
        <w:tblCellMar>
          <w:top w:w="0" w:type="dxa"/>
          <w:left w:w="0" w:type="dxa"/>
          <w:bottom w:w="0" w:type="dxa"/>
          <w:right w:w="0" w:type="dxa"/>
        </w:tblCellMar>
      </w:tblPr>
      <w:tblGrid>
        <w:gridCol w:w="2086"/>
        <w:gridCol w:w="109"/>
        <w:gridCol w:w="4501"/>
      </w:tblGrid>
      <w:tr>
        <w:trPr/>
        <w:tc>
          <w:tcPr>
            <w:tcW w:w="20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2086" w:type="dxa"/>
            <w:tcBorders/>
            <w:vAlign w:val="center"/>
          </w:tcPr>
          <w:p>
            <w:pPr>
              <w:pStyle w:val="TableContents"/>
              <w:pBdr/>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Date: February 23, 2024</w:t>
            </w:r>
          </w:p>
        </w:tc>
        <w:tc>
          <w:tcPr>
            <w:tcW w:w="109" w:type="dxa"/>
            <w:tcBorders/>
            <w:vAlign w:val="center"/>
          </w:tcPr>
          <w:p>
            <w:pPr>
              <w:pStyle w:val="TableContents"/>
              <w:bidi w:val="0"/>
              <w:spacing w:lineRule="auto" w:line="285"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James Coogan</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James Coogan,</w:t>
            </w:r>
          </w:p>
        </w:tc>
      </w:tr>
      <w:tr>
        <w:trPr/>
        <w:tc>
          <w:tcPr>
            <w:tcW w:w="2086" w:type="dxa"/>
            <w:tcBorders/>
            <w:vAlign w:val="center"/>
          </w:tcPr>
          <w:p>
            <w:pPr>
              <w:pStyle w:val="TableContents"/>
              <w:pBdr/>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51" w:name="acls-20231231xex32d1.htm"/>
      <w:bookmarkStart w:id="1452" w:name="ksacls20231231xex32d1"/>
      <w:bookmarkEnd w:id="1451"/>
      <w:bookmarkEnd w:id="1452"/>
      <w:r>
        <w:rPr>
          <w:rFonts w:ascii="Times New Roman;Times;serif" w:hAnsi="Times New Roman;Times;serif"/>
          <w:b/>
          <w:sz w:val="20"/>
        </w:rPr>
        <w:t>Exhibit 32.1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February 23, 2024.</w:t>
      </w:r>
    </w:p>
    <w:p>
      <w:pPr>
        <w:pStyle w:val="TextBody"/>
        <w:bidi w:val="0"/>
        <w:spacing w:lineRule="auto" w:line="285" w:before="0" w:after="0"/>
        <w:ind w:left="0" w:right="0" w:hanging="0"/>
        <w:jc w:val="center"/>
        <w:rPr/>
      </w:pPr>
      <w:r>
        <w:rPr/>
        <w:t>​</w:t>
      </w:r>
    </w:p>
    <w:tbl>
      <w:tblPr>
        <w:tblW w:w="5735" w:type="dxa"/>
        <w:jc w:val="center"/>
        <w:tblInd w:w="0" w:type="dxa"/>
        <w:tblLayout w:type="fixed"/>
        <w:tblCellMar>
          <w:top w:w="0" w:type="dxa"/>
          <w:left w:w="0" w:type="dxa"/>
          <w:bottom w:w="0" w:type="dxa"/>
          <w:right w:w="0" w:type="dxa"/>
        </w:tblCellMar>
      </w:tblPr>
      <w:tblGrid>
        <w:gridCol w:w="124"/>
        <w:gridCol w:w="5611"/>
      </w:tblGrid>
      <w:tr>
        <w:trPr/>
        <w:tc>
          <w:tcPr>
            <w:tcW w:w="124" w:type="dxa"/>
            <w:tcBorders/>
            <w:vAlign w:val="center"/>
          </w:tcPr>
          <w:p>
            <w:pPr>
              <w:pStyle w:val="TableContents"/>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611" w:type="dxa"/>
            <w:tcBorders>
              <w:bottom w:val="single" w:sz="2" w:space="0" w:color="000000"/>
            </w:tcBorders>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Russell low</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611" w:type="dxa"/>
            <w:tcBorders>
              <w:top w:val="single" w:sz="2" w:space="0" w:color="000000"/>
            </w:tcBorders>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Russell Low</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5611" w:type="dxa"/>
            <w:tcBorders/>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Chief Executive Officer and President of Axcelis Technologies, Inc.</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53" w:name="acls-20231231xex32d2.htm"/>
      <w:bookmarkStart w:id="1454" w:name="ksacls20231231xex32d2"/>
      <w:bookmarkEnd w:id="1453"/>
      <w:bookmarkEnd w:id="1454"/>
      <w:r>
        <w:rPr>
          <w:rFonts w:ascii="Times New Roman;Times;serif" w:hAnsi="Times New Roman;Times;serif"/>
          <w:b/>
          <w:sz w:val="20"/>
        </w:rPr>
        <w:t>Exhibit 32.2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AXCELIS TECHNOLOGIES,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1350 of Chapter 63 of title 18 of the United States Code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February 23, 2024.</w:t>
      </w:r>
    </w:p>
    <w:p>
      <w:pPr>
        <w:pStyle w:val="TextBody"/>
        <w:bidi w:val="0"/>
        <w:spacing w:lineRule="auto" w:line="285" w:before="0" w:after="0"/>
        <w:ind w:left="0" w:right="0" w:hanging="0"/>
        <w:jc w:val="center"/>
        <w:rPr/>
      </w:pPr>
      <w:r>
        <w:rPr/>
        <w:t>​</w:t>
      </w:r>
    </w:p>
    <w:tbl>
      <w:tblPr>
        <w:tblW w:w="5266" w:type="dxa"/>
        <w:jc w:val="center"/>
        <w:tblInd w:w="0" w:type="dxa"/>
        <w:shd w:fill="FFFFFF" w:val="clear"/>
        <w:tblLayout w:type="fixed"/>
        <w:tblCellMar>
          <w:top w:w="0" w:type="dxa"/>
          <w:left w:w="0" w:type="dxa"/>
          <w:bottom w:w="0" w:type="dxa"/>
          <w:right w:w="0" w:type="dxa"/>
        </w:tblCellMar>
      </w:tblPr>
      <w:tblGrid>
        <w:gridCol w:w="124"/>
        <w:gridCol w:w="386"/>
        <w:gridCol w:w="4756"/>
      </w:tblGrid>
      <w:tr>
        <w:trPr/>
        <w:tc>
          <w:tcPr>
            <w:tcW w:w="124" w:type="dxa"/>
            <w:tcBorders/>
            <w:shd w:fill="FFFFFF" w:val="clear"/>
            <w:vAlign w:val="center"/>
          </w:tcPr>
          <w:p>
            <w:pPr>
              <w:pStyle w:val="TableContents"/>
              <w:bidi w:val="0"/>
              <w:spacing w:lineRule="auto" w:line="285" w:before="0" w:after="0"/>
              <w:ind w:left="0" w:right="0" w:hanging="0"/>
              <w:jc w:val="left"/>
              <w:rPr/>
            </w:pPr>
            <w:r>
              <w:rPr/>
              <w:t>​</w:t>
            </w:r>
          </w:p>
        </w:tc>
        <w:tc>
          <w:tcPr>
            <w:tcW w:w="386" w:type="dxa"/>
            <w:tcBorders/>
            <w:shd w:fill="FFFFFF" w:val="clear"/>
            <w:vAlign w:val="center"/>
          </w:tcPr>
          <w:p>
            <w:pPr>
              <w:pStyle w:val="TableContents"/>
              <w:bidi w:val="0"/>
              <w:spacing w:lineRule="auto" w:line="285" w:before="0" w:after="0"/>
              <w:ind w:left="0" w:right="0" w:hanging="0"/>
              <w:jc w:val="left"/>
              <w:rPr/>
            </w:pPr>
            <w:r>
              <w:rPr/>
              <w:t>​</w:t>
            </w:r>
          </w:p>
        </w:tc>
        <w:tc>
          <w:tcPr>
            <w:tcW w:w="4756" w:type="dxa"/>
            <w:tcBorders/>
            <w:shd w:fill="FFFFFF" w:val="clear"/>
            <w:vAlign w:val="center"/>
          </w:tcPr>
          <w:p>
            <w:pPr>
              <w:pStyle w:val="TableContents"/>
              <w:bidi w:val="0"/>
              <w:spacing w:lineRule="auto" w:line="285" w:before="0" w:after="0"/>
              <w:ind w:left="0" w:right="0" w:hanging="0"/>
              <w:jc w:val="left"/>
              <w:rPr/>
            </w:pPr>
            <w:r>
              <w:rPr/>
              <w:t>​</w:t>
            </w:r>
          </w:p>
        </w:tc>
      </w:tr>
      <w:tr>
        <w:trPr/>
        <w:tc>
          <w:tcPr>
            <w:tcW w:w="124" w:type="dxa"/>
            <w:tcBorders/>
            <w:shd w:fill="FFFFFF" w:val="clear"/>
            <w:vAlign w:val="center"/>
          </w:tcPr>
          <w:p>
            <w:pPr>
              <w:pStyle w:val="TableContents"/>
              <w:pBdr/>
              <w:bidi w:val="0"/>
              <w:spacing w:lineRule="auto" w:line="285" w:before="0" w:after="0"/>
              <w:ind w:left="0" w:right="0" w:hanging="0"/>
              <w:jc w:val="left"/>
              <w:rPr/>
            </w:pPr>
            <w:r>
              <w:rPr/>
              <w:t>​</w:t>
            </w:r>
          </w:p>
        </w:tc>
        <w:tc>
          <w:tcPr>
            <w:tcW w:w="386" w:type="dxa"/>
            <w:tcBorders/>
            <w:shd w:fill="FFFFFF" w:val="clear"/>
            <w:vAlign w:val="center"/>
          </w:tcPr>
          <w:p>
            <w:pPr>
              <w:pStyle w:val="TableContents"/>
              <w:bidi w:val="0"/>
              <w:spacing w:lineRule="auto" w:line="285" w:before="0" w:after="20"/>
              <w:ind w:left="0" w:right="0" w:hanging="0"/>
              <w:jc w:val="left"/>
              <w:rPr/>
            </w:pPr>
            <w:r>
              <w:rPr/>
              <w:t>     </w:t>
            </w:r>
          </w:p>
        </w:tc>
        <w:tc>
          <w:tcPr>
            <w:tcW w:w="4756" w:type="dxa"/>
            <w:tcBorders>
              <w:bottom w:val="single" w:sz="2" w:space="0" w:color="000000"/>
            </w:tcBorders>
            <w:shd w:fill="FFFFFF" w:val="clear"/>
            <w:tcMar>
              <w:bottom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James Coogan</w:t>
            </w:r>
          </w:p>
        </w:tc>
      </w:tr>
      <w:tr>
        <w:trPr/>
        <w:tc>
          <w:tcPr>
            <w:tcW w:w="124" w:type="dxa"/>
            <w:tcBorders/>
            <w:shd w:fill="FFFFFF" w:val="clear"/>
            <w:vAlign w:val="center"/>
          </w:tcPr>
          <w:p>
            <w:pPr>
              <w:pStyle w:val="TableContents"/>
              <w:pBdr/>
              <w:bidi w:val="0"/>
              <w:spacing w:lineRule="auto" w:line="285" w:before="0" w:after="0"/>
              <w:ind w:left="0" w:right="0" w:hanging="0"/>
              <w:jc w:val="left"/>
              <w:rPr/>
            </w:pPr>
            <w:r>
              <w:rPr/>
              <w:t>​</w:t>
            </w:r>
          </w:p>
        </w:tc>
        <w:tc>
          <w:tcPr>
            <w:tcW w:w="386" w:type="dxa"/>
            <w:tcBorders/>
            <w:shd w:fill="FFFFFF" w:val="clear"/>
            <w:vAlign w:val="center"/>
          </w:tcPr>
          <w:p>
            <w:pPr>
              <w:pStyle w:val="TableContents"/>
              <w:bidi w:val="0"/>
              <w:spacing w:lineRule="auto" w:line="285" w:before="0" w:after="0"/>
              <w:ind w:left="0" w:right="0" w:hanging="0"/>
              <w:jc w:val="left"/>
              <w:rPr/>
            </w:pPr>
            <w:r>
              <w:rPr/>
              <w:t>​</w:t>
            </w:r>
          </w:p>
        </w:tc>
        <w:tc>
          <w:tcPr>
            <w:tcW w:w="4756" w:type="dxa"/>
            <w:tcBorders>
              <w:top w:val="single" w:sz="2" w:space="0" w:color="000000"/>
            </w:tcBorders>
            <w:shd w:fill="FFFFFF" w:val="clear"/>
            <w:tcMar>
              <w:top w:w="28" w:type="dxa"/>
            </w:tcMar>
            <w:vAlign w:val="center"/>
          </w:tcPr>
          <w:p>
            <w:pPr>
              <w:pStyle w:val="TableContents"/>
              <w:bidi w:val="0"/>
              <w:spacing w:lineRule="auto" w:line="285" w:before="0" w:after="20"/>
              <w:ind w:left="0" w:right="0" w:hanging="0"/>
              <w:jc w:val="left"/>
              <w:rPr>
                <w:rFonts w:ascii="Times New Roman;Times;serif" w:hAnsi="Times New Roman;Times;serif"/>
                <w:sz w:val="20"/>
              </w:rPr>
            </w:pPr>
            <w:r>
              <w:rPr>
                <w:rFonts w:ascii="Times New Roman;Times;serif" w:hAnsi="Times New Roman;Times;serif"/>
                <w:sz w:val="20"/>
              </w:rPr>
              <w:t>James Coogan</w:t>
            </w:r>
          </w:p>
        </w:tc>
      </w:tr>
      <w:tr>
        <w:trPr/>
        <w:tc>
          <w:tcPr>
            <w:tcW w:w="124" w:type="dxa"/>
            <w:tcBorders/>
            <w:shd w:fill="FFFFFF" w:val="clear"/>
            <w:vAlign w:val="center"/>
          </w:tcPr>
          <w:p>
            <w:pPr>
              <w:pStyle w:val="TableContents"/>
              <w:pBdr/>
              <w:bidi w:val="0"/>
              <w:spacing w:lineRule="auto" w:line="285" w:before="0" w:after="0"/>
              <w:ind w:left="0" w:right="0" w:hanging="0"/>
              <w:jc w:val="left"/>
              <w:rPr/>
            </w:pPr>
            <w:r>
              <w:rPr/>
              <w:t>​</w:t>
            </w:r>
          </w:p>
        </w:tc>
        <w:tc>
          <w:tcPr>
            <w:tcW w:w="386" w:type="dxa"/>
            <w:tcBorders/>
            <w:shd w:fill="FFFFFF" w:val="clear"/>
            <w:vAlign w:val="center"/>
          </w:tcPr>
          <w:p>
            <w:pPr>
              <w:pStyle w:val="TableContents"/>
              <w:bidi w:val="0"/>
              <w:spacing w:lineRule="auto" w:line="285" w:before="0" w:after="0"/>
              <w:ind w:left="0" w:right="0" w:hanging="0"/>
              <w:jc w:val="left"/>
              <w:rPr/>
            </w:pPr>
            <w:r>
              <w:rPr/>
              <w:t>​</w:t>
            </w:r>
          </w:p>
        </w:tc>
        <w:tc>
          <w:tcPr>
            <w:tcW w:w="4756" w:type="dxa"/>
            <w:tcBorders/>
            <w:shd w:fill="FFFFFF" w:val="clear"/>
            <w:vAlign w:val="center"/>
          </w:tcPr>
          <w:p>
            <w:pPr>
              <w:pStyle w:val="TableContents"/>
              <w:bidi w:val="0"/>
              <w:spacing w:lineRule="auto" w:line="285" w:before="0" w:after="20"/>
              <w:ind w:left="0" w:right="0" w:hanging="0"/>
              <w:jc w:val="left"/>
              <w:rPr>
                <w:rFonts w:ascii="Times New Roman;Times;serif" w:hAnsi="Times New Roman;Times;serif"/>
                <w:i/>
                <w:sz w:val="20"/>
              </w:rPr>
            </w:pPr>
            <w:r>
              <w:rPr>
                <w:rFonts w:ascii="Times New Roman;Times;serif" w:hAnsi="Times New Roman;Times;serif"/>
                <w:i/>
                <w:sz w:val="20"/>
              </w:rPr>
              <w:t xml:space="preserve">Executive Vice President and Chief Financial Officer of </w:t>
              <w:br/>
              <w:t>Axcelis Technologies, Inc.</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 w:name="Symbol">
    <w:charset w:val="01"/>
    <w:family w:val="auto"/>
    <w:pitch w:val="default"/>
  </w:font>
  <w:font w:name="Calibri">
    <w:altName w:val="Helvetic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232/000155837017008078/acls-20170930ex31a83feb6.htm" TargetMode="External"/><Relationship Id="rId3" Type="http://schemas.openxmlformats.org/officeDocument/2006/relationships/hyperlink" Target="https://www.sec.gov/Archives/edgar/data/1113232/000110465922058781/tm2213765d1_ex3-1.htm" TargetMode="External"/><Relationship Id="rId4" Type="http://schemas.openxmlformats.org/officeDocument/2006/relationships/hyperlink" Target="https://www.sec.gov/Archives/edgar/data/1113232/000155837020001858/acls-20191231ex448a2eaee.htm" TargetMode="External"/><Relationship Id="rId5" Type="http://schemas.openxmlformats.org/officeDocument/2006/relationships/hyperlink" Target="https://www.sec.gov/Archives/edgar/data/1113232/000155837022016292/acls-20220930xex10d1.htm" TargetMode="External"/><Relationship Id="rId6" Type="http://schemas.openxmlformats.org/officeDocument/2006/relationships/hyperlink" Target="http://www.sec.gov/Archives/edgar/data/1113232/000104746910002204/a2197155zex-10_2.htm" TargetMode="External"/><Relationship Id="rId7" Type="http://schemas.openxmlformats.org/officeDocument/2006/relationships/hyperlink" Target="http://www.sec.gov/Archives/edgar/data/1113232/000104746912001874/a2207604zex-10_4.htm" TargetMode="External"/><Relationship Id="rId8" Type="http://schemas.openxmlformats.org/officeDocument/2006/relationships/hyperlink" Target="http://www.sec.gov/Archives/edgar/data/1113232/000155837017001778/acls-20161231ex106472dea.htm" TargetMode="External"/><Relationship Id="rId9" Type="http://schemas.openxmlformats.org/officeDocument/2006/relationships/hyperlink" Target="http://www.sec.gov/Archives/edgar/data/1113232/000110465912055070/a12-13741_1ex10d2.htm" TargetMode="External"/><Relationship Id="rId10" Type="http://schemas.openxmlformats.org/officeDocument/2006/relationships/hyperlink" Target="http://www.sec.gov/Archives/edgar/data/1113232/000110465912055070/a12-13741_1ex10d3.htm" TargetMode="External"/><Relationship Id="rId11" Type="http://schemas.openxmlformats.org/officeDocument/2006/relationships/hyperlink" Target="http://www.sec.gov/Archives/edgar/data/1113232/000110465912055070/a12-13741_1ex10d4.htm" TargetMode="External"/><Relationship Id="rId12" Type="http://schemas.openxmlformats.org/officeDocument/2006/relationships/hyperlink" Target="https://www.sec.gov/Archives/edgar/data/1113232/000110465923059495/tm2314798d1_ex10-1.htm" TargetMode="External"/><Relationship Id="rId13" Type="http://schemas.openxmlformats.org/officeDocument/2006/relationships/hyperlink" Target="https://www.sec.gov/Archives/edgar/data/1113232/000110465923046426/tm2313052d1_ex10-1.htm" TargetMode="External"/><Relationship Id="rId14" Type="http://schemas.openxmlformats.org/officeDocument/2006/relationships/hyperlink" Target="https://www.sec.gov/Archives/edgar/data/1113232/000155837019007396/acls-20190630ex1022c13af.htm" TargetMode="External"/><Relationship Id="rId15" Type="http://schemas.openxmlformats.org/officeDocument/2006/relationships/hyperlink" Target="http://www.sec.gov/Archives/edgar/data/1113232/000104746915001994/a2223440zex-10_24.htm" TargetMode="External"/><Relationship Id="rId16" Type="http://schemas.openxmlformats.org/officeDocument/2006/relationships/hyperlink" Target="http://www.sec.gov/Archives/edgar/data/1113232/000111323203000002/ex14_1.txt"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40607</Words>
  <Characters>227842</Characters>
  <CharactersWithSpaces>271424</CharactersWithSpaces>
  <Paragraphs>8799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