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403225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1360" w:hanging="752"/>
        <w:spacing w:after="0"/>
        <w:tabs>
          <w:tab w:leader="none" w:pos="1360" w:val="left"/>
        </w:tabs>
        <w:numPr>
          <w:ilvl w:val="0"/>
          <w:numId w:val="1"/>
        </w:numPr>
        <w:rPr>
          <w:rFonts w:ascii="Arial" w:cs="Arial" w:eastAsia="Arial" w:hAnsi="Arial"/>
          <w:sz w:val="14"/>
          <w:szCs w:val="14"/>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88" w:lineRule="exact"/>
        <w:rPr>
          <w:sz w:val="24"/>
          <w:szCs w:val="24"/>
          <w:color w:val="auto"/>
        </w:rPr>
      </w:pPr>
    </w:p>
    <w:p>
      <w:pPr>
        <w:ind w:left="1360" w:hanging="738"/>
        <w:spacing w:after="0"/>
        <w:tabs>
          <w:tab w:leader="none" w:pos="1360" w:val="left"/>
        </w:tabs>
        <w:numPr>
          <w:ilvl w:val="0"/>
          <w:numId w:val="2"/>
        </w:numPr>
        <w:rPr>
          <w:rFonts w:ascii="MS PGothic" w:cs="MS PGothic" w:eastAsia="MS PGothic" w:hAnsi="MS PGothic"/>
          <w:sz w:val="25"/>
          <w:szCs w:val="25"/>
          <w:color w:val="auto"/>
          <w:highlight w:val="black"/>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8"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50"/>
        </w:trPr>
        <w:tc>
          <w:tcPr>
            <w:tcW w:w="2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0" w:type="dxa"/>
            <w:vAlign w:val="bottom"/>
            <w:gridSpan w:val="3"/>
          </w:tcPr>
          <w:p>
            <w:pPr>
              <w:jc w:val="center"/>
              <w:ind w:right="3199"/>
              <w:spacing w:after="0"/>
              <w:rPr>
                <w:sz w:val="20"/>
                <w:szCs w:val="20"/>
                <w:color w:val="auto"/>
              </w:rPr>
            </w:pPr>
            <w:r>
              <w:rPr>
                <w:rFonts w:ascii="Times New Roman" w:cs="Times New Roman" w:eastAsia="Times New Roman" w:hAnsi="Times New Roman"/>
                <w:sz w:val="16"/>
                <w:szCs w:val="16"/>
                <w:b w:val="1"/>
                <w:bCs w:val="1"/>
                <w:color w:val="auto"/>
              </w:rPr>
              <w:t>Commission file number 000-30941</w:t>
            </w:r>
          </w:p>
        </w:tc>
      </w:tr>
      <w:tr>
        <w:trPr>
          <w:trHeight w:val="397"/>
        </w:trPr>
        <w:tc>
          <w:tcPr>
            <w:tcW w:w="2680" w:type="dxa"/>
            <w:vAlign w:val="bottom"/>
          </w:tcPr>
          <w:p>
            <w:pPr>
              <w:spacing w:after="0"/>
              <w:rPr>
                <w:sz w:val="24"/>
                <w:szCs w:val="24"/>
                <w:color w:val="auto"/>
              </w:rPr>
            </w:pPr>
          </w:p>
        </w:tc>
        <w:tc>
          <w:tcPr>
            <w:tcW w:w="7560" w:type="dxa"/>
            <w:vAlign w:val="bottom"/>
            <w:gridSpan w:val="4"/>
          </w:tcPr>
          <w:p>
            <w:pPr>
              <w:jc w:val="center"/>
              <w:ind w:right="2639"/>
              <w:spacing w:after="0"/>
              <w:rPr>
                <w:sz w:val="20"/>
                <w:szCs w:val="20"/>
                <w:color w:val="auto"/>
              </w:rPr>
            </w:pPr>
            <w:r>
              <w:rPr>
                <w:rFonts w:ascii="Times New Roman" w:cs="Times New Roman" w:eastAsia="Times New Roman" w:hAnsi="Times New Roman"/>
                <w:sz w:val="29"/>
                <w:szCs w:val="29"/>
                <w:b w:val="1"/>
                <w:bCs w:val="1"/>
                <w:color w:val="auto"/>
                <w:w w:val="99"/>
              </w:rPr>
              <w:t>AXCELIS TECHNOLOGIES, INC.</w:t>
            </w: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0" w:type="dxa"/>
            <w:vAlign w:val="bottom"/>
            <w:gridSpan w:val="3"/>
          </w:tcPr>
          <w:p>
            <w:pPr>
              <w:jc w:val="center"/>
              <w:ind w:right="31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67"/>
        </w:trPr>
        <w:tc>
          <w:tcPr>
            <w:tcW w:w="2680" w:type="dxa"/>
            <w:vAlign w:val="bottom"/>
          </w:tcPr>
          <w:p>
            <w:pPr>
              <w:spacing w:after="0"/>
              <w:rPr>
                <w:sz w:val="23"/>
                <w:szCs w:val="23"/>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40" w:type="dxa"/>
            <w:vAlign w:val="bottom"/>
            <w:gridSpan w:val="2"/>
          </w:tcPr>
          <w:p>
            <w:pPr>
              <w:jc w:val="right"/>
              <w:ind w:right="2579"/>
              <w:spacing w:after="0"/>
              <w:rPr>
                <w:sz w:val="20"/>
                <w:szCs w:val="20"/>
                <w:color w:val="auto"/>
              </w:rPr>
            </w:pPr>
            <w:r>
              <w:rPr>
                <w:rFonts w:ascii="Times New Roman" w:cs="Times New Roman" w:eastAsia="Times New Roman" w:hAnsi="Times New Roman"/>
                <w:sz w:val="18"/>
                <w:szCs w:val="18"/>
                <w:b w:val="1"/>
                <w:bCs w:val="1"/>
                <w:color w:val="auto"/>
              </w:rPr>
              <w:t>34-1818596</w:t>
            </w:r>
          </w:p>
        </w:tc>
      </w:tr>
      <w:tr>
        <w:trPr>
          <w:trHeight w:val="148"/>
        </w:trPr>
        <w:tc>
          <w:tcPr>
            <w:tcW w:w="6000" w:type="dxa"/>
            <w:vAlign w:val="bottom"/>
            <w:gridSpan w:val="3"/>
          </w:tcPr>
          <w:p>
            <w:pPr>
              <w:jc w:val="center"/>
              <w:ind w:left="222"/>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4240" w:type="dxa"/>
            <w:vAlign w:val="bottom"/>
            <w:gridSpan w:val="2"/>
          </w:tcPr>
          <w:p>
            <w:pPr>
              <w:jc w:val="center"/>
              <w:ind w:right="1859"/>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6000" w:type="dxa"/>
            <w:vAlign w:val="bottom"/>
            <w:gridSpan w:val="3"/>
          </w:tcPr>
          <w:p>
            <w:pPr>
              <w:jc w:val="center"/>
              <w:ind w:left="222"/>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82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278"/>
        </w:trPr>
        <w:tc>
          <w:tcPr>
            <w:tcW w:w="2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108 Cherry Hill Drive</w:t>
            </w:r>
          </w:p>
        </w:tc>
        <w:tc>
          <w:tcPr>
            <w:tcW w:w="8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4"/>
        </w:trPr>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0" w:type="dxa"/>
            <w:vAlign w:val="bottom"/>
            <w:gridSpan w:val="3"/>
          </w:tcPr>
          <w:p>
            <w:pPr>
              <w:jc w:val="center"/>
              <w:ind w:right="3179"/>
              <w:spacing w:after="0"/>
              <w:rPr>
                <w:sz w:val="20"/>
                <w:szCs w:val="20"/>
                <w:color w:val="auto"/>
              </w:rPr>
            </w:pPr>
            <w:r>
              <w:rPr>
                <w:rFonts w:ascii="Times New Roman" w:cs="Times New Roman" w:eastAsia="Times New Roman" w:hAnsi="Times New Roman"/>
                <w:sz w:val="16"/>
                <w:szCs w:val="16"/>
                <w:b w:val="1"/>
                <w:bCs w:val="1"/>
                <w:color w:val="auto"/>
              </w:rPr>
              <w:t>Beverly, Massachusetts 01915</w:t>
            </w: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0" w:type="dxa"/>
            <w:vAlign w:val="bottom"/>
            <w:gridSpan w:val="3"/>
          </w:tcPr>
          <w:p>
            <w:pPr>
              <w:jc w:val="center"/>
              <w:ind w:right="317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262"/>
        </w:trPr>
        <w:tc>
          <w:tcPr>
            <w:tcW w:w="2680" w:type="dxa"/>
            <w:vAlign w:val="bottom"/>
          </w:tcPr>
          <w:p>
            <w:pPr>
              <w:spacing w:after="0"/>
              <w:rPr>
                <w:sz w:val="22"/>
                <w:szCs w:val="22"/>
                <w:color w:val="auto"/>
              </w:rPr>
            </w:pPr>
          </w:p>
        </w:tc>
        <w:tc>
          <w:tcPr>
            <w:tcW w:w="3320" w:type="dxa"/>
            <w:vAlign w:val="bottom"/>
            <w:gridSpan w:val="2"/>
          </w:tcPr>
          <w:p>
            <w:pPr>
              <w:jc w:val="center"/>
              <w:ind w:left="1445"/>
              <w:spacing w:after="0"/>
              <w:rPr>
                <w:sz w:val="20"/>
                <w:szCs w:val="20"/>
                <w:color w:val="auto"/>
              </w:rPr>
            </w:pPr>
            <w:r>
              <w:rPr>
                <w:rFonts w:ascii="Times New Roman" w:cs="Times New Roman" w:eastAsia="Times New Roman" w:hAnsi="Times New Roman"/>
                <w:sz w:val="16"/>
                <w:szCs w:val="16"/>
                <w:b w:val="1"/>
                <w:bCs w:val="1"/>
                <w:color w:val="auto"/>
              </w:rPr>
              <w:t>(978) 787-4000</w:t>
            </w:r>
          </w:p>
        </w:tc>
        <w:tc>
          <w:tcPr>
            <w:tcW w:w="82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0" w:type="dxa"/>
            <w:vAlign w:val="bottom"/>
            <w:gridSpan w:val="3"/>
          </w:tcPr>
          <w:p>
            <w:pPr>
              <w:jc w:val="center"/>
              <w:ind w:right="319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70"/>
        </w:trPr>
        <w:tc>
          <w:tcPr>
            <w:tcW w:w="2680" w:type="dxa"/>
            <w:vAlign w:val="bottom"/>
          </w:tcPr>
          <w:p>
            <w:pPr>
              <w:spacing w:after="0"/>
              <w:rPr>
                <w:sz w:val="23"/>
                <w:szCs w:val="23"/>
                <w:color w:val="auto"/>
              </w:rPr>
            </w:pPr>
          </w:p>
        </w:tc>
        <w:tc>
          <w:tcPr>
            <w:tcW w:w="7560" w:type="dxa"/>
            <w:vAlign w:val="bottom"/>
            <w:gridSpan w:val="4"/>
          </w:tcPr>
          <w:p>
            <w:pPr>
              <w:jc w:val="center"/>
              <w:ind w:right="26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14"/>
        </w:trPr>
        <w:tc>
          <w:tcPr>
            <w:tcW w:w="26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r>
      <w:tr>
        <w:trPr>
          <w:trHeight w:val="196"/>
        </w:trPr>
        <w:tc>
          <w:tcPr>
            <w:tcW w:w="2680" w:type="dxa"/>
            <w:vAlign w:val="bottom"/>
            <w:tcBorders>
              <w:left w:val="single" w:sz="8" w:color="auto"/>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rPr>
              <w:t>Title of each class</w:t>
            </w:r>
          </w:p>
        </w:tc>
        <w:tc>
          <w:tcPr>
            <w:tcW w:w="56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rPr>
              <w:t>Trading symbol</w:t>
            </w:r>
          </w:p>
        </w:tc>
        <w:tc>
          <w:tcPr>
            <w:tcW w:w="820" w:type="dxa"/>
            <w:vAlign w:val="bottom"/>
            <w:tcBorders>
              <w:bottom w:val="single" w:sz="8" w:color="auto"/>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6"/>
        </w:trPr>
        <w:tc>
          <w:tcPr>
            <w:tcW w:w="2680" w:type="dxa"/>
            <w:vAlign w:val="bottom"/>
            <w:tcBorders>
              <w:left w:val="single" w:sz="8" w:color="auto"/>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56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rPr>
              <w:t>ACLS</w:t>
            </w:r>
          </w:p>
        </w:tc>
        <w:tc>
          <w:tcPr>
            <w:tcW w:w="820" w:type="dxa"/>
            <w:vAlign w:val="bottom"/>
            <w:tcBorders>
              <w:bottom w:val="single" w:sz="8" w:color="auto"/>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88"/>
        </w:trPr>
        <w:tc>
          <w:tcPr>
            <w:tcW w:w="2680" w:type="dxa"/>
            <w:vAlign w:val="bottom"/>
          </w:tcPr>
          <w:p>
            <w:pPr>
              <w:spacing w:after="0"/>
              <w:rPr>
                <w:sz w:val="24"/>
                <w:szCs w:val="24"/>
                <w:color w:val="auto"/>
              </w:rPr>
            </w:pPr>
          </w:p>
        </w:tc>
        <w:tc>
          <w:tcPr>
            <w:tcW w:w="7560" w:type="dxa"/>
            <w:vAlign w:val="bottom"/>
            <w:gridSpan w:val="4"/>
          </w:tcPr>
          <w:p>
            <w:pPr>
              <w:jc w:val="center"/>
              <w:ind w:right="26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r>
      <w:tr>
        <w:trPr>
          <w:trHeight w:val="212"/>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None</w:t>
            </w:r>
          </w:p>
        </w:tc>
        <w:tc>
          <w:tcPr>
            <w:tcW w:w="8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94"/>
        </w:trPr>
        <w:tc>
          <w:tcPr>
            <w:tcW w:w="10240" w:type="dxa"/>
            <w:vAlign w:val="bottom"/>
            <w:gridSpan w:val="5"/>
          </w:tcPr>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tc>
      </w:tr>
      <w:tr>
        <w:trPr>
          <w:trHeight w:val="272"/>
        </w:trPr>
        <w:tc>
          <w:tcPr>
            <w:tcW w:w="10240" w:type="dxa"/>
            <w:vAlign w:val="bottom"/>
            <w:gridSpan w:val="5"/>
          </w:tcPr>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tc>
      </w:tr>
    </w:tbl>
    <w:p>
      <w:pPr>
        <w:spacing w:after="0" w:line="34" w:lineRule="exact"/>
        <w:rPr>
          <w:sz w:val="24"/>
          <w:szCs w:val="24"/>
          <w:color w:val="auto"/>
        </w:rPr>
      </w:pPr>
    </w:p>
    <w:p>
      <w:pPr>
        <w:ind w:right="40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5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p>
      <w:pPr>
        <w:spacing w:after="0" w:line="188" w:lineRule="exact"/>
        <w:tabs>
          <w:tab w:leader="none" w:pos="1940" w:val="left"/>
          <w:tab w:leader="none" w:pos="4020" w:val="left"/>
          <w:tab w:leader="none" w:pos="6220" w:val="left"/>
          <w:tab w:leader="none" w:pos="84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3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6"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Aggregate market value of the voting stock held by non-affiliates of the registrant as of June 30, 2024: $4,617,739,619</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outstanding of the registrant’s Common Stock, $0.001 par value, as of February 24, 2025: 32,154,139</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4"/>
          <w:szCs w:val="24"/>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Portions of the definitive Proxy Statement for Axcelis Technologies, Inc.’s Annual Meeting of Stockholders to be held on May 7, 2025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455930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78740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61595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Axcelis Technologies, Inc. (“Axcelis,” the “Company,” “we,” “us,” or “our”) designs, manufactures and services ion implantation and other processing equipment used in the fabrication of semiconductor chips. We believe that our Purion family of products offers the most innovative implanters available on the market today. We sell to leading semiconductor chip manufacturers worldwide. The ion implantation business represented 98.3% of our revenue in 2024, with the remaining 1.7% of revenue derived from aftermarket sales associated with other legacy processing systems. In addition to equipment, we provide extensive aftermarket lifecycle products and services, including used tools, spare parts, equipment upgrades, maintenance services and customer training.</w:t>
      </w:r>
    </w:p>
    <w:p>
      <w:pPr>
        <w:spacing w:after="0" w:line="189"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Axcelis’ business commenced in 1978 and its current corporate entity was incorporated in Delaware in 1995. We are headquartered in Beverly, Massachusetts and maintain an internet site at www.axcelis.com. On or through our website, investors may access, free of charge,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 Our website and the information contained therein or connected thereto shall not be deemed to be incorporated into this Annual Report on Form 10-K.</w:t>
      </w:r>
    </w:p>
    <w:p>
      <w:pPr>
        <w:spacing w:after="0" w:line="189" w:lineRule="exact"/>
        <w:rPr>
          <w:sz w:val="20"/>
          <w:szCs w:val="20"/>
          <w:color w:val="auto"/>
        </w:rPr>
      </w:pPr>
    </w:p>
    <w:p>
      <w:pPr>
        <w:ind w:right="79" w:firstLine="405"/>
        <w:spacing w:after="0" w:line="261" w:lineRule="auto"/>
        <w:rPr>
          <w:sz w:val="20"/>
          <w:szCs w:val="20"/>
          <w:color w:val="auto"/>
        </w:rPr>
      </w:pPr>
      <w:r>
        <w:rPr>
          <w:rFonts w:ascii="Times New Roman" w:cs="Times New Roman" w:eastAsia="Times New Roman" w:hAnsi="Times New Roman"/>
          <w:sz w:val="18"/>
          <w:szCs w:val="18"/>
          <w:color w:val="auto"/>
        </w:rPr>
        <w:t>Revenue for 2024 was $1,017.9 million, compared to $1,130.6 million in 2023. Systems revenue for 2024 was $782.6 million, compared to $883.6 million in 2023. Gross margin percent for 2024 was 44.7% compared to 43.5% in 2023. Operating profit for 2024 was $210.8 million, compared to $265.8 million in 2023. Net income for 2024 was $201.0 million, compared to $246.3 million in 2023.</w:t>
      </w:r>
    </w:p>
    <w:p>
      <w:pPr>
        <w:spacing w:after="0" w:line="180" w:lineRule="exact"/>
        <w:rPr>
          <w:sz w:val="20"/>
          <w:szCs w:val="20"/>
          <w:color w:val="auto"/>
        </w:rPr>
      </w:pPr>
    </w:p>
    <w:p>
      <w:pPr>
        <w:jc w:val="both"/>
        <w:ind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is in a strong competitive position. A focused strategy on ion implant, combined with the hard work and dedication of our employees and the support of our customers and suppliers, enabled us to achieve critical milestones in our drive to market leadership. Important accomplishments in 2024 included:</w:t>
      </w:r>
    </w:p>
    <w:p>
      <w:pPr>
        <w:spacing w:after="0" w:line="176" w:lineRule="exact"/>
        <w:rPr>
          <w:sz w:val="20"/>
          <w:szCs w:val="20"/>
          <w:color w:val="auto"/>
        </w:rPr>
      </w:pPr>
    </w:p>
    <w:p>
      <w:pPr>
        <w:ind w:left="680" w:hanging="32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revenue of $1,017.9 million in 2024 and earnings per share of $6.15.</w:t>
      </w:r>
    </w:p>
    <w:p>
      <w:pPr>
        <w:spacing w:after="0" w:line="36" w:lineRule="exact"/>
        <w:rPr>
          <w:rFonts w:ascii="Times New Roman" w:cs="Times New Roman" w:eastAsia="Times New Roman" w:hAnsi="Times New Roman"/>
          <w:sz w:val="18"/>
          <w:szCs w:val="18"/>
          <w:color w:val="auto"/>
        </w:rPr>
      </w:pPr>
    </w:p>
    <w:p>
      <w:pPr>
        <w:ind w:left="680" w:right="419" w:hanging="324"/>
        <w:spacing w:after="0" w:line="273"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remained a technology leader and supplier of choice in the implant-intensive power device segment, which accounted for 56% of the value of our 2024 system shipments.</w:t>
      </w:r>
    </w:p>
    <w:p>
      <w:pPr>
        <w:spacing w:after="0" w:line="1" w:lineRule="exact"/>
        <w:rPr>
          <w:rFonts w:ascii="Times New Roman" w:cs="Times New Roman" w:eastAsia="Times New Roman" w:hAnsi="Times New Roman"/>
          <w:sz w:val="18"/>
          <w:szCs w:val="18"/>
          <w:color w:val="auto"/>
        </w:rPr>
      </w:pPr>
    </w:p>
    <w:p>
      <w:pPr>
        <w:ind w:left="680" w:right="419" w:hanging="324"/>
        <w:spacing w:after="0" w:line="273"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working to expand our footprint with existing and new customers and currently have two Purion evaluation systems in the field at strategic customer sites in key market segments.</w:t>
      </w:r>
    </w:p>
    <w:p>
      <w:pPr>
        <w:spacing w:after="0" w:line="1" w:lineRule="exact"/>
        <w:rPr>
          <w:rFonts w:ascii="Times New Roman" w:cs="Times New Roman" w:eastAsia="Times New Roman" w:hAnsi="Times New Roman"/>
          <w:sz w:val="18"/>
          <w:szCs w:val="18"/>
          <w:color w:val="auto"/>
        </w:rPr>
      </w:pPr>
    </w:p>
    <w:p>
      <w:pPr>
        <w:ind w:left="680" w:right="79" w:hanging="324"/>
        <w:spacing w:after="0" w:line="26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investment in our Customer Solutions &amp; Innovation (“CS&amp;I”) aftermarket business to drive financial growth and increased customer satisfaction levels, including the “Digital Tool Box,” an innovative service offering with online training, remote diagnosis and install, and automated troubleshooting guide.</w:t>
      </w:r>
    </w:p>
    <w:p>
      <w:pPr>
        <w:spacing w:after="0" w:line="2" w:lineRule="exact"/>
        <w:rPr>
          <w:rFonts w:ascii="Times New Roman" w:cs="Times New Roman" w:eastAsia="Times New Roman" w:hAnsi="Times New Roman"/>
          <w:sz w:val="18"/>
          <w:szCs w:val="18"/>
          <w:color w:val="auto"/>
        </w:rPr>
      </w:pPr>
    </w:p>
    <w:p>
      <w:pPr>
        <w:ind w:left="680" w:right="99" w:hanging="324"/>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22 customer satisfaction awards in 2024. In addition, Axcelis was named to both the 2023 and 2024 editions of Forbes’ List of America’s Best Mid-Cap Companies and to both the Fortune Magazine’s 2023 and 2024 lists of the Top 100 Fastest Growing Companies.</w:t>
      </w:r>
    </w:p>
    <w:p>
      <w:pPr>
        <w:spacing w:after="0" w:line="216" w:lineRule="exact"/>
        <w:rPr>
          <w:sz w:val="20"/>
          <w:szCs w:val="20"/>
          <w:color w:val="auto"/>
        </w:rPr>
      </w:pPr>
    </w:p>
    <w:p>
      <w:pPr>
        <w:ind w:right="299" w:firstLine="648"/>
        <w:spacing w:after="0" w:line="261" w:lineRule="auto"/>
        <w:rPr>
          <w:sz w:val="20"/>
          <w:szCs w:val="20"/>
          <w:color w:val="auto"/>
        </w:rPr>
      </w:pPr>
      <w:r>
        <w:rPr>
          <w:rFonts w:ascii="Times New Roman" w:cs="Times New Roman" w:eastAsia="Times New Roman" w:hAnsi="Times New Roman"/>
          <w:sz w:val="18"/>
          <w:szCs w:val="18"/>
          <w:color w:val="auto"/>
        </w:rPr>
        <w:t>We continue to work diligently to ensure that manufacturing and operating expense levels remain well aligned to business conditions. We believe that the most fundamental interest of our stockholders is consistent, profitable financial performance, which we expect to continue to deliver in 2025. Our performance is subject to the risks and uncertainties discussed below under Item 1A,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jc w:val="both"/>
        <w:ind w:right="139" w:firstLine="648"/>
        <w:spacing w:after="0" w:line="266" w:lineRule="auto"/>
        <w:rPr>
          <w:sz w:val="20"/>
          <w:szCs w:val="20"/>
          <w:color w:val="auto"/>
        </w:rPr>
      </w:pPr>
      <w:r>
        <w:rPr>
          <w:rFonts w:ascii="Times New Roman" w:cs="Times New Roman" w:eastAsia="Times New Roman" w:hAnsi="Times New Roman"/>
          <w:sz w:val="18"/>
          <w:szCs w:val="18"/>
          <w:color w:val="auto"/>
        </w:rPr>
        <w:t>Semiconductor chips, also known as integrated circuits, are used in a continuously evolving range of consumer and industrial products, including for example, personal computers, mobile devices, automobiles, sensors and controllers for the “internet of things” and data storage servers. Types of semiconductor chips include dynamic random-access memory</w:t>
      </w:r>
    </w:p>
    <w:p>
      <w:pPr>
        <w:sectPr>
          <w:pgSz w:w="11900" w:h="16838" w:orient="portrait"/>
          <w:cols w:equalWidth="0" w:num="1">
            <w:col w:w="9079"/>
          </w:cols>
          <w:pgMar w:left="1380" w:top="513" w:right="1440" w:bottom="1440" w:gutter="0" w:footer="0" w:header="0"/>
        </w:sect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(“DRAM”) and “Not AND” (“NAND”) Flash memory; logic devices to process information; and “system on chip” devices (which have both logic and memory features). The demand for chips continues to increase, as a result of the electrification of vehicles, the evolution of digital communications (including the introduction of 5G mobile networks), artificial intelligence, large language models e.g. (ChatGPT), data analytics and visualization, and the growth in the Internet of Things, and the increasing complexity of device features. These chips are used in power management, data input, such as image sensors, which are often manufactured using mature processing technologies, as well as for memory to support the storage of data, internet streaming and “cloud computing” data analytics.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Most semiconductor chips are built on silicon or silicon carbide (“SiC”) wafers of 150mm (6 inches), 200mm (8 inches) or 300mm (12 inches) in diameter. Each semiconductor chip is made up of millions of tiny transistors or “switches” to control the functions of the device. Transistors are created in the wafer by introducing various precisely placed dopants into the silicon or SiC in specific patterns.</w:t>
      </w:r>
    </w:p>
    <w:p>
      <w:pPr>
        <w:spacing w:after="0" w:line="180"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Semiconductor chip manufacturers own or manage wafer fabrication facilities (often referred to as “fabs”), which utilize many different types of equipment in the making of integrated circuits. Over 300 process steps utilizing over 50 different types of process tools are required to make a single device like a microprocessor. Semiconductor chip manufacturers seek device performance benefits through new products and technology enhancements and productivity improvements through increased throughput, equipment utilization and higher manufacturing yields. Capacity is added by increasing the amount of manufacturing equipment in existing fabrication facilities and by constructing new fabrication facilities.</w:t>
      </w:r>
    </w:p>
    <w:p>
      <w:pPr>
        <w:spacing w:after="0" w:line="173"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17"/>
          <w:szCs w:val="17"/>
          <w:color w:val="auto"/>
        </w:rPr>
        <w:t>We have different types of customers, which impacts the timing of purchases and technology requirements. Some customers are integrated electronics manufacturers, making semiconductor chips for their own devices. These same companies may also act as foundries, manufacturing semiconductor chips for other electronic manufacturers or chip design companies. Some customers only function as foundries. A few companies design and manufacture branded chips that are sold to device manufacturers. In addition, some customers have partnerships or joint ventures with two or more semiconductor chip manufacturers to share the technology development and capital investment. The timing of purchases by foundry customers will depend on their success in securing manufacturing contracts. Also, foundry customers will look for equipment that can deliver the broadest capabilities to be prepared to manufacture all chip types, while integrated electronics manufacturers may invest in processing equipment dedicated to a specific application they require for their products.</w:t>
      </w:r>
    </w:p>
    <w:p>
      <w:pPr>
        <w:spacing w:after="0" w:line="17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semiconductor capital equipment industry has historically been cyclical as global chip production capacities successively exceed, then lag behind, global chip demand. When chip demand is high, and inventories are low, chip manufacturers add capacity through capital equipment purchases. Given the difficulties of forecasting and calibrating chip demand and production capacity, the industry periodically experiences excess chip inventories and softening chip prices. Device manufacturers react with muted capital spending, lowering the demand for capital equipment. Changes in consumer and business demand for products in which chips are used also affect the industry. A successful semiconductor capital equipment manufacturer must not only provide some of the most technically complex products manufactured in the world but also must manage its business to thrive during downturns in the cycle.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Axcelis’ Strategy</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Axcelis’ 2025 strategic goals are to:</w:t>
      </w:r>
    </w:p>
    <w:p>
      <w:pPr>
        <w:spacing w:after="0" w:line="158" w:lineRule="exact"/>
        <w:rPr>
          <w:sz w:val="20"/>
          <w:szCs w:val="20"/>
          <w:color w:val="auto"/>
        </w:rPr>
      </w:pPr>
    </w:p>
    <w:p>
      <w:pPr>
        <w:ind w:left="680" w:hanging="32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the foundation on our long-term implant-only business model</w:t>
      </w:r>
    </w:p>
    <w:p>
      <w:pPr>
        <w:spacing w:after="0" w:line="115" w:lineRule="exact"/>
        <w:rPr>
          <w:rFonts w:ascii="Times New Roman" w:cs="Times New Roman" w:eastAsia="Times New Roman" w:hAnsi="Times New Roman"/>
          <w:sz w:val="18"/>
          <w:szCs w:val="18"/>
          <w:color w:val="auto"/>
        </w:rPr>
      </w:pPr>
    </w:p>
    <w:p>
      <w:pPr>
        <w:ind w:left="1000" w:right="180" w:hanging="324"/>
        <w:spacing w:after="0" w:line="26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Win new customers with Purion products and aftermarket offerings that solve high value customer challenges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with differentiated, valuable, and sustainable (“DVS”) solutions</w:t>
      </w:r>
    </w:p>
    <w:p>
      <w:pPr>
        <w:spacing w:after="0" w:line="1"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Improve​ customer satisfaction to drive repeat business</w:t>
      </w:r>
    </w:p>
    <w:p>
      <w:pPr>
        <w:spacing w:after="0" w:line="69"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Execute on identified growth opportunities in Japan and advanced logic</w:t>
      </w:r>
    </w:p>
    <w:p>
      <w:pPr>
        <w:spacing w:after="0" w:line="34"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Deliver CS&amp;I target business model revenues of approximately 25% of total revenues, in line with expectations</w:t>
      </w:r>
    </w:p>
    <w:p>
      <w:pPr>
        <w:spacing w:after="0" w:line="46" w:lineRule="exact"/>
        <w:rPr>
          <w:rFonts w:ascii="Times New Roman" w:cs="Times New Roman" w:eastAsia="Times New Roman" w:hAnsi="Times New Roman"/>
          <w:sz w:val="18"/>
          <w:szCs w:val="18"/>
          <w:color w:val="auto"/>
        </w:rPr>
      </w:pPr>
    </w:p>
    <w:p>
      <w:pPr>
        <w:ind w:left="680" w:hanging="324"/>
        <w:spacing w:after="0" w:line="20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profitable growth by focusing on key customers and targeted market/geographic segments</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 w:hanging="320"/>
        <w:spacing w:after="0"/>
        <w:tabs>
          <w:tab w:leader="none" w:pos="100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Achieve market share leadership across all served markets</w:t>
      </w:r>
      <w:r>
        <w:rPr>
          <w:rFonts w:ascii="Times New Roman" w:cs="Times New Roman" w:eastAsia="Times New Roman" w:hAnsi="Times New Roman"/>
          <w:sz w:val="35"/>
          <w:szCs w:val="35"/>
          <w:color w:val="auto"/>
          <w:vertAlign w:val="subscript"/>
        </w:rPr>
        <w:t>​</w:t>
      </w:r>
    </w:p>
    <w:p>
      <w:pPr>
        <w:spacing w:after="0" w:line="72" w:lineRule="exact"/>
        <w:rPr>
          <w:rFonts w:ascii="Courier New" w:cs="Courier New" w:eastAsia="Courier New" w:hAnsi="Courier New"/>
          <w:sz w:val="18"/>
          <w:szCs w:val="18"/>
          <w:color w:val="auto"/>
        </w:rPr>
      </w:pPr>
    </w:p>
    <w:p>
      <w:pPr>
        <w:ind w:left="1000" w:hanging="320"/>
        <w:spacing w:after="0" w:line="193" w:lineRule="auto"/>
        <w:tabs>
          <w:tab w:leader="none" w:pos="100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Deliver attractive earnings per share and cash generation as defined in targeted business models </w:t>
      </w:r>
      <w:r>
        <w:rPr>
          <w:rFonts w:ascii="Times New Roman" w:cs="Times New Roman" w:eastAsia="Times New Roman" w:hAnsi="Times New Roman"/>
          <w:sz w:val="35"/>
          <w:szCs w:val="35"/>
          <w:color w:val="auto"/>
          <w:vertAlign w:val="subscript"/>
        </w:rPr>
        <w:t>​</w:t>
      </w:r>
    </w:p>
    <w:p>
      <w:pPr>
        <w:ind w:left="1000" w:hanging="320"/>
        <w:spacing w:after="0" w:line="201" w:lineRule="auto"/>
        <w:tabs>
          <w:tab w:leader="none" w:pos="100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Monitor spending in line with growth initiatives and industry trends </w:t>
      </w:r>
      <w:r>
        <w:rPr>
          <w:rFonts w:ascii="Times New Roman" w:cs="Times New Roman" w:eastAsia="Times New Roman" w:hAnsi="Times New Roman"/>
          <w:sz w:val="35"/>
          <w:szCs w:val="35"/>
          <w:color w:val="auto"/>
          <w:vertAlign w:val="subscript"/>
        </w:rPr>
        <w:t>​</w:t>
      </w:r>
    </w:p>
    <w:p>
      <w:pPr>
        <w:spacing w:after="0" w:line="22" w:lineRule="exact"/>
        <w:rPr>
          <w:rFonts w:ascii="Courier New" w:cs="Courier New" w:eastAsia="Courier New" w:hAnsi="Courier New"/>
          <w:sz w:val="18"/>
          <w:szCs w:val="18"/>
          <w:color w:val="auto"/>
        </w:rPr>
      </w:pPr>
    </w:p>
    <w:p>
      <w:pPr>
        <w:ind w:left="1000" w:hanging="320"/>
        <w:spacing w:after="0"/>
        <w:tabs>
          <w:tab w:leader="none" w:pos="100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Execute capital strategy that allows for appropriate business investments while returning value to shareholders</w:t>
      </w:r>
    </w:p>
    <w:p>
      <w:pPr>
        <w:spacing w:after="0" w:line="128" w:lineRule="exact"/>
        <w:rPr>
          <w:rFonts w:ascii="Courier New" w:cs="Courier New" w:eastAsia="Courier New" w:hAnsi="Courier New"/>
          <w:sz w:val="18"/>
          <w:szCs w:val="18"/>
          <w:color w:val="auto"/>
        </w:rPr>
      </w:pPr>
    </w:p>
    <w:p>
      <w:pPr>
        <w:ind w:left="680" w:right="120" w:hanging="324"/>
        <w:spacing w:after="0" w:line="223"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gross margins by deriving maximum value from enabling upgrades, system specials and product extensions while lowering cost through use of “Design for X” (“DFx”) principles, right sourcing, and providing the industry’s best products and services</w:t>
      </w:r>
      <w:r>
        <w:rPr>
          <w:rFonts w:ascii="Times New Roman" w:cs="Times New Roman" w:eastAsia="Times New Roman" w:hAnsi="Times New Roman"/>
          <w:sz w:val="35"/>
          <w:szCs w:val="35"/>
          <w:color w:val="auto"/>
          <w:vertAlign w:val="subscript"/>
        </w:rPr>
        <w:t>​</w:t>
      </w:r>
    </w:p>
    <w:p>
      <w:pPr>
        <w:spacing w:after="0" w:line="91"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beyond ion implant by launching identified corporate development growth initiatives</w:t>
      </w:r>
    </w:p>
    <w:p>
      <w:pPr>
        <w:spacing w:after="0" w:line="30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continue to invest in research and development to ensure our products meet the needs of our customers. We take pride in our scientists and engineers who are adding to our portfolio of patents and proprietary technology to ensure that our investment in technology leadership translates into unique product advantages. We strive for operational excellence by focusing on ways to lower our product, manufacturing, and design costs and to improve our delivery times to our customers. Global customer teams and a focused account management structure maintain and strengthen our customer relationships and increase customer satisfaction. Finally, we endeavor to generate strong cash flows from operations and maintain a sufficient cash balance to ensure we continue to have the necessary capital to fund business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Ion Implantation Systems</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Ion implantation is a principal step in the transistor formation cycle of the semiconductor chip manufacturing process. Ion implantation is also used to change the material characteristics of the silicon or silicon carbide for reasons other than electrical doping, a process known as “material modification.” An ion implanter is a large, technically advanced system that injects dopants such as arsenic, boron or phosphorus into a wafer. These dopants are ionized and therefore have an electrical charge state. This electric charge state allows the dopants to be accelerated, focused and filtered with electric and magnetic fields. Ion implanters use these fields to create a beam of ions with a precisely defined energy level (ranging between several hundred and eight million electron-volts) and with a precisely defined beam current level (ranging from microamps to milliamps). Certain areas of the silicon wafer are blocked off by a polymer material known as photoresist, which acts as a “stencil” to pattern devices so that the dopants will only enter the wafer where needed. Typical process flows require twenty implant steps, with the most advanced processes requiring substantially more steps. Each implant step is characterized by four key parameters: dopant type, dose (amount of dopant), energy (depth into the silicon) and tilt/twist (angle of wafer relative to the ion beam).</w:t>
      </w:r>
    </w:p>
    <w:p>
      <w:pPr>
        <w:spacing w:after="0" w:line="190"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To efficiently cover the wide range of implant steps, three different broad categories of implanters have been developed, each targeted at a specific range of applications, primarily defined by dose and energy. The three traditional implanter categories are referred to as high current, high energy and medium current:</w:t>
      </w:r>
    </w:p>
    <w:p>
      <w:pPr>
        <w:spacing w:after="0" w:line="176" w:lineRule="exact"/>
        <w:rPr>
          <w:sz w:val="20"/>
          <w:szCs w:val="20"/>
          <w:color w:val="auto"/>
        </w:rPr>
      </w:pPr>
    </w:p>
    <w:p>
      <w:pPr>
        <w:ind w:left="1000" w:right="280" w:hanging="320"/>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current implanters were the second type of implanter to emerge, having low energy capability and high dose range.</w:t>
      </w:r>
    </w:p>
    <w:p>
      <w:pPr>
        <w:spacing w:after="0" w:line="161"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energy implanters emerged to address the need for deeper implants with a high energy range and low dose.</w:t>
      </w:r>
    </w:p>
    <w:p>
      <w:pPr>
        <w:spacing w:after="0" w:line="236" w:lineRule="exact"/>
        <w:rPr>
          <w:rFonts w:ascii="Times New Roman" w:cs="Times New Roman" w:eastAsia="Times New Roman" w:hAnsi="Times New Roman"/>
          <w:sz w:val="17"/>
          <w:szCs w:val="17"/>
          <w:color w:val="auto"/>
        </w:rPr>
      </w:pPr>
    </w:p>
    <w:p>
      <w:pPr>
        <w:ind w:left="1000" w:right="400" w:hanging="320"/>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current implanters are the original model of ion implanter, with mid to low-range energy and dose capability.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Axcelis Ion Implanters</w:t>
      </w:r>
    </w:p>
    <w:p>
      <w:pPr>
        <w:spacing w:after="0" w:line="229"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Axcelis offers a complete line of high energy, high current, and medium current implanters for all application requirements. Our Purion flagship systems are all based on a common platform which enables a unique combination of implant purity, precision, and productivity. Combining a state-of-the-art single wafer end station, with advanced spot beam</w:t>
      </w:r>
    </w:p>
    <w:p>
      <w:pPr>
        <w:sectPr>
          <w:pgSz w:w="11900" w:h="16838" w:orient="portrait"/>
          <w:cols w:equalWidth="0" w:num="1">
            <w:col w:w="9100"/>
          </w:cols>
          <w:pgMar w:left="1380" w:top="513" w:right="141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architectures (that ensures all points across the wafer see the same beam condition at the same beam angle), Purion products enable exceptional process control to optimize device performance and yield, at high productivity.</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Purion family of ion implanters, the Company offers the Ovation™ family of multi-wafer, or “batch” implanters. These systems extend Axcelis’ industry benchmark GSD platform into the future, delivering the highest reliability, serviceability, and lowest cost of operations. The Ovation configuration is designed to seamlessly integrate with the existing fleet of Axcelis batch implanters, while providing incremental performance improvements with updated components for long-term sustainability.</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Beyond the traditional categories of implanters, Axcelis has developed systems designed for specific applications. For example, the Axcelis </w:t>
      </w:r>
      <w:r>
        <w:rPr>
          <w:rFonts w:ascii="Times New Roman" w:cs="Times New Roman" w:eastAsia="Times New Roman" w:hAnsi="Times New Roman"/>
          <w:sz w:val="18"/>
          <w:szCs w:val="18"/>
          <w:i w:val="1"/>
          <w:iCs w:val="1"/>
          <w:color w:val="auto"/>
        </w:rPr>
        <w:t>Purion Power Series</w:t>
      </w:r>
      <w:r>
        <w:rPr>
          <w:rFonts w:ascii="Times New Roman" w:cs="Times New Roman" w:eastAsia="Times New Roman" w:hAnsi="Times New Roman"/>
          <w:sz w:val="18"/>
          <w:szCs w:val="18"/>
          <w:color w:val="auto"/>
        </w:rPr>
        <w:t>, which provides full recipe coverage for power device applications critical to electric vehicles and industrial applications. The Purion Power Series is comprised of a group of high current, medium current and high energy implanters that optimize semiconductor devices created on SiC wafers, which is advantageous for certain power devices.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overview of specific Axcelis ion implantation products is below:</w:t>
      </w:r>
    </w:p>
    <w:p>
      <w:pPr>
        <w:spacing w:after="0" w:line="221" w:lineRule="exact"/>
        <w:rPr>
          <w:sz w:val="20"/>
          <w:szCs w:val="20"/>
          <w:color w:val="auto"/>
        </w:rPr>
      </w:pPr>
    </w:p>
    <w:p>
      <w:pPr>
        <w:ind w:left="1000" w:right="20" w:hanging="320"/>
        <w:spacing w:after="0" w:line="25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Current Ion Implant. </w:t>
      </w:r>
      <w:r>
        <w:rPr>
          <w:rFonts w:ascii="Times New Roman" w:cs="Times New Roman" w:eastAsia="Times New Roman" w:hAnsi="Times New Roman"/>
          <w:sz w:val="18"/>
          <w:szCs w:val="18"/>
          <w:color w:val="auto"/>
        </w:rPr>
        <w:t>Our Purion H, Purion Dragon, Purion H200, and GSD/E2 Ovation spot beam,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 current systems cover all traditional high current requirements as well as those associated with emerging and future devices. Our Purion high current capabilities extend beyond traditional high current energy and dose ranges, to cover new device fabrication requirements as well as to maximize capital utilization and flexibility. In addition, Axcelis’ Purion systems provide advantages for material modification applications, including those requiring hot and cold implant capabilities.</w:t>
      </w:r>
    </w:p>
    <w:p>
      <w:pPr>
        <w:spacing w:after="0" w:line="182" w:lineRule="exact"/>
        <w:rPr>
          <w:rFonts w:ascii="Times New Roman" w:cs="Times New Roman" w:eastAsia="Times New Roman" w:hAnsi="Times New Roman"/>
          <w:sz w:val="18"/>
          <w:szCs w:val="18"/>
          <w:color w:val="auto"/>
        </w:rPr>
      </w:pPr>
    </w:p>
    <w:p>
      <w:pPr>
        <w:ind w:left="1000" w:hanging="320"/>
        <w:spacing w:after="0" w:line="255"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 Energy Ion Implant</w:t>
      </w:r>
      <w:r>
        <w:rPr>
          <w:rFonts w:ascii="Times New Roman" w:cs="Times New Roman" w:eastAsia="Times New Roman" w:hAnsi="Times New Roman"/>
          <w:sz w:val="18"/>
          <w:szCs w:val="18"/>
          <w:color w:val="auto"/>
        </w:rPr>
        <w:t>. Axcelis has been a market leader in high energy ion implanters for many years,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offers a range of new Purion systems which have differentiated capabilities for specialty applications as well as legacy high energy systems. Our Purion XE, EXE, and other Purion high energy systems combine Axcelis’ production-proven RF Linac high energy, spot beam technology with the Purion platform wafer handling system. The Purion XE Power Series implanters include Purion XE and EXE models for high volume power devices aluminum implantation, available with 150mm SiC wafer handling or 200mm thin Si wafer handling. Our batch high energy systems include the GSD/HE Ovation implanter, a 10 stage Linac with energies up to 3 MeV and the GSD/VHE Ovation system, a 14 stage Linac with energies up to 4.9 MeV.</w:t>
      </w:r>
    </w:p>
    <w:p>
      <w:pPr>
        <w:spacing w:after="0" w:line="184" w:lineRule="exact"/>
        <w:rPr>
          <w:rFonts w:ascii="Times New Roman" w:cs="Times New Roman" w:eastAsia="Times New Roman" w:hAnsi="Times New Roman"/>
          <w:sz w:val="18"/>
          <w:szCs w:val="18"/>
          <w:color w:val="auto"/>
        </w:rPr>
      </w:pPr>
    </w:p>
    <w:p>
      <w:pPr>
        <w:ind w:left="1000" w:right="220" w:hanging="320"/>
        <w:spacing w:after="0" w:line="259"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Medium Current Ion Implant. </w:t>
      </w:r>
      <w:r>
        <w:rPr>
          <w:rFonts w:ascii="Times New Roman" w:cs="Times New Roman" w:eastAsia="Times New Roman" w:hAnsi="Times New Roman"/>
          <w:sz w:val="18"/>
          <w:szCs w:val="18"/>
          <w:color w:val="auto"/>
        </w:rPr>
        <w:t>Our Purion M Si and SiC medium current systems offer higher productivity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lower electrical energy consumption compared to competitive offerings, in addition to other advantages. With high energy capability far beyond competitive implanters, the Purion M is ideal for fabs at higher elevations or those dealing with heavy mass species. The Purion M is 20% more energy efficient than competing platforms, and is among the industry’s lowest cost of ownership.</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believe our ion implant products will continue to meet customer demand for advantages in productivity, process performance and technical extendibility.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Aftermarket Support and Services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Through our CS&amp;I business, we offer our customers extensive aftermarket service and support throughout the lifecycle of the equipment we manufacture. Approximately 3,300 of our products are in use in 28 countries worldwide. The service and support that we provide includes used tools, spare parts, equipment upgrades, and maintenance services. We offer varying levels of sales, service and application support out of our field offices. Revenue generated through our CS&amp;I business of $235.3 million, $247.0 million, and $227.9 million represents 23.1%, 21.8% and 24.8% of total revenue in 2024, 2023 and 2022, respectively.</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 support our aftermarket business, we have sales and marketing personnel, field service engineers, and spare parts and applications engineers, as well as employees located at our manufacturing facilities who work with our customers to provide customer training and documentation, and product, process, and applications support.</w:t>
      </w:r>
    </w:p>
    <w:p>
      <w:pPr>
        <w:sectPr>
          <w:pgSz w:w="11900" w:h="16838" w:orient="portrait"/>
          <w:cols w:equalWidth="0" w:num="1">
            <w:col w:w="9100"/>
          </w:cols>
          <w:pgMar w:left="1380" w:top="513" w:right="141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Most of our customers maintain spare parts inventories for our machines. In addition to our web-based spare parts management and replenishment tracking program, we offer several Business-to-Business options to support our customers’ parts management requirements. Our Axcelis Managed Inventory service offering provides the customer with full spare parts support through a parts consignment arrangement in which Axcelis retains responsibility for the complete supply chain. These services provide ease of use alternatives that reduce order fulfillment costs and improve cycle time, resulting in an expanded customer base for this service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primarily sell our equipment and services through our direct sales force. We conduct sales and marketing activities from our sales offices located in the United States, Taiwan, South Korea, China, Singapore, Japan, Germany and Italy.</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International revenue, including export sales from our U.S. manufacturing facilities to foreign customers and sales by foreign subsidiaries and branches, accounted for 85.8%, 84.1% and 84.4% of total revenue in 2024, 2023 and 2022, respectively. In 2024, approximately 93.8% of our sales were denominated in U.S. dollars. See Note 17 to our Consolidated Financial Statements contained in Item 15 of this Annual Report on Form 10-K for a breakdown of our revenue and long-lived assets in the United States, Europe and Asia. See also Item 1A, “Risk Factors,” for information about risks attendant to our foreign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2024, according to Gartner Inc., the top 20 semiconductor chip manufacturers accounted for approximately 87.6% of total semiconductor capital equipment spending, which decreased from 92.0% in 2023. These manufacturers are from the largest semiconductor chip manufacturing regions in the world: the United States, Asia Pacific (Taiwan, South Korea, Singapore, Japan and China) and Europe.</w:t>
      </w:r>
    </w:p>
    <w:p>
      <w:pPr>
        <w:spacing w:after="0" w:line="180" w:lineRule="exact"/>
        <w:rPr>
          <w:sz w:val="20"/>
          <w:szCs w:val="20"/>
          <w:color w:val="auto"/>
        </w:rPr>
      </w:pPr>
    </w:p>
    <w:p>
      <w:pPr>
        <w:ind w:right="420" w:firstLine="648"/>
        <w:spacing w:after="0" w:line="312" w:lineRule="auto"/>
        <w:rPr>
          <w:sz w:val="20"/>
          <w:szCs w:val="20"/>
          <w:color w:val="auto"/>
        </w:rPr>
      </w:pPr>
      <w:r>
        <w:rPr>
          <w:rFonts w:ascii="Times New Roman" w:cs="Times New Roman" w:eastAsia="Times New Roman" w:hAnsi="Times New Roman"/>
          <w:sz w:val="17"/>
          <w:szCs w:val="17"/>
          <w:color w:val="auto"/>
        </w:rPr>
        <w:t>Information on net sales to unaffiliated customers is included in Note 2 of Notes to Consolidated Financial Statements. For the year ended December 31, 2024, no customer represented 10% or more of our consolidated revenues.</w:t>
      </w:r>
    </w:p>
    <w:p>
      <w:pPr>
        <w:spacing w:after="0" w:line="14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U.S. export controls impact our ability to sell to certain customers in China, a country that has represented a significant portion of our sales in recent years. One of our major Chinese customers, Semiconductor Manufacturing International Corporation (“SMIC”), is on the U.S. Entity List, but is subject to a 2020 licensing policy that allows shipments to certain mature process SMIC fabs, which to date, we have been able to obtain. Other Chinese chipmakers are on the U.S. Entity List, without a similar policy allowing licensed shipments. In October 2022 (with modifications in 2023), the U.S. Commerce Department established an export controls regulatory framework for U.S. exports of semiconductor equipment to China. This framework limits all semiconductor equipment shipments to Chinese customers who are producing or developing logic, DRAM and NAND chips that meet specific advanced parameters. The U.S. Commerce Department implemented further regulatory changes in December 2024, creating a new Export Controls Classification Number for certain 300mm ion implanters and adding certain Chinese customers to the U.S. Entity List, some of which have a licensing policy that should allow us to continue to support them. While these regulations have further excluded exports to certain Chinese customers, we currently are able to continue to ship to substantially all of our Chinese customers. In general, however, sales to Chinese customers represent a higher risk than sales to customers in other international locations because of trade tensions between the U.S. government and the Chinese government, and other challenges reflecting China’s stage of development and rapid growth. For example, the U.S. government has imposed tariffs on certain foreign products, including most recently from Canada, Mexico and China, that in the past have resulted in and may result in future retaliatory tariffs on U.S. goods and products. We cannot predict whether these policies will continue, or if new policies will be enacted, or the impact, if any, that any policy changes could have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industry continues to experience rapid technological change, requiring us to frequently introduce new products and enhancements. Our Beverly, Massachusetts Advanced Technology Center houses a process development</w:t>
      </w:r>
    </w:p>
    <w:p>
      <w:pPr>
        <w:sectPr>
          <w:pgSz w:w="11900" w:h="16838" w:orient="portrait"/>
          <w:cols w:equalWidth="0" w:num="1">
            <w:col w:w="9100"/>
          </w:cols>
          <w:pgMar w:left="1380" w:top="513" w:right="14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laboratory with a 13,500 square feet class 10/100/1000 clean room for product demonstrations and process development and a 17,500 square feet customer training center. The Advanced Technology Center provides infrastructure and process capabilities that allow customers to test their unique process steps on our systems under conditions that substantially replicate the customers’ production environments. This facility also provides significant capability for our research and development efforts.</w:t>
      </w:r>
    </w:p>
    <w:p>
      <w:pPr>
        <w:spacing w:after="0" w:line="18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devote a significant portion of our personnel and financial resources to research and development programs and seek to maintain close relationships with our customers to remain responsive to their product needs. We have also sought to reduce the development cycle for new products through a collaborative process whereby our engineering, manufacturing and marketing personnel work closely together with one another and with our customers at an earlier stage in the process. We use 3D, computer-aided design, finite element analysis and other computer-based modeling methods to test new designs and accelerate the technology innovation process.</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expenses for research and development were $105.5 million, $96.9 million and $78.4 million in 2024, 2023 and 2022, respectively, or 10.4%, 8.6% and 8.5% of revenue,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manufacture products at our 417,000 square feet ISO 9001:2015, ISO 4001:2015 and ISO 45001:2018 certified plant in Beverly, Massachusetts as well as our 38,000 square feet ISO 4001:2015 and ISO 45001:2018 certified Axcelis Asia Operations Center in South Korea and our 101,800 square feet state-of-the-art logistics and flex manufacturing Axcelis Logistics Center in Beverly, Massachusetts. Our facilities employ best in class manufacturing techniques, including lean manufacturing, six sigma controls and advanced inventory management, purchasing and quality systems.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clean manufacturing process uses class 1,000/10,000 space to facilitate most of our manufacturing requirements.</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core competency in manufacturing and supply chain management is built around system assembly and testing, which remains an in-house capability due to the high degree of expertise and intellectual property associated with the process and design. Non-core work is sourced to global partners and includes items such as vacuum systems, wafer handling and commodity-level components. We continuously pursue outsourcing opportunities where the economics are justified, with a goal of enabling quality and margin improvement. Our supply chain team is globally focused and is located in Beverly, South Korea and Singapore. Customized and commercially available software solutions drive our planning, purchasing and inventory tracking process.</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companies supplying Axcelis play a critical part in our success. We want to ensure these companies share our values and have adopted a Supplier Code of Conduct, which contains our expectation that our suppliers will comply with our Environmental Policy, our Corporate Social Responsibility Policy, and other industry standards and policies. Our Supplier Code of Conduct provides that if a supplier fails to comply with these policies, our business relationship with that company will be permanently severed, although a compliance remediation period of up to 90 days may be allowed.</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products are designed to be assembled and tested in a modular fashion, which facilitates our industry-recognized “ship-from-cell” process. Specially developed test stands, software and tooling provide the framework for this accelerated delivery process. Customers that choose the “ship-from-cell” process substantially improve their delivery times while receiving the same high level of quality provided by more traditional, longer cycle integration techniques. Product margins and inventory turns also improve because of shorter factory cycle times and increased labor productivity.</w:t>
      </w:r>
    </w:p>
    <w:p>
      <w:pPr>
        <w:spacing w:after="0" w:line="18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Installation of our equipment is provided by factory and field teams. The process includes assembling the equipment at our installation site, and after it has been connected, recalibrating it to factory specifications.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semiconductor equipment industry is highly competitive and is characterized by a small number of participants ranging in size. Significant competitive factors in the semiconductor capital equipment market include price, cost of ownership, equipment performance, customer support, capabilities, and breadth of product line.</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market for ion implantation systems, we mainly compete against Applied Materials, Inc. (“Applied Materials”). Axcelis and Applied Materials are the only ion implant system manufacturers with a full range of implant products. Other implantation equipment manufacturers we compete with include Sumitomo Heavy Industries Ion Technology Co. Ltd. and Nissin Ion Equipment Co., Ltd in Japan, Advanced Ion Beam Technology, Inc. in Taiwan, as well as Kingstone Semiconductor and CETC Electronics Equipment Group Co., Ltd. in the People’s Republic of China. Non-U.S. suppliers may have an advantage over U.S. suppliers under recently established U.S. export controls regulation for shipments to China. We also provide aftermarket service and parts to service our customers globally. In this market, there are many competitors, often based in the customer’s location, offering alternatives to Axcelis services and certified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rely on patent, copyright, trademark and trade secret protection in the United States and in other countries, as well as contractual restrictions, to protect our proprietary rights in our products and our business. As of December 31, 2024, we had 185 active patents issued in the United States and 349 active patents granted in other countries, as well as 160 patent applications (58 in the United States and 102 in other countries) on file with various patent agencies worldwide. Patents are generally in effect for up to 20 years from the filing of the application.</w:t>
      </w:r>
    </w:p>
    <w:p>
      <w:pPr>
        <w:spacing w:after="0" w:line="18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intend to file additional patent applications and grow our intellectual property portfolio as appropriate. Although patents are important to our business, we do not believe that we are substantially dependent on any single patent or any group of patents.</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have trademarks, both registered and unregistered, that are maintained to provide customer recognition for our products in the marketplace. Trademark registrations generally remain in effect as long as the trademarks are in use. From time to time, we enter into license agreements with third parties under which we obtain or grant rights to patented or proprietary technology. We do not believe that any of our licenses are currently material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Systems backlog, including deferred systems revenue, was $645.8 million and $1,061.2 million as of December 31, 2024 and 2023, respectively. The systems backlog amount at December 2023 reflects a correction reported in our Form 8-K filed on November 6, 2024. We believe it is meaningful to investors to include deferred systems revenue as part of our backlog. Deferred systems revenue represents revenue that will be recognized in future periods based on prior shipments or customer prepayments. Our policy is to include in backlog only those system orders for which we have accepted purchase orders. All orders are subject to cancellations or rescheduling by customers with limited or no penalties.</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Backlog does not include orders received and fulfilled within a quarter. Our backlog at the beginning of a quarter typically does not include all orders required to achieve our sales objectives for that quarter. Backlog is not necessarily an indicator of future business trends because orders for services or parts received during the quarter are generally performed or shipped within the same quarter.</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Bookings in the quarter ended December 31, 2024 were $84.5 million compared to $235.5 million in the quarter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had 1,524 employees and 39 agency temporary staff worldwide. During 2024, our total employee and temporary staff headcount decreased by approximately 8%. While the majority of our headcount is</w:t>
      </w:r>
    </w:p>
    <w:p>
      <w:pPr>
        <w:sectPr>
          <w:pgSz w:w="11900" w:h="16838" w:orient="portrait"/>
          <w:cols w:equalWidth="0" w:num="1">
            <w:col w:w="9100"/>
          </w:cols>
          <w:pgMar w:left="1380" w:top="513" w:right="14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based in the U.S. at our main manufacturing facility in Beverly, Massachusetts, our business requires our presence where our customers are located around the world, resulting in Axcelis employees working in 28 different countries. Of our total year end 2024 employees and agency temporary staff, 1,081 work in North America, 396 in Asia and 86 in Europe.</w:t>
      </w:r>
    </w:p>
    <w:p>
      <w:pPr>
        <w:spacing w:after="0" w:line="203"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Our future success largely depends upon our continued ability to attract and retain highly skilled employees. We provide competitive compensation and benefits programs. In addition to salaries, all Axcelis employees are eligible for cash incentive programs with annual payouts tied to annual financial metrics, as described in our proxy statements, with two exceptions: (i) certain sales staff receive commission and other sales compensation, and (ii) in order to provide greater certainty of compensation to lower level U.S. employees, we pay quarterly bonuses to those employees in amounts communicated at the start of the year. Beyond these basic forms of cash compensation, we offer recognition bonuses, equity awards, an Employee Stock Purchase Plan, a 401(k) plan with a competitive employer match, healthcare and insurance benefits, health savings and flexible spending accounts, paid time off, family leave, family care resources, flexible work schedules, employee assistance programs, and tuition assistance. These programs all contribute to both attracting and retaining a highly skilled employee base, including those with critical leadership and industry skills and experience.</w:t>
      </w:r>
    </w:p>
    <w:p>
      <w:pPr>
        <w:spacing w:after="0" w:line="11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2024, our voluntary turnover rate for employees was 9.1%, or 6.5% without retirements, below the worldwide technology industry (all reported) voluntary turnover average of 11.4% reported in the Aon 2024 Salary Increase and Turnover Study -- December 2024.</w:t>
      </w:r>
    </w:p>
    <w:p>
      <w:pPr>
        <w:spacing w:after="0" w:line="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recognize that training is an important aspect of both employee retention and talent development. Axcelis conducts an annual talent review process and establishes individualized development programs agreed upon by employees and their managers. Human Resources provides training on personal development planning and leadership skills. All Axcelis employees have access to LinkedIn Learning to pursue independent training on business subjects. Our manufacturing staff each receives 35 hours of training upon commencement of employment, and our field service and other technical employees receive training on various ion implanter systems to develop product support, applications and service skills on all of our products. Finally, all staff are required to complete monthly, annual or biennial training on cybersecurity, various health and safety topics, and legal matters, such as the Foreign Corrupt Practices Act, export controls compliance, ethical business practices, and confidentiality. At a minimum, all Axcelis employees are required to complete at least 15 hours of training per year, and they can access additional voluntary training at the Company’s expense.</w:t>
      </w:r>
    </w:p>
    <w:p>
      <w:pPr>
        <w:spacing w:after="0" w:line="113"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people. Accordingly, we are committed to the health, safety, and wellness of our employees. We provide our employees and their families with access to health and wellness insurance and programs that offer choice where possible so they can customize their benefits to meet their needs and the needs of their families. Following the COVID-19 pandemic, we have maintained flexible working opportunities for those employees who can, and wish to, work remotely. This flexibility allows us to access workers who do not live near our facilities and provides a desired quality of life benefit to those who wish to work remotely for personal reasons.</w:t>
      </w:r>
    </w:p>
    <w:p>
      <w:pPr>
        <w:spacing w:after="0" w:line="17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Axcelis is dedicated to accessing a workforce that has the skills and qualities required for our jobs, fostering a culture built on the principle of inclusion, and maintaining a workplace free from discrimination. We strongly believe that a the experiences, perspectives and backgrounds of our entire workforce will lead to a better environment for our employees and better products for our customers. Axcelis’ commitment extends to our Board of Directors, our leadership team and all teams and functions across our global locations.</w:t>
      </w:r>
    </w:p>
    <w:p>
      <w:pPr>
        <w:spacing w:after="0" w:line="10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encourage you to review our 2024 ESG Report (located in the “ESG Hub” under the “Investors” section of our Axcelis.com website). Nothing on our website, including our ESG Report or sections thereof, shall be deemed incorporated by reference into this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4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Axcelis is deeply committed to our role as a responsible corporate citizen and dedicated to our Environmental, Social, Governance (“ESG”) and Net Zero commitments. In 2022, Axcelis became a founding member of the Semiconductor Climate Consortium (“SCC”) of Semiconductor Equipment and Materials International (“SEMI”), our industry organization serving the manufacturing supply chain for the micro- and nano-electronics industries. In doing so, we expect to bolster our own sustainability work with the power of the semiconductor ecosystem. By collaborating with</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SCC member companies' joint knowledge and innovative technologies, Axcelis hopes to promote progressive action towards climate change.</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proud that our Power Series ion implantation systems have become enabling technology for the production of power management devices, which are critical to the electrification of vehicles, an important component of our society’s actions to address climate change.</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Additional disclosures regarding our environmental initiatives and goals can be found in our 2024 ESG Report located in the “ESG Hub” under the “Investors” section of our Axcelis.com website.</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are proud of our commitment to improving our environment. Axcelis is subject to environmental laws and regulations in the countries in which we operate that regulate, among other things: air emissions; water discharges; and the generation, use, storage, transportation, handling and disposal of solid and hazardous wastes produced by our manufacturing, research and development and sales activities. As with other companies engaged in like businesses, the nature of our operations exposes us to the risk of environmental liabilities, claims, penalties and orders.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our operations are in compliance with applicable environmental laws and regulations and that there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 pending environmental matters that would have a material impact on our business. We are ISO 9001:2015, ISO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14001:2015, and ISO 45001:2018 certified at our Beverly, Massachusetts facility and ISO 14001:2015 and ISO 45001:2018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Asia Axcelis Operations Center.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4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Russell J. Low, Ph.D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54, became Axcelis’ CEO in May 2023, also joining the Company’s Board of Directors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time. Dr. Low joined Axcelis in October 2016, first serving as Executive Vice President, Engineering and then as Executive Vice President, Global Customer and Engineering Operations effective January 2021. Prior to joining the Company, Dr. Low held the position of Vice President of Engineering, MOCVD Business Unit at Veeco Instruments since 2013, prior to which he was Veeco’s Senior Director of Engineering, Molecular Beam Epitaxy Business Unit beginning in 2012. From 2003 to 2012, Dr. Low held a number of positions at Varian Semiconductor Equipment Associates, most recently as Director of Technology. Prior to that, Dr. Low held engineering positions in the thermal processing and ion implant divisions of Applied Materials, Inc. Dr. Low joined the North American Advisory Board (NAAB) of SEMI International in 2023. He is also a member of the Massachusetts High Tech Council.</w:t>
      </w:r>
    </w:p>
    <w:p>
      <w:pPr>
        <w:spacing w:after="0" w:line="18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James G. Coogan</w:t>
      </w:r>
      <w:r>
        <w:rPr>
          <w:rFonts w:ascii="Times New Roman" w:cs="Times New Roman" w:eastAsia="Times New Roman" w:hAnsi="Times New Roman"/>
          <w:sz w:val="18"/>
          <w:szCs w:val="18"/>
          <w:color w:val="auto"/>
        </w:rPr>
        <w:t>, 44, joined Axcelis as Executive Vice President and CFO in September 2023. Mr. Coogan brings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than 20 years of finance, accounting, and investor relations experience across multiple industries, most recently in aerospace and defense. Mr. Coogan joins Axcelis after serving as Senior Vice President, Chief Financial Officer at Kaman Corporation, a leading provider of aerospace and defense products. During his 15 years with Kaman, he held various management positions including Vice President, Investor Relations and Corporate Development, Assistant Vice President, External Reporting and SEC Compliance, and Director, External Reporting and SEC Compliance. After starting his career at PwC, he held several financial management roles at Ann Taylor Stores Corporation and Mohegan Tribal Gaming Authority before joining Kaman.</w:t>
      </w:r>
    </w:p>
    <w:p>
      <w:pPr>
        <w:spacing w:after="0" w:line="18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Gerald M. Blumenstock, </w:t>
      </w:r>
      <w:r>
        <w:rPr>
          <w:rFonts w:ascii="Times New Roman" w:cs="Times New Roman" w:eastAsia="Times New Roman" w:hAnsi="Times New Roman"/>
          <w:sz w:val="18"/>
          <w:szCs w:val="18"/>
          <w:color w:val="auto"/>
        </w:rPr>
        <w:t>56, became Axcelis’ Executive Vice President, Research, Development and Engineering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2023 leading product development, engineering and R&amp;D. With over 30 years of experience in technology, primarily in the semiconductor capital equipment industry, Mr. Blumenstock brings a unique blend of leadership, technical and business skills gained over a distinguished career. Immediately before joining Axcelis, Mr. Blumenstock was self-employed as a management consultant from 2022 to 2023. Prior to that, Mr. Blumenstock led multiple product business groups as Senior Vice President and General Manager at Veeco Instruments and Vice President and General Manager at Advanced Energy from 2020 to 2022 and as Senior Vice President and General Manager at Veeco Instruments from 2011 to 2020. Additionally, Mr. Blumenstock held the role of Chief Marketing Officer at Veeco directing a corporate rebrand. Prior to that, Mr. Blumenstock held Senior Director level business roles at KLA, Cymer (ASML) and FormFactor, bringing several new products to market. Mr. Blumenstock began his career as an Optics &amp; Materials Engineer at SVGL (ASML) and NASA.</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Eileen J. Evans, Esq</w:t>
      </w:r>
      <w:r>
        <w:rPr>
          <w:rFonts w:ascii="Times New Roman" w:cs="Times New Roman" w:eastAsia="Times New Roman" w:hAnsi="Times New Roman"/>
          <w:sz w:val="17"/>
          <w:szCs w:val="17"/>
          <w:color w:val="auto"/>
        </w:rPr>
        <w:t>., 57, joined Axcelis as Executive Vice President and General Counsel in December 2024. 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Evans brings more than 25 years of legal and technology business experience to Axcelis, including commercial transactions, merger and acquisition integration, intellectual property, compliance, and corporate matters. Before joining Axcelis, from October 2022 to December 2024, she served as Chief Legal Officer at SunPower, a solar and energy services provider in North America, whose key assets were acquired by Complete Solaria, Inc. From July 2021 to October 2022, Ms. Evans held the top legal job at Redaptive, a tech-enabled sustainability-as-a-service company. Prior to that, from September 2017 to July 2021, she served as Deputy General Counsel at Micro Focus International, a British multinational software and information technology business and before that, as Vice President and Deputy General Counsel at Hewlett Packard Enterprise and Hewlett-Packard Company and Associate General Counsel at Oracle Corporation and Sun Microsystems, Inc. Ms. Evans earned her Juris Doctor from the University of California, Davis and her Bachelor of Arts in Political Science from the University of California, Berkeley. She currently serves on the Board of Directors for the Linux Foundation.</w:t>
      </w:r>
    </w:p>
    <w:p>
      <w:pPr>
        <w:spacing w:after="0" w:line="17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F. Redinbo, Ph.D., </w:t>
      </w:r>
      <w:r>
        <w:rPr>
          <w:rFonts w:ascii="Times New Roman" w:cs="Times New Roman" w:eastAsia="Times New Roman" w:hAnsi="Times New Roman"/>
          <w:sz w:val="18"/>
          <w:szCs w:val="18"/>
          <w:i w:val="1"/>
          <w:iCs w:val="1"/>
          <w:color w:val="auto"/>
        </w:rPr>
        <w:t>60</w:t>
      </w:r>
      <w:r>
        <w:rPr>
          <w:rFonts w:ascii="Times New Roman" w:cs="Times New Roman" w:eastAsia="Times New Roman" w:hAnsi="Times New Roman"/>
          <w:sz w:val="18"/>
          <w:szCs w:val="18"/>
          <w:color w:val="auto"/>
        </w:rPr>
        <w:t>, is our Executive Vice President, Marketing and Applications, a position he assumed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September 2022. He joined Axcelis in 2021 as Senior Vice President of Strategic Marketing and Business Development. Dr. Redinbo has over 25 years of experience in the semiconductor capital equipment industry. Prior to joining Axcelis, he held the position of Vice President, Global Strategic Accounts at ASML from 2017 to 2020, where his focus was on business and relationship growth with a leading logic manufacturer and prior to that was Global Vice President of Sales, Service and Applications at FEI, a microscopy solutions company, where he worked from 2012 to 2017. Dr. Redinbo’s past positions also include Director of Sales, US and Europe, and Director of Product Marketing, High Current Products at Varian Semiconductor and Product Management in the Thermal Processing Division at Applied Materials.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Christopher J. Tatnall, Ph.D.</w:t>
      </w:r>
      <w:r>
        <w:rPr>
          <w:rFonts w:ascii="Times New Roman" w:cs="Times New Roman" w:eastAsia="Times New Roman" w:hAnsi="Times New Roman"/>
          <w:sz w:val="18"/>
          <w:szCs w:val="18"/>
          <w:color w:val="auto"/>
        </w:rPr>
        <w:t>, 52, became Axcelis’ Executive Vice President, Global Customer Operations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2023. In this capacity, Dr. Tatnall is responsible for Worldwide System Sales and Sales Operations, Global Service, Support and Training and the Axcelis Customer Solutions organization. Dr. Tatnall joined Axcelis in March 2022 as Senior Vice President of Sales. Prior to joining Axcelis, he was Vice President and General Manager at MKS Instruments, Plasma and Reactive Gas Division from May 2018 to March 2022, where he led a cross functional team of over 200 members with multiple product lines with both semiconductor and industrial applications. Prior to that, Dr. Tatnall was Senior Director of Customer Operations at Brooks Automation, Semiconductor Sales Manager at Alcatel Vacuum Technology, and Development Engineer at Edwards Vacuum.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Set forth below and elsewhere in this Annual Report on Form 10-K and in other documents we file with the SEC are risks and uncertainties that could cause actual results to differ materially from the results contemplated by the forward-looking statements contained in this Annual Report on Form 10-K. It is not possible to predict or identify all such risk factors. Consequently, the following is not a complete discussion of all potential risks or uncertainties.</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semiconductor chip manufacturers do not make sufficient capital expenditures, our sales and profitability will be harmed.</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New systems orders and used tool sales depend upon demand from semiconductor chip manufacturers who build or expand fabrication facilities. When the rate of construction or expansion of fabrication facilities declines, demand for our systems will decline, reducing our revenue. In addition, all or a portion of the demand for increased capacity may be satisfied by a semiconductor chip manufacturer’s ability to reconfigure and re-use equipment they already own. Revenue decline also hurts our profitability because our established cost structure and our continued investments in engineering, research and development, and marketing necessary to develop new products and to maintain extensive customer service and support capabilities, limit our ability to reduce expenses in proportion to declining sales.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reliable new or enhanced products and services that meet the needs of semiconductor chip manufacturers, our results will suffer.</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Rapid technological changes in semiconductor chip manufacturing processes require us to respond quickly to changing customer requirements. Our future success will depend in part upon our ability to develop, manufacture and successfully introduce new systems and product lines with improved capabilities. This will depend upon a variety of factors, including new product selection, timely and efficient completion of product design and development as well as manufacturing and assembly processes, product performance in the field and effective sales and marketing. In particular:</w:t>
      </w:r>
    </w:p>
    <w:p>
      <w:pPr>
        <w:spacing w:after="0" w:line="183" w:lineRule="exact"/>
        <w:rPr>
          <w:sz w:val="20"/>
          <w:szCs w:val="20"/>
          <w:color w:val="auto"/>
        </w:rPr>
      </w:pPr>
    </w:p>
    <w:p>
      <w:pPr>
        <w:ind w:left="1000" w:right="420" w:hanging="320"/>
        <w:spacing w:after="0" w:line="312"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continue to develop competitive technical specifications for new systems, or enhancements to our existing systems, and manufacture and ship these systems or enhancements in volume in a timely manner.</w:t>
      </w:r>
    </w:p>
    <w:p>
      <w:pPr>
        <w:spacing w:after="0" w:line="139" w:lineRule="exact"/>
        <w:rPr>
          <w:rFonts w:ascii="Times New Roman" w:cs="Times New Roman" w:eastAsia="Times New Roman" w:hAnsi="Times New Roman"/>
          <w:sz w:val="17"/>
          <w:szCs w:val="17"/>
          <w:color w:val="auto"/>
        </w:rPr>
      </w:pPr>
    </w:p>
    <w:p>
      <w:pPr>
        <w:ind w:left="1000" w:right="380" w:hanging="320"/>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accurately predict the schedule on which our customers will be ready to transition to new products, in order to accurately forecast demand for new products while managing the transition from older products.</w:t>
      </w:r>
    </w:p>
    <w:p>
      <w:pPr>
        <w:spacing w:after="0" w:line="175" w:lineRule="exact"/>
        <w:rPr>
          <w:rFonts w:ascii="Times New Roman" w:cs="Times New Roman" w:eastAsia="Times New Roman" w:hAnsi="Times New Roman"/>
          <w:sz w:val="18"/>
          <w:szCs w:val="18"/>
          <w:color w:val="auto"/>
        </w:rPr>
      </w:pPr>
    </w:p>
    <w:p>
      <w:pPr>
        <w:ind w:left="1000" w:right="100" w:hanging="320"/>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effectively manage product reliability or quality problems that often exist with new systems, in order to avoid higher manufacturing costs, delays in acceptance and payment and additional service and warranty expenses, and ultimately, a lack of repeat orders.</w:t>
      </w:r>
    </w:p>
    <w:p>
      <w:pPr>
        <w:spacing w:after="0" w:line="17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products must be accepted in the marketplace.</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Our failure to meet any of these requirements will have a material adverse effect on our operating results and profitability.</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Axcelis is subject to the risks of operating internationally: we derive a substantial portion of our revenue from outside the United States, especially from Asia.</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substantially dependent on sales of our products and services to customers outside the United States. International sales, including export sales from our U.S. manufacturing facilities to non-U.S. customers and sales by our non-U.S. subsidiaries, accounted for 85.8% of total revenue in 2024. Customers based in Asia dominate our international sales. Ion implanter system shipments to customers in Asia represented 81.0% of total system revenue in 2024. We anticipate that international sales will continue to account for a significant portion of our revenue. In particular, we expect</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that sales to Chinese customers (both global and domestic Chinese chip manufacturers) will continue to represent a significant portion of our total sales, creating both risk and opportunity.</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U.S. export controls on shipments to Chinese customers have been notably increasing since 2020. Since the placement of SMIC on the U.S. Entity List in 2020, we are required to obtain export control licenses to ship to mature process SMIC fabs, which to date, we have been able to obtain. Other chipmakers have been placed on the Entity List, some with, and some without, a similar policy allowing licensed shipments on specified conditions. A new export controls regulatory framework issued by the U.S. in October 2022 and supplemented in 2023, prohibits all semiconductor equipment shipments to Chinese customers (other than certain multi-nationals) who are producing or developing logic, DRAM and NAND chips meeting specific advanced parameters. While these regulations have further excluded exports to certain Chinese customers, we currently are able to continue to ship to the majority of our Chinese customers. In general, however, continuing revenue from Chinese customers is at higher risk than continuing revenue form customers in other international locations because of trade tensions between the United States government and the Chinese government, and other challenges reflecting China’s stage of development and rapid growth.</w:t>
      </w:r>
    </w:p>
    <w:p>
      <w:pPr>
        <w:spacing w:after="0" w:line="1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Increased U.S. export controls and other political and trade tensions exacerbate the risk that Chinese customers will change suppliers to non-U.S. vendors, such as Advanced Ion Beam Technology, Inc., Nissin Ion Equipment Co., Ltd. and Sumitomo Heavy Industries Ion Technology Co., Ltd. In addition, two Chinese entities, known as Kingstone Semiconductor and CETC Electronics Equipment Group Co., Ltd., are developing ion implanters for the Chinese domestic market. The loss of a significant customer or any reduction or delays in our ability to ship to any significant customer will adversely affect us.</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source a substantial portion of our materials from outside of the United States. Because of our dependence upon international sales and our global supply chain, our results and prospects may be adversely affected by a number of factors, including:</w:t>
      </w:r>
    </w:p>
    <w:p>
      <w:pPr>
        <w:spacing w:after="0" w:line="176" w:lineRule="exact"/>
        <w:rPr>
          <w:sz w:val="20"/>
          <w:szCs w:val="20"/>
          <w:color w:val="auto"/>
        </w:rPr>
      </w:pPr>
    </w:p>
    <w:p>
      <w:pPr>
        <w:ind w:left="1000" w:right="620" w:hanging="320"/>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resulting in more burdensome governmental controls, tariffs, restrictions, embargoes or export license requirements;</w:t>
      </w: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4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49" w:lineRule="exact"/>
        <w:rPr>
          <w:rFonts w:ascii="Times New Roman" w:cs="Times New Roman" w:eastAsia="Times New Roman" w:hAnsi="Times New Roman"/>
          <w:sz w:val="18"/>
          <w:szCs w:val="18"/>
          <w:color w:val="auto"/>
        </w:rPr>
      </w:pPr>
    </w:p>
    <w:p>
      <w:pPr>
        <w:ind w:left="1000" w:right="280" w:hanging="320"/>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health emergencies, such as pandemics have the potential to disrupt our manufacturing operations and those of our supply chain, as well as cause our customers to delay or cancel shipments;</w:t>
      </w: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accounts receivable collections;</w:t>
      </w:r>
    </w:p>
    <w:p>
      <w:pPr>
        <w:spacing w:after="0" w:line="4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payment terms beyond those customarily offered in the United States;</w:t>
      </w:r>
    </w:p>
    <w:p>
      <w:pPr>
        <w:spacing w:after="0" w:line="4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suppliers, service providers or representatives outside of the United States;</w:t>
      </w:r>
    </w:p>
    <w:p>
      <w:pPr>
        <w:spacing w:after="0" w:line="36"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subsidiary operations; and</w:t>
      </w:r>
    </w:p>
    <w:p>
      <w:pPr>
        <w:spacing w:after="0" w:line="4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2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 government has proposed or enacted tariffs and substantial changes to trade policies, which could adversely affect our business. For example, the U.S. government has imposed tariffs on certain foreign products, including most recently from Canada, Mexico and China, that in the past have resulted in and may result in future retaliatory tariffs on U.S. goods and products. We cannot predict whether these policies will continue, or if new policies will be enacted, or the impact, if any, that any policy changes could have on our business.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upon suppliers for many components and sub-assemblies could result in increased costs or delays in the manufacture and sale of our products.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rely to a substantial extent on outside vendors to manufacture many of the components and sub-assemblies of our products. We obtain many of these components and sub-assemblies from a limited group of suppliers. Accordingly, based on situations outside of our control, we may be unable to obtain an adequate supply of required components on a timely basis, on price and other terms acceptable to us, or at all. In addition, we often quote prices to our customers and accept customer orders for our products before purchasing components and sub-assemblies from our suppliers. If our</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suppliers increase the cost of components or sub-assemblies, we may not have alternative sources of supply and may not be able to raise the price of our products to cover all or part of the increased cost of components, negatively impacting our gross margin.</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manufacture of some of these components and sub-assemblies is an extremely complex process and requires long lead times. As a result, we could experience delays or shortages. If we are unable to obtain adequate and timely deliveries of our required components or sub-assemblies, we may have to seek alternative sources of supply or manufacture these components internally. This could delay our ability to manufacture or to ship our systems on a timely basis, causing us to lose sales, incur additional costs, delay new product introductions, and suffer harm to our reputation.</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Moreover, if actual demand for Axcelis’ products is different than expected, Axcelis may purchase more or fewer parts than necessary or incur costs for canceling, postponing, or expediting delivery of parts. If Axcelis purchases inventory in anticipation of customer demand that does not materialize, or if customers reduce or delay orders, Axcelis may incur excess inventory charges.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A significant portion of our revenue depends on customers electing to buy aftermarket products and services from Axcelis.</w:t>
      </w:r>
    </w:p>
    <w:p>
      <w:pPr>
        <w:spacing w:after="0" w:line="24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Historically, a significant portion of our product revenue and all of our service revenue relates to our sale of “aftermarket” products and services, which include parts, consumables, upgrades, service contracts, and time and materials billings. Some of our customers purchase fewer aftermarket products and services, often training their own staff to maintain and service semiconductor capital equipment rather than relying on the equipment manufacturer for these services. In addition, we compete against third-party parts suppliers for the sale of parts and consumables that are not protected by patents or otherwise proprietary. To the extent our customers purchase parts and services from other vendors or provide their own system maintenance labor, our revenue and profitability will be reduced.</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successfully in the highly competitive semiconductor capital equipment industry, our sales and profitability will decline.</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ion implant segment is highly competitive and includes one company with substantially greater financial, engineering, manufacturing, marketing and customer service and support resources that may better position it to compete successfully than we can, as well as several smaller companies that could provide innovative systems with technology that may have performance advantages. We expect our competitors to continue to improve the design and performance of their existing products and processes and to introduce new products and processes with improved price and performance characteristics. If we are unable to improve or introduce competing products when demanded by the markets, our business will be harmed. Finally, if we must lower prices to remain competitive without commensurate cost of goods savings, our gross margin and profitability will be adversely affected.</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sales to a limited number of large customers; the loss of a significant customer or any reduction in orders from them could materially affect our sales.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Historically, we have sold a significant portion of our products and services to a limited number of semiconductor chip manufacturers. In 2024, our top ten customers accounted for 45.9% of our net sales, in comparison to 51.7% and 59.4% in 2023 and 2022, respectively. None of our customers have entered into a long-term agreement requiring it to purchase our products. Our customers located in China represent a significant portion of our revenue, and are subject to U.S. export controls restrictions, as discussed above. Although the composition of the group comprising our largest customers has varied from year to year, the loss of a significant customer or any reduction or delays in orders from any significant customer will adversely affect us. Consolidation of semiconductor chip manufacturers may result in the loss of a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currency risk.</w:t>
      </w:r>
    </w:p>
    <w:p>
      <w:pPr>
        <w:spacing w:after="0" w:line="229"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Substantially all of our system sales are billed in U.S. dollars. We also pay almost all non-U.S. vendors providing materials, components, and subassemblies to our U.S. factory in U.S. dollars. Aftermarket revenues of our non-U.S.</w:t>
      </w:r>
    </w:p>
    <w:p>
      <w:pPr>
        <w:sectPr>
          <w:pgSz w:w="11900" w:h="16838" w:orient="portrait"/>
          <w:cols w:equalWidth="0" w:num="1">
            <w:col w:w="9100"/>
          </w:cols>
          <w:pgMar w:left="1380" w:top="513" w:right="141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subsidiaries are denominated in both local currency and U.S. dollars. The majority of operating expenses of these non-U.S. subsidiaries, are received and incurred in local currencies. The establishment of the Axcelis Asia Operations Center in South Korea has increased the volume of our transactions in non-U.S. dollar currencies and increased the impact of foreign exchange gain / loss on the Company’s financial results. The Company experiences translation adjustments when local currency accounts payable on non-U.S. subsidiary books are re-measured for consolidated financial reporting. Similarly, the translation of long-term asset and liability values to U.S. dollars are recorded in stockholders’ equity as an element of accumulated other comprehensive income (loss). The value of the asset or liability in U.S. dollars will increase or decrease relative to the local currency based on changes in the exchange rate between the two currencies over the period. As a result, any unplanned non-cash gains or losses are recorded in the Company’s consolidated financial statements. Accordingly, fluctuations in exchange rates can impact reported revenues, expense, and profitability and asset values in our Consolidated Financial Statements. During the year ended December 31, 2024, approximately 6.2% of our revenue was derived in local currencies from foreign operations with this inherent risk. In addition, at December 31, 2024, our operations outside of the United States accounted for approximately 9.2% of our total assets, the majority of which was denominated in currencies other than the U.S. dollar.</w:t>
      </w:r>
    </w:p>
    <w:p>
      <w:pPr>
        <w:spacing w:after="0" w:line="19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expand our business if we are not able to hire, retain and integrate qualified personnel.</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business depends on our ability to attract and retain qualified, experienced employees. There is substantial competition for experienced engineering, technical, financial, sales and marketing personnel in our industry. In particular, we must attract and retain highly skilled design and process engineers. Competition for such personnel is intense, both in the Boston metropolitan area and in other locations around the world. If we are unable to retain our existing key personnel, or attract and retain additional qualified personnel, we may experience insufficient levels of staffing to fully develop, manufacture and market our products and perform services for our customers. As a result, our growth could be limited or we could fail to meet our delivery commitments or experience deterioration in service levels or decreased customer satisfaction, all of which could adversely affect our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significantly.</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derive our new systems revenue from the sale of a small number of expensive products to a relatively small number of customers. The selling prices on our ion implant systems range from approximately $2.6 million to $12.0 million. We also sell used equipment in our aftermarket business. Each sale, or failure to make a sale, may have a significant effect on us in a particular quarter. In a given quarter, a number of factors can adversely affect our revenue and results, including changes in our product mix, increased fixed expenses per unit due to reductions in the number of products manufactured, and higher fixed costs due to increased levels of research and development and expansion of our worldwide sales and marketing organization. Our financial results also fluctuate based on gross profit realized on sales. A variety of factors may cause gross profit as a percentage of revenue to vary, including the mix and average selling prices of products sold, costs to manufacture and customize systems, warranty costs and the impact of changes to inventory reserves. New product introductions may also affect our gross margin. Fluctuations in our financial results may have an adverse effect on the price of our common stock.</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fall short of anticipated levels because forecasting revenue and profitability is complex and may be inaccurate.</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Management may from time to time provide financial forecasts to investors. These forecasts are based on assumptions, which are believed to be reasonable when made, of the timing of system orders, system shipments, system acceptance and aftermarket revenue. Any of these assumptions can prove erroneous and the level of revenue recognizable in a particular quarter may vary from the forecast. Our lengthy sales cycle, coupled with customers’ competing capital budget considerations, make revenue difficult to predict. In addition, our backlog at the beginning of a quarter typically does not include all orders required to achieve our sales objectives for that quarter and is not a reliable indicator of our future sales. As a result, our revenue and operating results for a quarter depend on our shipping systems on previous orders as scheduled during that quarter, receiving customer acceptance of previously shipped products, and obtaining new orders for products and services to be provided within that same quarter. Any delay in, or cancellation of, scheduled shipments and</w:t>
      </w:r>
    </w:p>
    <w:p>
      <w:pPr>
        <w:sectPr>
          <w:pgSz w:w="11900" w:h="16838" w:orient="portrait"/>
          <w:cols w:equalWidth="0" w:num="1">
            <w:col w:w="9080"/>
          </w:cols>
          <w:pgMar w:left="1380" w:top="513" w:right="14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customer acceptances or in revenue from new orders, including aftermarket revenue, could materially affect our financial results.</w:t>
      </w:r>
    </w:p>
    <w:p>
      <w:pPr>
        <w:spacing w:after="0" w:line="16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Accounting rules addressing revenue recognition add more complexity in forecasting quarterly revenue and profitability. Orders for our products usually contain multiple performance obligations that result in revenue deferral under generally accepted accounting principles. Due to the foregoing factors, investors should understand that our actual financial results for a quarter may vary significantly from our forecasts of financial performance for that quarter. Failure to meet forecasted financial performance may have an adverse effect on the price of our common stock.</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semiconductor equipment industry is cyclical and we expect that demand for our products will increase and decrease, making it difficult to manage the business and potentially causing harm to our sales and profitability.</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semiconductor industry is cyclical, experiencing upturns when the demand for our products is high and downturns when our customers are not investing in new or expanded fabrication facilities. From time to time, inventory buildups in the semiconductor device industry produce an oversupply of semiconductors. This can cause a reduced demand for capital equipment such as our products, negatively impacting our sales and level of profitability. Our revenue can vary significantly from one point in the cycle to another, making it difficult to manage the business, both when revenue is increasing and when it is decreasing. In addition, a substantial portion of our operating expenses do not fluctuate with changes in volume. Significant decreases in revenue can therefore have a disproportionate effect on profitability. In addition, reduced demand for our products and services may require Axcelis to implement cost reduction efforts, including restructuring activities, which may adversely affect Axcelis’ ability to capitalize on opportunities that arise in the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Axcelis is exposed to risks related to cybersecurity threats and incidents.</w:t>
      </w:r>
    </w:p>
    <w:p>
      <w:pPr>
        <w:spacing w:after="0" w:line="27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the conduct of our business, Axcelis collects, uses, transmits, and stores data on information technology systems. This data includes confidential information belonging to Axcelis, our employees or our customers or other business partners, some of which is personally-identifiable information of individuals. As reported in the 2024 Verizon Data Breach Investigation Report, cyber-attacks in the manufacturing industries are almost entirely financially motivated. Axcelis has been and expects to continue to be subject to cybersecurity threats and incidents, including through employee error or misuse; individual attempts to gain unauthorized access to information systems; and sophisticated and targeted measures known as advanced persistent threats, none of which have had a material impact on the Company to date.</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Axcelis implements a “Layered Security Strategy” that aligns with National Institute of Standards and Technology Cybersecurity Framework. To do so, we devote resources to network security, data encryption, employee training and other measures to protect our systems and data from unauthorized access or misuse. This includes continuously monitoring and reacting to the cybersecurity environment, by implementing best-in-class solutions from several vendors. On an on-going basis, we engage a cybersecurity consultant to validate and advise on the Company’s cyber landscape and to drive employee vigilance through employee cyber training and messaging. We continually replace less secure legacy systems to improve internal and external cyber defenses and maintain a cyber incident response plan including reporting and recovery processes. See Item IC “Cybersecurity” below. In addition, as discussed in our proxy statement, the Audit Committee and the full Board of Directors receive quarterly reports on cybersecurity risks and annual reports on management initiatives to promote cybersecurity.</w:t>
      </w:r>
    </w:p>
    <w:p>
      <w:pPr>
        <w:spacing w:after="0" w:line="194"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However, depending on their nature and scope, cybersecurity incidents could result in business disruption; the misappropriation, corruption or loss of confidential information and critical data (Axcelis’ and that of third parties); reputational damage; unnecessary expense; litigation with third parties; diminution in the value of Axcelis’ investment in research, development, and engineering; data privacy issues; and increased cybersecurity protection and remediation costs. These adverse outcomes could negatively impact our revenues, expenses, profitability, and asset values.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Axcelis is subject to risks associated with compliance with environmental, health and safety regulations.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Axcelis is subject to environmental, health and safety regulations in connection with its global business operations, including but not limited to: regulations related to the development, manufacture, shipping, and use of its products; handling, discharge, recycling and disposal of hazardous materials used in its products or in producing its products; the</w:t>
      </w:r>
    </w:p>
    <w:p>
      <w:pPr>
        <w:sectPr>
          <w:pgSz w:w="11900" w:h="16838" w:orient="portrait"/>
          <w:cols w:equalWidth="0" w:num="1">
            <w:col w:w="9100"/>
          </w:cols>
          <w:pgMar w:left="1380" w:top="513" w:right="14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operation of its facilities; and the use of its real property. The failure or inability to comply with existing or future environmental and safety regulations could result in: significant remediation or other legal liabilities; the imposition of penalties and fines; restrictions on the development, manufacture, sale, shipment or use of certain of its products; limitations on the operation of its facilities or ability to use its real property; and a decrease in the value of its real property. Axcelis could be required to alter its manufacturing and operations and incur substantial expense in order to comply with environmental, health and safety regulations. Any failure to comply with these regulations could subject Axcelis to significant costs and liabilities that could adversely affect Axcelis’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could be adversely affected by global pandemics.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Global pandemics have in the past and may again in the future cause disruptions and restrictions on our operations and ability to travel, and similar disruptions and restrictions impacting our suppliers or customers could adversely affect our sales and operating results. Axcelis’ products rely on an extensive global supply chain, and shortages of certain parts could impact our ability to meet customers’ shipment expectations, negatively affecting our revenues. Such pandemics may drive changes in the demand for certain of our customers’ products, resulting in their delay or cancelation of purchases from us. The extent to which pandemics may impact our results will depend on future developments, which are highly uncertain and cannot be predicted.</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technology may be vulnerable to efforts by competitors to challenge or design around, potentially reducing our market share.</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rely on a combination of patents, copyrights, trademark and trade secret laws, non-disclosure agreements and other intellectual property protection methods to protect our proprietary technology. Despite our efforts to protect our intellectual property, our competitors may be able to challenge, design around or legitimately use the proprietary technology embedded in our systems or other technology or information used in our business. If this occurs, the value of our proprietary technology will be diminished. Our means of protecting our proprietary rights may not be adequate and our patents may not be sufficient to prevent others from using technology that is similar to or the same as our technology. Patents issued to us may be challenged and might be invalidated or circumvented and any rights granted under our patents may not provide adequate protection to us. Our competitors may independently develop similar technology, duplicate features of our products or design around patents that may be issued to us. As a result of these threats to our proprietary technology, we may have to resort to costly litigation to enforce or defend our intellectual property rights. Finally, all patents expire after a period of time (in the U.S., patents expire 20 years from the date of filing of the patent application). Our market share could be negatively impacted by the invalidation or expiration of a patent which had created a barrier for our competitors.</w:t>
      </w:r>
    </w:p>
    <w:p>
      <w:pPr>
        <w:spacing w:after="0" w:line="19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Axcelis also has agreements with third parties for licensing of patented or proprietary technology with Axcelis as the licensor or the licensee. Termination of license agreements or claims of infringement with respect to such technology could have an adverse impact on our financial performance or ability to ship products with existing configurations.</w:t>
      </w:r>
    </w:p>
    <w:p>
      <w:pPr>
        <w:spacing w:after="0" w:line="172"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(or customers that we indemnify) might face intellectual property infringement claims or patent disputes that may be costly to resolve and, if resolved against us, could be very costly to us and prevent us from making and selling our systems.</w:t>
      </w:r>
    </w:p>
    <w:p>
      <w:pPr>
        <w:spacing w:after="0" w:line="13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claims and proceedings may be asserted against us relative to patent validity or infringement matters. We typically agree to indemnify our customers from liability to third parties for intellectual property infringement arising from the use of our products in their intended manner. Therefore, we may receive notification from customers who believe that we owe them indemnification or other obligations related to infringement claims made against the customers by third parties. Our involvement in any patent dispute or other intellectual property dispute or action to protect trade secrets, even if the claims are without merit, could be very expensive and could divert the attention of our management. Adverse determinations in any litigation could subject us to significant liabilities to third parties, require us to remove certain features from our products or seek costly licenses from third parties or prevent us from manufacturing and selling our systems. In addition, infringement indemnification clauses in system sale agreements may require us to take other actions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or require us to provide certain remedies to customers who are exposed to indemnified liabilities. Any of these situations could have a material adverse effect on our business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operations were to be disrupted at Axcelis’ manufacturing facilities, it would have a negative impact on our business.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primary manufacturing facility is located in Massachusetts, with a smaller facility located in South Korea. Our operations could be subject to disruption for a variety of reasons, including, but not limited to severe weather events, other effects of climate change, natural disasters, work stoppages, operational facility constraints and terrorism. Such disruption could cause delays in shipments of products to our customers and could result in cancellation of orders or loss of customers, which could seriously harm our business.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have access to capital on favorable terms, on the timeline we anticipate, or at all, our financial condition and results of operations could be materially adversely affected.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require a substantial amount of capital to meet our operating requirements and remain competitive. We routinely incur significant costs to purchase inventory to meet expected system sales, to develop and introduce new products, and to place evaluation systems at new customer sites. There can be no assurance that we will realize a return on the capital expended. Although our current cash levels and borrowing capacity are expected to be adequate for our foreseeable cash requirements, if our operating results falter, or our cash flow or capital resources prove inadequate, we may incur debt to fund these requirements. Significant volatility or disruption in the global financial markets may result in us not being able to obtain additional financing on favorable terms, on the timeline we anticipate, or at all, and we may not be able to refinance, if necessary, any outstanding debt when due, all of which could have a material adverse effect on our financial condition. Any inability to obtain financing on favorable terms, on the timeline we anticipate, or at all, may cause us to curtail our operations significantly, reduce planned capital expenditures and research and development, or obtain funds through arrangements that management does not currently anticipate, including disposing of our assets and relinquishing rights to certain technologies, the occurrence of any of which may significantly impair our ability to remain competitive, and materially and adversely affect our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229"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The stock markets in general, and the markets for semiconductor equipment stocks in particular, have experienced extreme volatility that has often been unrelated to the operating performance of particular companies. These broad market fluctuations may adversely affect the trading price of our common stock. The market price of the common stock may also fluctuate significantly in response to the following factors, among others, some of which are beyond our control:</w:t>
      </w:r>
    </w:p>
    <w:p>
      <w:pPr>
        <w:spacing w:after="0" w:line="164" w:lineRule="exact"/>
        <w:rPr>
          <w:sz w:val="20"/>
          <w:szCs w:val="20"/>
          <w:color w:val="auto"/>
        </w:rPr>
      </w:pPr>
    </w:p>
    <w:p>
      <w:pPr>
        <w:ind w:left="680" w:hanging="32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results;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repurchase of shares of our common stock;</w:t>
      </w:r>
    </w:p>
    <w:p>
      <w:pPr>
        <w:spacing w:after="0" w:line="4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w:t>
      </w:r>
    </w:p>
    <w:p>
      <w:pPr>
        <w:spacing w:after="0" w:line="4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36" w:lineRule="exact"/>
        <w:rPr>
          <w:rFonts w:ascii="Times New Roman" w:cs="Times New Roman" w:eastAsia="Times New Roman" w:hAnsi="Times New Roman"/>
          <w:sz w:val="18"/>
          <w:szCs w:val="18"/>
          <w:color w:val="auto"/>
        </w:rPr>
      </w:pPr>
    </w:p>
    <w:p>
      <w:pPr>
        <w:ind w:left="680" w:right="100" w:hanging="324"/>
        <w:spacing w:after="0" w:line="273"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joint ventures, capital commitments, new products or product enhancements;</w:t>
      </w:r>
    </w:p>
    <w:p>
      <w:pPr>
        <w:spacing w:after="0" w:line="1"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customer or failure to complete significant transactions;</w:t>
      </w:r>
    </w:p>
    <w:p>
      <w:pPr>
        <w:spacing w:after="0" w:line="4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36" w:lineRule="exact"/>
        <w:rPr>
          <w:rFonts w:ascii="Times New Roman" w:cs="Times New Roman" w:eastAsia="Times New Roman" w:hAnsi="Times New Roman"/>
          <w:sz w:val="18"/>
          <w:szCs w:val="18"/>
          <w:color w:val="auto"/>
        </w:rPr>
      </w:pPr>
    </w:p>
    <w:p>
      <w:pPr>
        <w:ind w:left="680" w:right="220" w:hanging="324"/>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positions adopted by investor stewardship groups and proxy advisory firms regarding desired environmental, social and governance disclosures, policies, ranking systems, and other initiatives.</w:t>
      </w:r>
    </w:p>
    <w:p>
      <w:pPr>
        <w:spacing w:after="0" w:line="21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in the past has been significantly volatile, and we cannot accurately predict every potential risk that may materially and adversely affect our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jurisdictions with complex and changing tax laws.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are also subject to laws and regulations in various jurisdictions that determine how much profit has been</w:t>
      </w:r>
    </w:p>
    <w:p>
      <w:pPr>
        <w:sectPr>
          <w:pgSz w:w="11900" w:h="16838" w:orient="portrait"/>
          <w:cols w:equalWidth="0" w:num="1">
            <w:col w:w="9080"/>
          </w:cols>
          <w:pgMar w:left="1380" w:top="513" w:right="14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earned and when it is subject to taxation in that jurisdiction. In the United States, for example, the Inflation Reduction Act (IRA) imposes a 15% book minimum tax on corporations with three-year average annual adjusted financial statement income exceeding $1 billion. To date, the IRA has not materially impacted our effective tax rate.</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Corporate tax reform, anti-base-erosion rules and tax transparency continue to be high legislative or regulatory priorities in many jurisdictions. Changes in laws and regulations regarding these matters could impact the jurisdictions where we are deemed to earn income, which could in turn adversely affect our tax liability and results of operations. As of December 31, 2024, 54 countries have enacted various aspects of the Organization for Economic Co-operation and Development’s Base Erosion and Profit Shifting 2.0 Pillar Two global minimum tax (GMT). In 35 of those countries, the GMT is effective beginning in 2024. Based on currently enacted law and countries we operate in, the impact of GMT on our 2024 results did not have an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Axcelis implements an enterprise risk management (“ERM”) process in which management annually identifies and reviews the principal risks to which the Company’s business is subject, rating each risk in terms of likelihood of occurrence and severity of impact. Risks that have either a high likelihood or a high potential impact on our business are assessed quarterly with respect to the trend (an increasing or decreasing risk) and whether additional mitigation actions are needed. These quarterly risk assessments are shared with our Board of Directors, with the Audit Committee reviewing any changes in risk identification or ranking on an annual basis.</w:t>
      </w:r>
    </w:p>
    <w:p>
      <w:pPr>
        <w:spacing w:after="0" w:line="12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Cybersecurity risks are integrated into our overall ERM, and our Chief Information Officer assesses the trends and need for additional mitigations on a quarterly basis. Our main concerns are (i) the unauthorized exfiltration of personal information pertaining to Axcelis employees, (ii) the unauthorized exfiltration of confidential business or technical information, and (iii) an inability to use our business systems for a period of time following a cybersecurity event.</w:t>
      </w:r>
    </w:p>
    <w:p>
      <w:pPr>
        <w:spacing w:after="0" w:line="11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Management has adopted a Cybersecurity Incident Response plan which lays out the roles of IT personnel, senior leadership, and legal resources in responding to a cybersecurity incident. This plan is shared with our Board of Directors and reviewed annually. These risks could materially impact the business of the Company. To date, the Company has not experienced a material cybersecurity incident.</w:t>
      </w:r>
    </w:p>
    <w:p>
      <w:pPr>
        <w:spacing w:after="0" w:line="11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To implement risk management and protective strategies, management implements a “Layered Security Strategy” that aligns with National Institute of Standards and Technology Cybersecurity Framework. We consider the various factors that can play a role in the occurrence of a cybersecurity incident, such as:</w:t>
      </w:r>
    </w:p>
    <w:p>
      <w:pPr>
        <w:spacing w:after="0" w:line="122" w:lineRule="exact"/>
        <w:rPr>
          <w:sz w:val="20"/>
          <w:szCs w:val="20"/>
          <w:color w:val="auto"/>
        </w:rPr>
      </w:pPr>
    </w:p>
    <w:p>
      <w:pPr>
        <w:ind w:left="680" w:hanging="32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system access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errors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system vulnerabilities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 risks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in software applications and specific hardware</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cybersecurity risks</w:t>
      </w:r>
    </w:p>
    <w:p>
      <w:pPr>
        <w:spacing w:after="0" w:line="36"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threats</w:t>
      </w:r>
    </w:p>
    <w:p>
      <w:pPr>
        <w:spacing w:after="0" w:line="158" w:lineRule="exact"/>
        <w:rPr>
          <w:sz w:val="20"/>
          <w:szCs w:val="20"/>
          <w:color w:val="auto"/>
        </w:rPr>
      </w:pPr>
    </w:p>
    <w:p>
      <w:pPr>
        <w:ind w:right="120" w:firstLine="648"/>
        <w:spacing w:after="0" w:line="272" w:lineRule="auto"/>
        <w:rPr>
          <w:sz w:val="20"/>
          <w:szCs w:val="20"/>
          <w:color w:val="auto"/>
        </w:rPr>
      </w:pPr>
      <w:r>
        <w:rPr>
          <w:rFonts w:ascii="Times New Roman" w:cs="Times New Roman" w:eastAsia="Times New Roman" w:hAnsi="Times New Roman"/>
          <w:sz w:val="17"/>
          <w:szCs w:val="17"/>
          <w:color w:val="auto"/>
        </w:rPr>
        <w:t>Management has implemented specific mitigation strategies for each of these factors, such as (i) user training to avoid fraud and other scams, (ii) utilizing multi-factor authentication processes for system access, (iii) engaging in vulnerability scanning applications, (iv) upgrading software and hardware to those with the greatest security protections, and</w:t>
      </w:r>
    </w:p>
    <w:p>
      <w:pPr>
        <w:spacing w:after="0" w:line="2" w:lineRule="exact"/>
        <w:rPr>
          <w:sz w:val="20"/>
          <w:szCs w:val="20"/>
          <w:color w:val="auto"/>
        </w:rPr>
      </w:pPr>
    </w:p>
    <w:p>
      <w:pPr>
        <w:ind w:right="80" w:firstLine="5"/>
        <w:spacing w:after="0" w:line="253"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third parties to whom sensitive information is provided have appropriate security. Management has also developed a vendor assessment form to evaluate potential “Software as a Service” providers, which is incorporated in the Company’s RFP processes. The Company routinely obtains and reviews SOC 2 reports from third parties who have access to the Company’s information, some of which are part of management’s internal controls over financial reporting. The</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Company accesses cybersecurity consultants and legal counsel to assist in the identification of vulnerabilities and advise on appropriate mitigation and preparedness actions.</w:t>
      </w:r>
    </w:p>
    <w:p>
      <w:pPr>
        <w:spacing w:after="0" w:line="16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Overall, we devote resources to network security, data encryption, employee training and other measures to protect our systems and data from unauthorized access or misuse. This includes the emerging need to protect our data from the unauthorized incorporation in large language models or other artificial intelligence systems. The Audit Committee and full Board of Directors receive quarterly reports on cybersecurity risks and annual reports on management initiatives to promote cybersecurity.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lease our principal facility in Beverly, Massachusetts, which comprises 417,000 square feet. The facility is used for manufacturing, research and development, sales/marketing, customer support, advanced process development, product demonstration, customer-training center and corporate headquarters. We also lease our Axcelis Asia Operations Center in South Korea, which comprises 38,000 square feet and is principally used for manufacturing, and the Axcelis Logistics Center, a state-of-the-art logistics and flex manufacturing center with 101,800 square feet built to our specifications, in Beverly, Massachusetts.</w:t>
      </w:r>
    </w:p>
    <w:p>
      <w:pPr>
        <w:spacing w:after="0" w:line="12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manufacturing facilities and equipment generally are well maintained, in good operating condition, suitable for our purposes, and adequate for our present operations.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own 23 acres of undeveloped property in Beverly, Massachusetts, adjacent to our headquarters.</w:t>
      </w:r>
    </w:p>
    <w:p>
      <w:pPr>
        <w:spacing w:after="0" w:line="15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also leased 47 other properties, of which 10 are located in the United States and the remainder are located in Asia and Europe, including offices in Taiwan, Singapore, South Korea, China, Japan, Italy and Germany. These properties are used for sales, service and warehousing.</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Beverly, Massachusetts facility is ISO 9001:2015, ISO 14001:2015, and ISO 45001:2018 certified, our European office is ISO 9001:2015 certified, and our Asia Axcelis Operations Center is ISO 14001:2015 and ISO 45001:2018.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2"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We are not presently a party to any litigation that we believe might have a material adverse effect on our business operations. We are, from time to time, a party to litigation that arises in the normal course of our business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720" w:right="600" w:hanging="71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ACLS. As of February 23, 2025, we had approximately 668 stockholders of record.</w:t>
      </w:r>
    </w:p>
    <w:p>
      <w:pPr>
        <w:spacing w:after="0" w:line="24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for the 12 months ended December 31, 2024 pursuant to our stock repurchase program: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5"/>
                <w:szCs w:val="15"/>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 Under the Program</w:t>
            </w:r>
          </w:p>
        </w:tc>
        <w:tc>
          <w:tcPr>
            <w:tcW w:w="0" w:type="dxa"/>
            <w:vAlign w:val="bottom"/>
          </w:tcPr>
          <w:p>
            <w:pPr>
              <w:spacing w:after="0"/>
              <w:rPr>
                <w:sz w:val="1"/>
                <w:szCs w:val="1"/>
                <w:color w:val="auto"/>
              </w:rPr>
            </w:pPr>
          </w:p>
        </w:tc>
      </w:tr>
      <w:tr>
        <w:trPr>
          <w:trHeight w:val="142"/>
        </w:trPr>
        <w:tc>
          <w:tcPr>
            <w:tcW w:w="2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Borders>
              <w:top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120" w:type="dxa"/>
            <w:vAlign w:val="bottom"/>
          </w:tcPr>
          <w:p>
            <w:pPr>
              <w:spacing w:after="0"/>
              <w:rPr>
                <w:sz w:val="12"/>
                <w:szCs w:val="12"/>
                <w:color w:val="auto"/>
              </w:rPr>
            </w:pPr>
          </w:p>
        </w:tc>
        <w:tc>
          <w:tcPr>
            <w:tcW w:w="16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9"/>
              </w:rPr>
              <w:t>except per share amounts)</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 through January 31</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4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$124.72</w:t>
            </w: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182,523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February 1 through February 29</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4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$121.31</w:t>
            </w:r>
          </w:p>
        </w:tc>
        <w:tc>
          <w:tcPr>
            <w:tcW w:w="12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175,007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1 through March 31</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175,007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April 1 through April 30</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4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$103.33</w:t>
            </w:r>
          </w:p>
        </w:tc>
        <w:tc>
          <w:tcPr>
            <w:tcW w:w="12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166,999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May 1 through May 31</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4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$110.03</w:t>
            </w: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160,011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June 1 through June 30</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160,011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July 1 through July 31</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4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$137.48</w:t>
            </w: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150,387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August 1 through August 31</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4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$111.33</w:t>
            </w:r>
          </w:p>
        </w:tc>
        <w:tc>
          <w:tcPr>
            <w:tcW w:w="12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145,011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 through September 30</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145,011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October 1 through October 31</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4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$96.23</w:t>
            </w:r>
          </w:p>
        </w:tc>
        <w:tc>
          <w:tcPr>
            <w:tcW w:w="12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135,003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1 through November 30</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4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$85.37</w:t>
            </w: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130,012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December 1 through December 31</w:t>
            </w: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CCEEFF"/>
            </w:tcBorders>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130,012</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gridSpan w:val="2"/>
            <w:shd w:val="clear" w:color="auto" w:fill="CCEEFF"/>
          </w:tcPr>
          <w:p>
            <w:pPr>
              <w:ind w:left="9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544</w:t>
            </w: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currently maintain one equity compensation plan, the 2012 Equity Incentive Plan (the “2012 Equity Plan”). The number of shares issuable upon vesting of outstanding restricted stock units granted to employees and non-employee directors, as well as the number of shares remaining available for future issuance, under the 2012 Equity Plan and our 2020 Employee Stock Purchase Plan as of December 31, 2024 are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5795010" cy="2512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251206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8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w:t>
            </w:r>
          </w:p>
        </w:tc>
        <w:tc>
          <w:tcPr>
            <w:tcW w:w="1640" w:type="dxa"/>
            <w:vAlign w:val="bottom"/>
            <w:tcBorders>
              <w:top w:val="single" w:sz="8" w:color="auto"/>
            </w:tcBorders>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(B)</w:t>
            </w:r>
          </w:p>
        </w:tc>
        <w:tc>
          <w:tcPr>
            <w:tcW w:w="27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64"/>
        </w:trPr>
        <w:tc>
          <w:tcPr>
            <w:tcW w:w="2680" w:type="dxa"/>
            <w:vAlign w:val="bottom"/>
          </w:tcPr>
          <w:p>
            <w:pPr>
              <w:spacing w:after="0"/>
              <w:rPr>
                <w:sz w:val="14"/>
                <w:szCs w:val="14"/>
                <w:color w:val="auto"/>
              </w:rPr>
            </w:pPr>
          </w:p>
        </w:tc>
        <w:tc>
          <w:tcPr>
            <w:tcW w:w="36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Number of shares to be issued 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 exercise</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remaining available for</w:t>
            </w:r>
          </w:p>
        </w:tc>
        <w:tc>
          <w:tcPr>
            <w:tcW w:w="0" w:type="dxa"/>
            <w:vAlign w:val="bottom"/>
          </w:tcPr>
          <w:p>
            <w:pPr>
              <w:spacing w:after="0"/>
              <w:rPr>
                <w:sz w:val="1"/>
                <w:szCs w:val="1"/>
                <w:color w:val="auto"/>
              </w:rPr>
            </w:pPr>
          </w:p>
        </w:tc>
      </w:tr>
      <w:tr>
        <w:trPr>
          <w:trHeight w:val="160"/>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164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2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future issuance under equity compensation</w:t>
            </w:r>
          </w:p>
        </w:tc>
        <w:tc>
          <w:tcPr>
            <w:tcW w:w="0" w:type="dxa"/>
            <w:vAlign w:val="bottom"/>
          </w:tcPr>
          <w:p>
            <w:pPr>
              <w:spacing w:after="0"/>
              <w:rPr>
                <w:sz w:val="1"/>
                <w:szCs w:val="1"/>
                <w:color w:val="auto"/>
              </w:rPr>
            </w:pPr>
          </w:p>
        </w:tc>
      </w:tr>
      <w:tr>
        <w:trPr>
          <w:trHeight w:val="98"/>
        </w:trPr>
        <w:tc>
          <w:tcPr>
            <w:tcW w:w="2680" w:type="dxa"/>
            <w:vAlign w:val="bottom"/>
            <w:vMerge w:val="continue"/>
          </w:tcPr>
          <w:p>
            <w:pPr>
              <w:spacing w:after="0"/>
              <w:rPr>
                <w:sz w:val="8"/>
                <w:szCs w:val="8"/>
                <w:color w:val="auto"/>
              </w:rPr>
            </w:pPr>
          </w:p>
        </w:tc>
        <w:tc>
          <w:tcPr>
            <w:tcW w:w="20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1640" w:type="dxa"/>
            <w:vAlign w:val="bottom"/>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shares reflected in column</w:t>
            </w: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2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rights (2)</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(3)</w:t>
            </w:r>
          </w:p>
        </w:tc>
        <w:tc>
          <w:tcPr>
            <w:tcW w:w="0" w:type="dxa"/>
            <w:vAlign w:val="bottom"/>
          </w:tcPr>
          <w:p>
            <w:pPr>
              <w:spacing w:after="0"/>
              <w:rPr>
                <w:sz w:val="1"/>
                <w:szCs w:val="1"/>
                <w:color w:val="auto"/>
              </w:rPr>
            </w:pPr>
          </w:p>
        </w:tc>
      </w:tr>
      <w:tr>
        <w:trPr>
          <w:trHeight w:val="126"/>
        </w:trPr>
        <w:tc>
          <w:tcPr>
            <w:tcW w:w="26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 compensation plans approved by</w:t>
            </w:r>
          </w:p>
        </w:tc>
        <w:tc>
          <w:tcPr>
            <w:tcW w:w="2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464,904</w:t>
            </w:r>
          </w:p>
        </w:tc>
        <w:tc>
          <w:tcPr>
            <w:tcW w:w="1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2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1,299,342</w:t>
            </w:r>
          </w:p>
        </w:tc>
        <w:tc>
          <w:tcPr>
            <w:tcW w:w="0" w:type="dxa"/>
            <w:vAlign w:val="bottom"/>
          </w:tcPr>
          <w:p>
            <w:pPr>
              <w:spacing w:after="0"/>
              <w:rPr>
                <w:sz w:val="1"/>
                <w:szCs w:val="1"/>
                <w:color w:val="auto"/>
              </w:rPr>
            </w:pPr>
          </w:p>
        </w:tc>
      </w:tr>
      <w:tr>
        <w:trPr>
          <w:trHeight w:val="107"/>
        </w:trPr>
        <w:tc>
          <w:tcPr>
            <w:tcW w:w="2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2040" w:type="dxa"/>
            <w:vAlign w:val="bottom"/>
            <w:vMerge w:val="continue"/>
            <w:shd w:val="clear" w:color="auto" w:fill="CCEEFF"/>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2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680" w:type="dxa"/>
            <w:vAlign w:val="bottom"/>
            <w:vMerge w:val="continue"/>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2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 compensation plans not approved by</w:t>
            </w:r>
          </w:p>
        </w:tc>
        <w:tc>
          <w:tcPr>
            <w:tcW w:w="2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N/A</w:t>
            </w:r>
          </w:p>
        </w:tc>
        <w:tc>
          <w:tcPr>
            <w:tcW w:w="2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07"/>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20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68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464,904</w:t>
            </w:r>
          </w:p>
        </w:tc>
        <w:tc>
          <w:tcPr>
            <w:tcW w:w="1640" w:type="dxa"/>
            <w:vAlign w:val="bottom"/>
            <w:shd w:val="clear" w:color="auto" w:fill="CCEEFF"/>
          </w:tcPr>
          <w:p>
            <w:pPr>
              <w:spacing w:after="0"/>
              <w:rPr>
                <w:sz w:val="14"/>
                <w:szCs w:val="14"/>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1,299,342</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 w:right="380"/>
        <w:spacing w:after="0" w:line="233" w:lineRule="auto"/>
        <w:rPr>
          <w:sz w:val="20"/>
          <w:szCs w:val="20"/>
          <w:color w:val="auto"/>
        </w:rPr>
      </w:pPr>
      <w:r>
        <w:rPr>
          <w:rFonts w:ascii="Times New Roman" w:cs="Times New Roman" w:eastAsia="Times New Roman" w:hAnsi="Times New Roman"/>
          <w:sz w:val="14"/>
          <w:szCs w:val="14"/>
          <w:color w:val="auto"/>
        </w:rPr>
        <w:t>(1) Represents 464,904 shares issuable on vesting of outstanding RSUs under the 2012 Equity Plan (some of which will be withheld in respect of tax withholding obligations).</w:t>
      </w:r>
    </w:p>
    <w:p>
      <w:pPr>
        <w:ind w:left="20" w:right="300"/>
        <w:spacing w:after="0" w:line="221" w:lineRule="auto"/>
        <w:rPr>
          <w:sz w:val="20"/>
          <w:szCs w:val="20"/>
          <w:color w:val="auto"/>
        </w:rPr>
      </w:pPr>
      <w:r>
        <w:rPr>
          <w:rFonts w:ascii="Times New Roman" w:cs="Times New Roman" w:eastAsia="Times New Roman" w:hAnsi="Times New Roman"/>
          <w:sz w:val="14"/>
          <w:szCs w:val="14"/>
          <w:color w:val="auto"/>
        </w:rPr>
        <w:t>(2) For the purposes of this table, the weighted-average exercise price of outstanding options, warrants and rights includes RSUs as if they had a $0.00 exercise price.</w:t>
      </w:r>
    </w:p>
    <w:p>
      <w:pPr>
        <w:ind w:left="20"/>
        <w:spacing w:after="0" w:line="222" w:lineRule="auto"/>
        <w:tabs>
          <w:tab w:leader="none" w:pos="340" w:val="left"/>
        </w:tabs>
        <w:rPr>
          <w:sz w:val="20"/>
          <w:szCs w:val="20"/>
          <w:color w:val="auto"/>
        </w:rPr>
      </w:pPr>
      <w:r>
        <w:rPr>
          <w:rFonts w:ascii="Times New Roman" w:cs="Times New Roman" w:eastAsia="Times New Roman" w:hAnsi="Times New Roman"/>
          <w:sz w:val="14"/>
          <w:szCs w:val="14"/>
          <w:color w:val="auto"/>
        </w:rPr>
        <w:t>(3)</w:t>
        <w:tab/>
        <w:t>Represents the total shares available for issuance under our 2012 Equity Plan and our 2020 Employee Stock Purchase Plan, as of December 31, 2024,</w:t>
      </w:r>
    </w:p>
    <w:tbl>
      <w:tblPr>
        <w:tblLayout w:type="fixed"/>
        <w:tblInd w:w="20" w:type="dxa"/>
        <w:tblCellMar>
          <w:top w:w="0" w:type="dxa"/>
          <w:left w:w="0" w:type="dxa"/>
          <w:bottom w:w="0" w:type="dxa"/>
          <w:right w:w="0" w:type="dxa"/>
        </w:tblCellMar>
      </w:tblPr>
      <w:tr>
        <w:trPr>
          <w:trHeight w:val="188"/>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as follows:</w:t>
            </w:r>
          </w:p>
        </w:tc>
        <w:tc>
          <w:tcPr>
            <w:tcW w:w="83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419,955 shares were available for future issuance under the 2012 Equity Plan. Such amount represents the total number of shares reserved for</w:t>
            </w:r>
          </w:p>
        </w:tc>
        <w:tc>
          <w:tcPr>
            <w:tcW w:w="0" w:type="dxa"/>
            <w:vAlign w:val="bottom"/>
          </w:tcPr>
          <w:p>
            <w:pPr>
              <w:spacing w:after="0"/>
              <w:rPr>
                <w:sz w:val="1"/>
                <w:szCs w:val="1"/>
                <w:color w:val="auto"/>
              </w:rPr>
            </w:pPr>
          </w:p>
        </w:tc>
      </w:tr>
      <w:tr>
        <w:trPr>
          <w:trHeight w:val="93"/>
        </w:trPr>
        <w:tc>
          <w:tcPr>
            <w:tcW w:w="740" w:type="dxa"/>
            <w:vAlign w:val="bottom"/>
          </w:tcPr>
          <w:p>
            <w:pPr>
              <w:spacing w:after="0"/>
              <w:rPr>
                <w:sz w:val="8"/>
                <w:szCs w:val="8"/>
                <w:color w:val="auto"/>
              </w:rPr>
            </w:pPr>
          </w:p>
        </w:tc>
        <w:tc>
          <w:tcPr>
            <w:tcW w:w="8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under the 2012 Equity Plan ((7,762,500 shares approved by the shareholders, plus 1,777,029 shares added in accordance with the</w:t>
            </w: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w:t>
            </w: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terms of the 2012 Equity Plan as a result of the expiration or forfeiture of awards granted under our prior equity grant plan that were</w:t>
            </w:r>
          </w:p>
        </w:tc>
        <w:tc>
          <w:tcPr>
            <w:tcW w:w="0" w:type="dxa"/>
            <w:vAlign w:val="bottom"/>
          </w:tcPr>
          <w:p>
            <w:pPr>
              <w:spacing w:after="0"/>
              <w:rPr>
                <w:sz w:val="1"/>
                <w:szCs w:val="1"/>
                <w:color w:val="auto"/>
              </w:rPr>
            </w:pPr>
          </w:p>
        </w:tc>
      </w:tr>
      <w:tr>
        <w:trPr>
          <w:trHeight w:val="148"/>
        </w:trPr>
        <w:tc>
          <w:tcPr>
            <w:tcW w:w="740" w:type="dxa"/>
            <w:vAlign w:val="bottom"/>
            <w:vMerge w:val="continue"/>
          </w:tcPr>
          <w:p>
            <w:pPr>
              <w:spacing w:after="0"/>
              <w:rPr>
                <w:sz w:val="12"/>
                <w:szCs w:val="12"/>
                <w:color w:val="auto"/>
              </w:rPr>
            </w:pP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outstanding at the time of the adoption of the 2012 Equity Plan), less the shares issuable on options and restricted stock units (counted at 1.5</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each) outstanding under the 2012 Equity Plan included in column (A)) and the shares issued prior to such date on exercise of options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vesting of restricted stock units granted under the 2012 Equity Plan. This plan is generally used for grants to employees and directors and</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was initially approved by our stockholders at our 2012 annual meeting.</w:t>
            </w: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w:t>
            </w:r>
          </w:p>
        </w:tc>
        <w:tc>
          <w:tcPr>
            <w:tcW w:w="8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879,387 shares were available under our 2020 Employee Stock Purchase Plan, which represents the total number of shares reserved for</w:t>
            </w:r>
          </w:p>
        </w:tc>
        <w:tc>
          <w:tcPr>
            <w:tcW w:w="0" w:type="dxa"/>
            <w:vAlign w:val="bottom"/>
          </w:tcPr>
          <w:p>
            <w:pPr>
              <w:spacing w:after="0"/>
              <w:rPr>
                <w:sz w:val="1"/>
                <w:szCs w:val="1"/>
                <w:color w:val="auto"/>
              </w:rPr>
            </w:pPr>
          </w:p>
        </w:tc>
      </w:tr>
      <w:tr>
        <w:trPr>
          <w:trHeight w:val="107"/>
        </w:trPr>
        <w:tc>
          <w:tcPr>
            <w:tcW w:w="740" w:type="dxa"/>
            <w:vAlign w:val="bottom"/>
            <w:vMerge w:val="continue"/>
          </w:tcPr>
          <w:p>
            <w:pPr>
              <w:spacing w:after="0"/>
              <w:rPr>
                <w:sz w:val="9"/>
                <w:szCs w:val="9"/>
                <w:color w:val="auto"/>
              </w:rPr>
            </w:pPr>
          </w:p>
        </w:tc>
        <w:tc>
          <w:tcPr>
            <w:tcW w:w="83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issuance under the plan (1,000,000) less the shares purchased through December 31, 2024.</w:t>
            </w: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8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Certain statements 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and “Risk Factors” and others discussed elsewhere in this Annual Report on Form 10-K.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semiconductor capital equipment industry is subject to cyclical swings in capital spending by semiconductor chip manufacturers. Capital spending is influenced by demand for semiconductors and the products using them, the utilization rate and capacity of existing semiconductor chip manufacturing facilities and changes in semiconductor technology, all of which are outside of our control. As a result, our revenue may fluctuate from year to year and period to period. Our established cost structure does not vary significantly with changes in volume. We may also experience fluctuations in operating results and cash flows depending on our revenue level.</w:t>
      </w:r>
    </w:p>
    <w:p>
      <w:pPr>
        <w:spacing w:after="0" w:line="18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Revenue for 2024 was $1,017.9 million, compared to $1,130.6 million in 2023. Systems revenue for 2024 was $782.6 million, compared to $883.6 million in 2023. Gross margin percent for the year was 44.7% compared to 43.5% in 2023. Operating profit was $210.8 million in 2024, compared to $265.8 million in 2023. Net income for the year was $201.0 million, compared to $246.3 million in 2023.</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is in a strong competitive position. A focused strategy on ion implant, combined with the hard work and dedication of our employees and the encouragement and support of our customers and suppliers, enabled us to achieve numerous critical milestones in our drive to market leadership. Important accomplishments in 2024 included:</w:t>
      </w:r>
    </w:p>
    <w:p>
      <w:pPr>
        <w:spacing w:after="0" w:line="176" w:lineRule="exact"/>
        <w:rPr>
          <w:sz w:val="20"/>
          <w:szCs w:val="20"/>
          <w:color w:val="auto"/>
        </w:rPr>
      </w:pPr>
    </w:p>
    <w:p>
      <w:pPr>
        <w:ind w:left="680" w:hanging="324"/>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revenue of $1,017.9 million in 2024 and earnings per share of $6.15.</w:t>
      </w:r>
    </w:p>
    <w:p>
      <w:pPr>
        <w:spacing w:after="0" w:line="36" w:lineRule="exact"/>
        <w:rPr>
          <w:rFonts w:ascii="Times New Roman" w:cs="Times New Roman" w:eastAsia="Times New Roman" w:hAnsi="Times New Roman"/>
          <w:sz w:val="18"/>
          <w:szCs w:val="18"/>
          <w:color w:val="auto"/>
        </w:rPr>
      </w:pPr>
    </w:p>
    <w:p>
      <w:pPr>
        <w:ind w:left="680" w:right="420" w:hanging="324"/>
        <w:spacing w:after="0" w:line="273"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remained a technology leader and supplier of choice in the implant-intensive power device segment, which accounted for 56% of the value of our 2024 system shipments.</w:t>
      </w:r>
    </w:p>
    <w:p>
      <w:pPr>
        <w:spacing w:after="0" w:line="1" w:lineRule="exact"/>
        <w:rPr>
          <w:rFonts w:ascii="Times New Roman" w:cs="Times New Roman" w:eastAsia="Times New Roman" w:hAnsi="Times New Roman"/>
          <w:sz w:val="18"/>
          <w:szCs w:val="18"/>
          <w:color w:val="auto"/>
        </w:rPr>
      </w:pPr>
    </w:p>
    <w:p>
      <w:pPr>
        <w:ind w:left="680" w:right="420" w:hanging="324"/>
        <w:spacing w:after="0" w:line="273"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working to expand our footprint with existing and new customers and currently have two Purion evaluation systems in the field at strategic customer sites in key market segments.</w:t>
      </w:r>
    </w:p>
    <w:p>
      <w:pPr>
        <w:spacing w:after="0" w:line="1" w:lineRule="exact"/>
        <w:rPr>
          <w:rFonts w:ascii="Times New Roman" w:cs="Times New Roman" w:eastAsia="Times New Roman" w:hAnsi="Times New Roman"/>
          <w:sz w:val="18"/>
          <w:szCs w:val="18"/>
          <w:color w:val="auto"/>
        </w:rPr>
      </w:pPr>
    </w:p>
    <w:p>
      <w:pPr>
        <w:ind w:left="680" w:right="80" w:hanging="324"/>
        <w:spacing w:after="0" w:line="260"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investment in our Customer Solutions &amp; Innovation (“CS&amp;I”) aftermarket business to drive financial growth and increased customer satisfaction levels, including the “Digital Tool Box,” an innovative service offering with online training, remote diagnosis and install, and automated troubleshooting guide.</w:t>
      </w:r>
    </w:p>
    <w:p>
      <w:pPr>
        <w:spacing w:after="0" w:line="2" w:lineRule="exact"/>
        <w:rPr>
          <w:rFonts w:ascii="Times New Roman" w:cs="Times New Roman" w:eastAsia="Times New Roman" w:hAnsi="Times New Roman"/>
          <w:sz w:val="18"/>
          <w:szCs w:val="18"/>
          <w:color w:val="auto"/>
        </w:rPr>
      </w:pPr>
    </w:p>
    <w:p>
      <w:pPr>
        <w:ind w:left="680" w:right="100" w:hanging="324"/>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22 customer satisfaction awards in 2024. In addition, Axcelis was named to both the 2023 and 2024 editions of Forbes’ List of America’s Best Mid-Cap Companies and to both the Fortune Magazine’s 2023 and 2024 lists of the Top 100 Fastest Growing Companies.</w:t>
      </w:r>
    </w:p>
    <w:p>
      <w:pPr>
        <w:spacing w:after="0" w:line="21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continue to work diligently to ensure that manufacturing and operating expense levels remain well aligned to business conditions.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market for our systems and aftermarket products and services is represented by a relatively small number of companies. In 2024, the top 20 semiconductor chip manufacturers accounted for approximately 87.6% of total semiconductor capital equipment spending, down from 92.0% in 2023. Our net revenue from our ten largest customers accounted for 45.9% of total revenue for the year ended December 31, 2024 compared to 51.7% and 59.4% of revenue for the years ended December 31, 2023 and 2022, respectively. For the year ended December 31, 2024, no customers represented ten percent or more of total revenue.</w:t>
      </w:r>
    </w:p>
    <w:p>
      <w:pPr>
        <w:sectPr>
          <w:pgSz w:w="11900" w:h="16838" w:orient="portrait"/>
          <w:cols w:equalWidth="0" w:num="1">
            <w:col w:w="9080"/>
          </w:cols>
          <w:pgMar w:left="138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are based upon Axcelis’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the following accounting policies are critical in the portrayal of our financial condition and results of operations and require management’s most significant judgments and estimates in the preparation of our consolidated financial statements. For additional accounting policies, see Note 2 to the consolidated financial statements for the year ended December 31, 2024 included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accounting policies relating to the recognition of revenue require management to make estimates, determinations and judgments based on historical experience and on various other assumptions, which include (i) the existence of a contract with the customer, (ii) the identification of the performance obligations in the contract, (iii) the value of any variable consideration in the contract, (iv) the standalone selling price of multiple obligations in the contract, for the purpose of allocating the consideration in the contract, and (v) determining when a performance obligation has been met. Our revenue recognition policies are set forth in section (j) of Note 2, Summary of Significant Accounting Policies, to the consolidated financial statements for the year ended December 31, 2024 included in this Annual Report on Form 10-K. Recognition of revenue based on incorrect judgments, including an erroneous allocation of the estimated sales price between the units of accounting, could result in inappropriate recognition of revenue, or incorrect timing of revenue recognition, which could have a material effect on our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Inventory—Provision for Excess and Obsolescence and Lower of Cost or Net Realizable Value</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record a provision for estimated excess and obsolete inventory and lower of cost or net realizable value. The provision is determined using management’s assumptions of materials usage, based on estimates of forecasted and historical demand and market conditions. Specifically, our assumptions of forecasted system sales and the size and utilization of the installed base of systems may have a significant effect on estimated materials usage. If actual market conditions become less favorable than those projected by management, additional inventory write-downs may be required.</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Although we make every effort to ensure the accuracy of our forecasts or product demand and pricing assumptions, any significant unanticipated changes in demand, pricing, or technical developments would significantly impact the value of our inventory and our reported operating results. In the future, if we determine that inventory needs to be written down, we will recognize such costs in our cost of revenue at the time of such determination. If we subsequently sell product that has previously been written down, our gross margin in that period will be favorably impacted.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relative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net operating loss and tax credit carryforwards.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establish a valuation allowance when it is more likely than not that some portion or all of the deferred tax assets will not be realized. Significant management judgment is required in determining our provision for income taxes, the deferred tax assets and liabilities and any valuation allowance recorded against those net deferred tax assets.</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evaluate the weight of all available evidence such as historical losses, the expected timing of the reversals of existing temporary differences and projected future taxable income to determine whether it is more likely than not that some portion or all of the net deferred income tax assets will not be realized.</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income tax expense includes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 change to the effective tax rate. We recognize accrued interest related to unrecognized tax benefits as interest expense and penalties as operating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year-to-year comparative statements include the 2024 and 2023 year periods. For comparative statements for the 2023 and 2022 periods, please refer to our 2023 Annual Report on Form 10-K, filed with the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and Exchange Commission on February 23, 2024, as amended by Amendment No. 1 thereto, filed with the Securities and Exchange Commission on February 28,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327"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96.0 %</w:t>
            </w:r>
          </w:p>
        </w:tc>
        <w:tc>
          <w:tcPr>
            <w:tcW w:w="13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96.9 %</w:t>
            </w: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8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4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8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4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4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4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48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3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48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4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4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48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income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8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4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8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3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15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820" w:type="dxa"/>
            <w:vAlign w:val="bottom"/>
            <w:gridSpan w:val="2"/>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gridSpan w:val="6"/>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976,881</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$ 1,095,650</w:t>
            </w:r>
          </w:p>
        </w:tc>
        <w:tc>
          <w:tcPr>
            <w:tcW w:w="220" w:type="dxa"/>
            <w:vAlign w:val="bottom"/>
          </w:tcPr>
          <w:p>
            <w:pPr>
              <w:spacing w:after="0"/>
              <w:rPr>
                <w:sz w:val="18"/>
                <w:szCs w:val="18"/>
                <w:color w:val="auto"/>
              </w:rPr>
            </w:pPr>
          </w:p>
        </w:tc>
        <w:tc>
          <w:tcPr>
            <w:tcW w:w="152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 (118,769) </w:t>
            </w:r>
            <w:r>
              <w:rPr>
                <w:rFonts w:ascii="Times New Roman" w:cs="Times New Roman" w:eastAsia="Times New Roman" w:hAnsi="Times New Roman"/>
                <w:sz w:val="16"/>
                <w:szCs w:val="16"/>
                <w:i w:val="1"/>
                <w:iCs w:val="1"/>
                <w:color w:val="auto"/>
              </w:rPr>
              <w:t>(10.8)%</w:t>
            </w: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96.0 %</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96.9 %</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40,984</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34,954</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17.3 %</w:t>
            </w: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4.0 %</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3.1 %</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18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1,017,865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$ 1,130,604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(112,739)</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(10.0)</w:t>
            </w:r>
            <w:r>
              <w:rPr>
                <w:rFonts w:ascii="Times New Roman" w:cs="Times New Roman" w:eastAsia="Times New Roman" w:hAnsi="Times New Roman"/>
                <w:sz w:val="16"/>
                <w:szCs w:val="16"/>
                <w:color w:val="auto"/>
              </w:rPr>
              <w:t>%</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Product revenue, which includes new system sales, sales of spare parts, product upgrades and used system sales was $976.9 million or 96.0% of revenue in 2024, compared with $1,095.7 million or 96.9% of revenue in 2023. The decrease in product revenue in 2024 was primarily driven by a decrease in the number of Purion systems sold.</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 portion of our revenue from system sales is deferred until installation and other services related to future deliverables are performed. The total amount of deferred revenue at December 31, 2024 and 2023 was $138.2 million and $210.9 million, respectively. The decrease was primarily due to a decrease in system prepayments.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$41.0 million, or 4.0% of revenue for 2024, compared with $35.0 million, or 3.1% of revenue for 2023.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line-item revenue categories discussed above, management also uses revenue categorizations which break down revenue into other groupings. Management regularly disaggregates revenue in the following categories, which it finds relevant and useful:</w:t>
      </w:r>
    </w:p>
    <w:p>
      <w:pPr>
        <w:spacing w:after="0" w:line="176" w:lineRule="exact"/>
        <w:rPr>
          <w:sz w:val="20"/>
          <w:szCs w:val="20"/>
          <w:color w:val="auto"/>
        </w:rPr>
      </w:pPr>
    </w:p>
    <w:p>
      <w:pPr>
        <w:ind w:left="1320" w:hanging="316"/>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Customer Solutions and Innovation (“CS&amp;I”, or “aftermarket”) revenue is</w:t>
      </w:r>
    </w:p>
    <w:p>
      <w:pPr>
        <w:spacing w:after="0" w:line="225" w:lineRule="exact"/>
        <w:rPr>
          <w:rFonts w:ascii="Times New Roman" w:cs="Times New Roman" w:eastAsia="Times New Roman" w:hAnsi="Times New Roman"/>
          <w:sz w:val="18"/>
          <w:szCs w:val="18"/>
          <w:color w:val="auto"/>
        </w:rPr>
      </w:pPr>
    </w:p>
    <w:p>
      <w:pPr>
        <w:ind w:left="1980" w:right="660" w:hanging="328"/>
        <w:spacing w:after="0" w:line="261" w:lineRule="auto"/>
        <w:tabs>
          <w:tab w:leader="none" w:pos="1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systems combined with;</w:t>
      </w:r>
    </w:p>
    <w:p>
      <w:pPr>
        <w:ind w:left="1980" w:hanging="328"/>
        <w:spacing w:after="0"/>
        <w:tabs>
          <w:tab w:leader="none" w:pos="1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which is the labor component of aftermarket revenues</w:t>
      </w:r>
    </w:p>
    <w:p>
      <w:pPr>
        <w:spacing w:after="0" w:line="207" w:lineRule="exact"/>
        <w:rPr>
          <w:sz w:val="20"/>
          <w:szCs w:val="20"/>
          <w:color w:val="auto"/>
        </w:rPr>
      </w:pPr>
    </w:p>
    <w:p>
      <w:pPr>
        <w:ind w:left="1300" w:right="300"/>
        <w:spacing w:after="0" w:line="282" w:lineRule="auto"/>
        <w:rPr>
          <w:sz w:val="20"/>
          <w:szCs w:val="20"/>
          <w:color w:val="auto"/>
        </w:rPr>
      </w:pPr>
      <w:r>
        <w:rPr>
          <w:rFonts w:ascii="Times New Roman" w:cs="Times New Roman" w:eastAsia="Times New Roman" w:hAnsi="Times New Roman"/>
          <w:sz w:val="18"/>
          <w:szCs w:val="18"/>
          <w:color w:val="auto"/>
        </w:rPr>
        <w:t>Aftermarket revenue reflects current fab utilization as opposed to System revenue, which reflects capital investment decisions by our customers, which have differing economic drivers;</w:t>
      </w:r>
    </w:p>
    <w:p>
      <w:pPr>
        <w:spacing w:after="0" w:line="162" w:lineRule="exact"/>
        <w:rPr>
          <w:sz w:val="20"/>
          <w:szCs w:val="20"/>
          <w:color w:val="auto"/>
        </w:rPr>
      </w:pPr>
    </w:p>
    <w:p>
      <w:pPr>
        <w:ind w:left="1320" w:right="40" w:hanging="316"/>
        <w:spacing w:after="0" w:line="282" w:lineRule="auto"/>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pacing w:after="0" w:line="161" w:lineRule="exact"/>
        <w:rPr>
          <w:rFonts w:ascii="Times New Roman" w:cs="Times New Roman" w:eastAsia="Times New Roman" w:hAnsi="Times New Roman"/>
          <w:sz w:val="18"/>
          <w:szCs w:val="18"/>
          <w:color w:val="auto"/>
        </w:rPr>
      </w:pPr>
    </w:p>
    <w:p>
      <w:pPr>
        <w:ind w:left="1320" w:right="140" w:hanging="316"/>
        <w:spacing w:after="0" w:line="261" w:lineRule="auto"/>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customers’ end markets, since they tend to be subject to different economic environments at different periods of time, impacting a customer’s likelihood of purchasing capital equipment during any particular period; currently, management uses three end market categories: Memory, mature process technology and leading edge foundry and logic.</w:t>
      </w:r>
    </w:p>
    <w:p>
      <w:pPr>
        <w:spacing w:after="0" w:line="18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CS&amp;I/aftermarket revenue categories for the twelve month periods ended December 31, 2024 and 2023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CS&amp;I/Aftermarket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Revenue from our aftermarket business was $235.3 million in 2024, compared to $247.0 million for 2023. Aftermarket revenue generally increases with the expansion of the installed base of systems but can fluctuate from period to period based on capacity utilization at customers’ manufacturing facilities which affects the sale of spare parts and demand for equipment service.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5"/>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3"/>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452,430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487,538</w:t>
            </w:r>
          </w:p>
        </w:tc>
        <w:tc>
          <w:tcPr>
            <w:tcW w:w="180" w:type="dxa"/>
            <w:vAlign w:val="bottom"/>
          </w:tcPr>
          <w:p>
            <w:pPr>
              <w:spacing w:after="0"/>
              <w:rPr>
                <w:sz w:val="18"/>
                <w:szCs w:val="18"/>
                <w:color w:val="auto"/>
              </w:rPr>
            </w:pPr>
          </w:p>
        </w:tc>
        <w:tc>
          <w:tcPr>
            <w:tcW w:w="5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(7.2)</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46.3 %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44.5 %</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(40.9)</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5.4 %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10.7 %</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gross profit</w:t>
            </w: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454,654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(7.5)</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44.7</w:t>
            </w:r>
          </w:p>
        </w:tc>
        <w:tc>
          <w:tcPr>
            <w:tcW w:w="1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43.5</w:t>
            </w:r>
          </w:p>
        </w:tc>
        <w:tc>
          <w:tcPr>
            <w:tcW w:w="1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product revenue was 46.3% for the twelve months ended December 31, 2024, compared to 44.5% for the twelve months ended December 31, 2023. The increase in gross margin resulted from a favorable mix of system shipments and improved margins on Purion systems.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services revenue was 5.4% for the twelve months ended December 31, 2024, compared to 10.7% for the twelve months ended December 31, 2023. The decrease in gross margin is attributable to changes in the mix of service contracts.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2"/>
          </w:tcPr>
          <w:p>
            <w:pPr>
              <w:jc w:val="right"/>
              <w:ind w:right="428"/>
              <w:spacing w:after="0" w:line="129"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24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105,497</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96,907</w:t>
            </w: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8,590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8.9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i w:val="1"/>
                <w:iCs w:val="1"/>
                <w:color w:val="auto"/>
              </w:rPr>
              <w:t>10.4 %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8.6 %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68,046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62,805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5,241</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8.3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i w:val="1"/>
                <w:iCs w:val="1"/>
                <w:color w:val="auto"/>
              </w:rPr>
              <w:t>6.7 %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5.6 %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65,794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4,523</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6.9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i w:val="1"/>
                <w:iCs w:val="1"/>
                <w:color w:val="auto"/>
              </w:rPr>
              <w:t>6.9 %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5.8 %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243,860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225,506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18,354</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gridSpan w:val="2"/>
            <w:shd w:val="clear" w:color="auto" w:fill="CCEEFF"/>
          </w:tcPr>
          <w:p>
            <w:pPr>
              <w:jc w:val="right"/>
              <w:ind w:right="44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8.1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i w:val="1"/>
                <w:iCs w:val="1"/>
                <w:color w:val="auto"/>
                <w:w w:val="73"/>
              </w:rPr>
              <w:t>%</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24.0</w:t>
            </w: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20.0</w:t>
            </w: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including salaries, commissions, bonuses, stock-based compensation and related benefits and taxes; project material costs related to the design and development of new products and enhancement of existing products; and professional fees, facilities and amortization and depreciation expenses. Personnel costs are our largest expense, representing $144.2 million, or 59.1% of our total operating expenses, for the year ended December 31, 2024; and $135.1 million, or 59.9% of our total operating expenses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3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gridSpan w:val="4"/>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96,907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 xml:space="preserve">8.9 </w:t>
            </w:r>
            <w:r>
              <w:rPr>
                <w:rFonts w:ascii="Times New Roman" w:cs="Times New Roman" w:eastAsia="Times New Roman" w:hAnsi="Times New Roman"/>
                <w:sz w:val="16"/>
                <w:szCs w:val="16"/>
                <w:color w:val="auto"/>
              </w:rPr>
              <w:t>%</w:t>
            </w:r>
          </w:p>
        </w:tc>
      </w:tr>
      <w:tr>
        <w:trPr>
          <w:trHeight w:val="212"/>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10.4 %</w:t>
            </w:r>
          </w:p>
        </w:tc>
        <w:tc>
          <w:tcPr>
            <w:tcW w:w="3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8.6 %</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201" w:lineRule="exact"/>
        <w:rPr>
          <w:sz w:val="20"/>
          <w:szCs w:val="20"/>
          <w:color w:val="auto"/>
        </w:rPr>
      </w:pPr>
    </w:p>
    <w:p>
      <w:pPr>
        <w:ind w:left="20" w:right="120" w:firstLine="648"/>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drive competitive advantages.</w:t>
      </w:r>
    </w:p>
    <w:p>
      <w:pPr>
        <w:spacing w:after="0" w:line="180" w:lineRule="exact"/>
        <w:rPr>
          <w:sz w:val="20"/>
          <w:szCs w:val="20"/>
          <w:color w:val="auto"/>
        </w:rPr>
      </w:pPr>
    </w:p>
    <w:p>
      <w:pPr>
        <w:ind w:left="20" w:right="30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 was $105.5 million in 2024, an increase of $8.6 million, or 8.9%, compared with $96.9 million in 2023. The increase was primarily due to increased outside services, materials and supplies expense to support ongoing R&amp;D projects as well as higher personnel expenses associated with an increase in wages and benefits partially offset by a decrease in variable compensation expense and temporary employee expenses.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00" w:type="dxa"/>
            <w:vAlign w:val="bottom"/>
            <w:gridSpan w:val="6"/>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vMerge w:val="continue"/>
          </w:tcPr>
          <w:p>
            <w:pPr>
              <w:spacing w:after="0"/>
              <w:rPr>
                <w:sz w:val="11"/>
                <w:szCs w:val="11"/>
                <w:color w:val="auto"/>
              </w:rPr>
            </w:pPr>
          </w:p>
        </w:tc>
        <w:tc>
          <w:tcPr>
            <w:tcW w:w="860" w:type="dxa"/>
            <w:vAlign w:val="bottom"/>
            <w:gridSpan w:val="2"/>
          </w:tcPr>
          <w:p>
            <w:pPr>
              <w:jc w:val="right"/>
              <w:ind w:right="226"/>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68,046</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5,241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i w:val="1"/>
                <w:iCs w:val="1"/>
                <w:color w:val="auto"/>
              </w:rPr>
              <w:t xml:space="preserve">8.3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6.7 %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53"/>
              <w:spacing w:after="0"/>
              <w:rPr>
                <w:sz w:val="20"/>
                <w:szCs w:val="20"/>
                <w:color w:val="auto"/>
              </w:rPr>
            </w:pPr>
            <w:r>
              <w:rPr>
                <w:rFonts w:ascii="Times New Roman" w:cs="Times New Roman" w:eastAsia="Times New Roman" w:hAnsi="Times New Roman"/>
                <w:sz w:val="16"/>
                <w:szCs w:val="16"/>
                <w:i w:val="1"/>
                <w:iCs w:val="1"/>
                <w:color w:val="auto"/>
              </w:rPr>
              <w:t>5.6 %</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 w:right="32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Sales and marketing expense was $68.0 million in 2024, an increase of $5.2 million, or 8.3%, compared 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$62.8 million in 2023. The increase was primarily due to higher personnel expenses associated with an increase in wages and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compensation partially offset by a decrease in variable compensation expense.</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4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8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70,317</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65,794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4,523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i w:val="1"/>
                <w:iCs w:val="1"/>
                <w:color w:val="auto"/>
              </w:rPr>
              <w:t xml:space="preserve">6.9 </w:t>
            </w:r>
            <w:r>
              <w:rPr>
                <w:rFonts w:ascii="Times New Roman" w:cs="Times New Roman" w:eastAsia="Times New Roman" w:hAnsi="Times New Roman"/>
                <w:sz w:val="16"/>
                <w:szCs w:val="16"/>
                <w:color w:val="auto"/>
              </w:rPr>
              <w:t>%</w:t>
            </w:r>
          </w:p>
        </w:tc>
      </w:tr>
      <w:tr>
        <w:trPr>
          <w:trHeight w:val="212"/>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6.9 %</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5.8 %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201" w:lineRule="exact"/>
        <w:rPr>
          <w:sz w:val="20"/>
          <w:szCs w:val="20"/>
          <w:color w:val="auto"/>
        </w:rPr>
      </w:pPr>
    </w:p>
    <w:p>
      <w:pPr>
        <w:jc w:val="both"/>
        <w:ind w:left="20" w:right="48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pacing w:after="0" w:line="162" w:lineRule="exact"/>
        <w:rPr>
          <w:sz w:val="20"/>
          <w:szCs w:val="20"/>
          <w:color w:val="auto"/>
        </w:rPr>
      </w:pPr>
    </w:p>
    <w:p>
      <w:pPr>
        <w:jc w:val="both"/>
        <w:ind w:left="20" w:right="1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$70.3 million in 2024, an increase of $4.5 million, or 6.9%, compared with $65.8 million in 2023. The increase was primarily due to higher bad debt expense and higher personnel expenses associated with an increase in wages and benefits partially offset by a decrease in variable compensation expense.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ind w:left="20" w:right="400" w:firstLine="648"/>
        <w:spacing w:after="0" w:line="312" w:lineRule="auto"/>
        <w:rPr>
          <w:sz w:val="20"/>
          <w:szCs w:val="20"/>
          <w:color w:val="auto"/>
        </w:rPr>
      </w:pPr>
      <w:r>
        <w:rPr>
          <w:rFonts w:ascii="Times New Roman" w:cs="Times New Roman" w:eastAsia="Times New Roman" w:hAnsi="Times New Roman"/>
          <w:sz w:val="17"/>
          <w:szCs w:val="17"/>
          <w:color w:val="auto"/>
        </w:rPr>
        <w:t>Other income (expense) consists of interest earned and accretion on our invested cash balances, interest expense relating to the finance lease obligation we incurred in connection with the 2015 sale of our headquarters facility (“sale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40"/>
          </w:cols>
          <w:pgMar w:left="1360" w:top="513" w:right="1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leaseback”) as well as foreign exchange gains and losses attributable to both fluctuations of the U.S. dollar against the local currencies of certain of the countries in which we operate and forward currency exchange contracts.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3"/>
        </w:trPr>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5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06"/>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0" w:type="dxa"/>
            <w:vAlign w:val="bottom"/>
          </w:tcPr>
          <w:p>
            <w:pPr>
              <w:spacing w:after="0"/>
              <w:rPr>
                <w:sz w:val="12"/>
                <w:szCs w:val="12"/>
                <w:color w:val="auto"/>
              </w:rPr>
            </w:pPr>
          </w:p>
        </w:tc>
      </w:tr>
      <w:tr>
        <w:trPr>
          <w:trHeight w:val="128"/>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4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19,480</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12,804</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i w:val="1"/>
                <w:iCs w:val="1"/>
                <w:color w:val="auto"/>
              </w:rPr>
              <w:t xml:space="preserve">52.1 </w:t>
            </w:r>
            <w:r>
              <w:rPr>
                <w:rFonts w:ascii="Times New Roman" w:cs="Times New Roman" w:eastAsia="Times New Roman" w:hAnsi="Times New Roman"/>
                <w:sz w:val="16"/>
                <w:szCs w:val="16"/>
                <w:color w:val="auto"/>
              </w:rPr>
              <w:t>%</w:t>
            </w:r>
          </w:p>
        </w:tc>
      </w:tr>
      <w:tr>
        <w:trPr>
          <w:trHeight w:val="237"/>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2.0 %</w:t>
            </w:r>
          </w:p>
        </w:tc>
        <w:tc>
          <w:tcPr>
            <w:tcW w:w="3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204"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Other income for the year ended December 31, 2024 was $19.5 million, which includes $24.4 million of interest income on our investments, partially offset by $5.5 million of interest expense related to our sale leaseback obligation and $9.1 million of foreign exchange losses, offset by $9.1 million of foreign exchange gains from forward exchange contracts. Other expense for the year ended December 31, 2023 was $12.8 million, which includes $18.2 million of interest income on our investments, partially offset by $5.3 million of interest expense related to our sale leaseback obligation.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4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406"/>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7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2"/>
                <w:szCs w:val="12"/>
                <w:color w:val="auto"/>
              </w:rPr>
            </w:pPr>
          </w:p>
        </w:tc>
      </w:tr>
      <w:tr>
        <w:trPr>
          <w:trHeight w:val="128"/>
        </w:trPr>
        <w:tc>
          <w:tcPr>
            <w:tcW w:w="4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24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29,282</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32,336</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(3,054)</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i w:val="1"/>
                <w:iCs w:val="1"/>
                <w:color w:val="auto"/>
              </w:rPr>
              <w:t>(9.4)</w:t>
            </w:r>
            <w:r>
              <w:rPr>
                <w:rFonts w:ascii="Times New Roman" w:cs="Times New Roman" w:eastAsia="Times New Roman" w:hAnsi="Times New Roman"/>
                <w:sz w:val="16"/>
                <w:szCs w:val="16"/>
                <w:color w:val="auto"/>
              </w:rPr>
              <w:t>%</w:t>
            </w:r>
          </w:p>
        </w:tc>
      </w:tr>
      <w:tr>
        <w:trPr>
          <w:trHeight w:val="237"/>
        </w:trPr>
        <w:tc>
          <w:tcPr>
            <w:tcW w:w="402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20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$29.3 million for the year ended December 31, 2024, compared to $32.3 million in 2023. The effective tax rate for the year ended December 31, 2024 was 12.7% compared to 11.6% for year the ended December 31, 2023. The increase in the effective tax rate in 2024 is primarily due to a decrease in the benefit associated with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our sales and other factors are influenced by the uncertainties of global economies, including the availability of credit and the condition of the overall semiconductor capital equipment industry. Our industry requires ongoing investments in operations and research and development that are not easily adjusted to reflect changes in revenue. As a result, profitability and cash flows can fluctuate more widely than revenue.</w:t>
      </w:r>
    </w:p>
    <w:p>
      <w:pPr>
        <w:spacing w:after="0" w:line="183"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18"/>
          <w:szCs w:val="18"/>
          <w:color w:val="auto"/>
        </w:rPr>
        <w:t>In 2024, $140.8 million of cash was provided by operating activities. This compares to $156.9 million of cash provided by operations in 2023. Cash and cash equivalents at December 31, 2024 was $123.5 million, compared to $167.3 million at December 31, 2023. Approximately $41.8 million of cash was located in foreign jurisdictions as of December 31, 2024. In addition to the cash and cash equivalent balance at December 31, 2024, we had $7.6 million in restricted cash which relates to a $5.9 million cash collateral relating to our lease for our headquarters in Beverly, Massachusetts, a $0.9 million letter of credit for customs purposes, a $0.7 million letter of credit relating to workers’ compensation insurance and a $0.1 million deposit relating to customs activity. Working capital at December 31, 2024 was $916.1 million. At December 31, 2024, we had no bank debt.</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2024, $108.7 million of cash was used in investing activities, $12.2 million of which was used for capital expenditures. We used $539.1 million of cash for purchases of short-term investments in 2024, partially offset by maturities of short-term investment of $442.6 million. We held $447.8 million of short-term investments at December 31, 2024. These short-term investments consist of U.S. Government securities and agency investments. In 2023, $100.9 million of cash was used in investing activities, $20.7 million of which was used for capital expenditures. We used $388.8 million of cash for purchases of short-term investments in 2023, partially offset by maturities of short-term investments of $308.6 million. Total capital expenditures for 2025 are projected to be approximately $20 million. Future capital expenditures beyond 2025</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will depend on a number of factors, including the timing and rate of expansion of our business and our ability to generate cash to fund them.</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2024 was $71.2 million, which consisted of $60.5 million related to our stock repurchase program, $11.6 million related to net settlement of restricted stock issuances and $1.5 million related to principal reduction on our finance lease. These amounts were partially offset by $2.4 million in proceeds from our employee stock purchase plan. Cash used in financing activities was $68.3 million for the year ended December 31, 2023, which consisted of $52.5 million related to our stock repurchase program, $16.6 million related to net settlement of restricted stock issuances, and $1.2 million of principal reduction on our finance lease. These amounts were partially offset by $2.1 million in proceeds from our employee stock purchase plan.</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outstanding letters of credit, surety bonds and deposits in the amount of $17.5 million to cover the security deposit under the lease of our headquarters, our workers’ compensation insurance program, customs and bank deposits and certain value added tax claims in Europe.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our commercial commitments as of December 31, 2024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Commercial Commitments</w:t>
            </w:r>
          </w:p>
        </w:tc>
        <w:tc>
          <w:tcPr>
            <w:tcW w:w="120" w:type="dxa"/>
            <w:vAlign w:val="bottom"/>
          </w:tcPr>
          <w:p>
            <w:pPr>
              <w:spacing w:after="0"/>
              <w:rPr>
                <w:sz w:val="15"/>
                <w:szCs w:val="15"/>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by Period</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Surety bonds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Standby letters of credit and deposits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our contractual obligations as of December 31,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2026-2027</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2028-2029</w:t>
            </w:r>
          </w:p>
        </w:tc>
        <w:tc>
          <w:tcPr>
            <w:tcW w:w="14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2030-Beyond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leaseback obligation</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$ 12,136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$ 12,627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Purchase order commitments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309,222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191,237</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$ 28,873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$ 17,746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as of December 31, 2024. See Note 18 – Income Taxes in the Notes to the Consolidated Financial Statements for information related to our unrecognized tax benefits.</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consider the undistributed earnings of our foreign subsidiaries as of December 31, 2024 to be indefinitely reinvested and, accordingly, no U.S. income taxes have been provided thereon. As of December 31, 2024, there was no cash associated with indefinitely reinvested foreign earnings. We have not, nor do we anticipate the need to, repatriate funds to the United States to satisfy domestic liquidity needs arising in the ordinary course of business. Upon repatriation of those earnings, in the form of dividends or otherwise, we could be subject to withholding taxes payable to the various foreign tax jurisdictions.</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Under the rules of the U.S. Securities and Exchange Commission (the “SEC”), we qualify as a “well-known seasoned issuer,” which allows us to file shelf registration statements to register an unspecified amount of securities that are effective upon filing. On August 3, 2023,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expire in August 2026. We may file another shelf registration statement to maintain the availability of this financing option.</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have a cash collateralized letter of credit of $5.9 million, which is classified as long-term restricted cash on our balance sheet at December 31, 2024.</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cash equivalents and short-term investments will be sufficient to satisfy our anticipated cash requirements for the short and long-term.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are no significant related-party transactions that require disclosure in the consolidated financial statements for the year ended December 31, 2024, or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 discussion of recent accounting pronouncements, the impact of some of which may be material, is included in Note 2 to the consolidated financial statements for the year ended December 31, 2024 included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investment portfolio, which consists of cash equivalents and short-term investments at December 31, 2024. The primary objective of our investment activities is to preserve principal. This is accomplished by investing in marketable investment grade securities. We do not use derivative financial instruments in managing our investment portfolio. Due to the nature of our investments, we do not expect our operating results or cash flows to be affected to any significant degree by any change in market interest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sales are billed in U.S. dollars, thereby reducing the impact of fluctuations in foreign exchange rates on our results. We are exposed to certain risks relating to our ongoing business operations, including market risks relating to fluctuations in foreign currency exchange rates. Operating margins of certain foreign operations can fluctuate with changes in foreign exchange rates to the extent revenue is billed in U.S. dollars and operating expenses are incurred in the local currency. We have entered forward exchange contracts in order to mitigate risks associated with fluctuations in exchange rates on forecasted transactions denominated in foreign currencies and to minimize the impact of foreign currency fluctuations on our earnings and cash flows. These contracts have month-to-month settlement dates. During the years ended December 31, 2024 and 2023, approximately 6.2% and 5.8% of our revenue, respectively, were derived in local currencies from foreign operations with this inherent risk. In addition, at December 31, 2024 and 2023, our operations outside the United States accounted for approximately 9.2% and 9.4% of our total assets, respectively, the majority of which was denominated in currencies other than the U.S. dollar.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Response to this Item is submitted as a separate section of this report immediately following Item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Annual Report on Form 10-K (the “Evaluation Date”). Based on this evaluation, our principal executive officer and principal financial officer concluded that, as of the Evaluation Date, these disclosure controls and procedures are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13a-15(f) under the Exchange Act. Because of its inherent limitations, internal control over financial reporting may not prevent or detect all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2024. In making this assessment, management used the criteria set forth in the Committee of Sponsoring Organizations of the Treadway Commission (“COSO”) Internal Control—2013 Integrated Framework.</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Based on this assessment, management has concluded that, as of December 31, 2024, our internal control over financial reporting is effective based on those criteria.</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of Ernst &amp; Young LLP, as auditors of our consolidated financial statements, has issued an attestation report on its assessment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300" w:firstLine="2307"/>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Axcelis Technologies, Inc. </w:t>
      </w:r>
      <w:r>
        <w:rPr>
          <w:rFonts w:ascii="Times New Roman" w:cs="Times New Roman" w:eastAsia="Times New Roman" w:hAnsi="Times New Roman"/>
          <w:sz w:val="18"/>
          <w:szCs w:val="18"/>
          <w:b w:val="1"/>
          <w:bCs w:val="1"/>
          <w:color w:val="auto"/>
        </w:rPr>
        <w:t>Opinion on Internal Control Over Financial Reporting</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audited Axcelis Technologies, Inc.’s internal control over financial reporting as of December 31, 2024, based on criteria established in Internal Control—Integrated Framework issued by the Committee of Sponsoring Organizations of the Treadway Commission (2013 framework) (the COSO criteria). In our opinion, Axcelis Technologies, Inc. (the Company) maintained, in all material respects, effective internal control over financial reporting as of December 31, 2024, based on the COSO criteria.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2024 consolidated financial statements of the Company and our report dated February 27, 2025 expressed an unqualified opinion thereon.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misstatements. Also, projections of any evaluation of effectiveness to future periods are subject to the risk that controls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inadequate because of changes in conditions, or that the degree of compliance with the policies or procedures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deteriorate.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the evaluation of our internal control that occurred during our fourth quarter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 director or officer adopted or terminated any contract, instrument or written plan for the purchase or sale of Axcelis securities intended to satisfy the affirmative defense conditions of Rule 10b5-1(c) under the Exchange Act or any non-Rule 10b5-1 trading arrangement as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portion of the information required by Item 10 of Form 10-K is incorporated by reference from the information responsive thereto contained in the sections in the Axcelis Proxy Statement for the Annual Meeting of Stockholders to be held May 7, 2025 (the “Proxy Statement”) captioned:</w:t>
      </w:r>
    </w:p>
    <w:p>
      <w:pPr>
        <w:spacing w:after="0" w:line="176" w:lineRule="exact"/>
        <w:rPr>
          <w:sz w:val="20"/>
          <w:szCs w:val="20"/>
          <w:color w:val="auto"/>
        </w:rPr>
      </w:pPr>
    </w:p>
    <w:p>
      <w:pPr>
        <w:ind w:left="1000" w:hanging="32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Directors,”</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Committees,”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remainder of such information is set forth under the heading “Information about Our Executive Officers” at the end of Item 1 in Part I of this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Form 10-K is incorporated by reference from the information responsive thereto contained in the sections in the Proxy Statement captioned:</w:t>
      </w:r>
    </w:p>
    <w:p>
      <w:pPr>
        <w:spacing w:after="0" w:line="162" w:lineRule="exact"/>
        <w:rPr>
          <w:sz w:val="20"/>
          <w:szCs w:val="20"/>
          <w:color w:val="auto"/>
        </w:rPr>
      </w:pPr>
    </w:p>
    <w:p>
      <w:pPr>
        <w:ind w:left="1000" w:hanging="320"/>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Committees—Compensation Committee Interlocks and Insider Participation.”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of Form 10-K is incorporated by reference from the information responsive thereto contained in the sections in the Proxy Statement captioned:</w:t>
      </w:r>
    </w:p>
    <w:p>
      <w:pPr>
        <w:spacing w:after="0" w:line="162" w:lineRule="exact"/>
        <w:rPr>
          <w:sz w:val="20"/>
          <w:szCs w:val="20"/>
          <w:color w:val="auto"/>
        </w:rPr>
      </w:pPr>
    </w:p>
    <w:p>
      <w:pPr>
        <w:ind w:left="1000" w:hanging="32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of 5% Stockholders,”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of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of Form 10-K is incorporated by reference from the information responsive thereto contained in the sections in the Proxy Statement captioned:</w:t>
      </w:r>
    </w:p>
    <w:p>
      <w:pPr>
        <w:spacing w:after="0" w:line="162" w:lineRule="exact"/>
        <w:rPr>
          <w:sz w:val="20"/>
          <w:szCs w:val="20"/>
          <w:color w:val="auto"/>
        </w:rPr>
      </w:pPr>
    </w:p>
    <w:p>
      <w:pPr>
        <w:ind w:left="1000" w:hanging="320"/>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Governance—Certain Relationships and Related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14 of Form 10-K is incorporated by reference from the information responsive thereto contained in the section captioned “Proposal 2: Ratification of the Appointment of our Independent Registered Public Accounting Firm” in the Proxy Statement.</w:t>
      </w:r>
    </w:p>
    <w:p>
      <w:pPr>
        <w:sectPr>
          <w:pgSz w:w="11900" w:h="16838" w:orient="portrait"/>
          <w:cols w:equalWidth="0" w:num="1">
            <w:col w:w="9100"/>
          </w:cols>
          <w:pgMar w:left="1380" w:top="513" w:right="14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660" w:hanging="655"/>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1320" w:hanging="640"/>
        <w:spacing w:after="0"/>
        <w:tabs>
          <w:tab w:leader="none" w:pos="13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7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 For the years ended December 31, 2024, 2023 and</w:t>
            </w: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2022</w:t>
            </w:r>
          </w:p>
        </w:tc>
        <w:tc>
          <w:tcPr>
            <w:tcW w:w="70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00" w:type="dxa"/>
            <w:vAlign w:val="bottom"/>
          </w:tcPr>
          <w:p>
            <w:pPr>
              <w:spacing w:after="0"/>
              <w:rPr>
                <w:sz w:val="17"/>
                <w:szCs w:val="17"/>
                <w:color w:val="auto"/>
              </w:rPr>
            </w:pPr>
          </w:p>
        </w:tc>
        <w:tc>
          <w:tcPr>
            <w:tcW w:w="69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 For the years ended December 31, 2024,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2023 and 2022</w:t>
            </w:r>
          </w:p>
        </w:tc>
        <w:tc>
          <w:tcPr>
            <w:tcW w:w="592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00" w:type="dxa"/>
            <w:vAlign w:val="bottom"/>
          </w:tcPr>
          <w:p>
            <w:pPr>
              <w:spacing w:after="0"/>
              <w:rPr>
                <w:sz w:val="17"/>
                <w:szCs w:val="17"/>
                <w:color w:val="auto"/>
              </w:rPr>
            </w:pPr>
          </w:p>
        </w:tc>
        <w:tc>
          <w:tcPr>
            <w:tcW w:w="4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 December 31, 2024 and 2023</w:t>
            </w:r>
          </w:p>
        </w:tc>
        <w:tc>
          <w:tcPr>
            <w:tcW w:w="268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00" w:type="dxa"/>
            <w:vAlign w:val="bottom"/>
          </w:tcPr>
          <w:p>
            <w:pPr>
              <w:spacing w:after="0"/>
              <w:rPr>
                <w:sz w:val="17"/>
                <w:szCs w:val="17"/>
                <w:color w:val="auto"/>
              </w:rPr>
            </w:pPr>
          </w:p>
        </w:tc>
        <w:tc>
          <w:tcPr>
            <w:tcW w:w="7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 For the years ended December 31, 2024,</w:t>
            </w: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2023 and 2022</w:t>
            </w:r>
          </w:p>
        </w:tc>
        <w:tc>
          <w:tcPr>
            <w:tcW w:w="5480" w:type="dxa"/>
            <w:vAlign w:val="bottom"/>
            <w:tcBorders>
              <w:top w:val="single" w:sz="8" w:color="0000EE"/>
            </w:tcBorders>
            <w:gridSpan w:val="5"/>
          </w:tcPr>
          <w:p>
            <w:pPr>
              <w:spacing w:after="0"/>
              <w:rPr>
                <w:sz w:val="17"/>
                <w:szCs w:val="17"/>
                <w:color w:val="auto"/>
              </w:rPr>
            </w:pPr>
          </w:p>
        </w:tc>
        <w:tc>
          <w:tcPr>
            <w:tcW w:w="44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00" w:type="dxa"/>
            <w:vAlign w:val="bottom"/>
          </w:tcPr>
          <w:p>
            <w:pPr>
              <w:spacing w:after="0"/>
              <w:rPr>
                <w:sz w:val="17"/>
                <w:szCs w:val="17"/>
                <w:color w:val="auto"/>
              </w:rPr>
            </w:pPr>
          </w:p>
        </w:tc>
        <w:tc>
          <w:tcPr>
            <w:tcW w:w="7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 For the years ended December 31, 2024, 2023 and</w:t>
            </w: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2022</w:t>
            </w:r>
          </w:p>
        </w:tc>
        <w:tc>
          <w:tcPr>
            <w:tcW w:w="70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0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02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453"/>
        </w:trPr>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79"/>
              </w:rPr>
              <w:t>2)</w:t>
            </w:r>
          </w:p>
        </w:tc>
        <w:tc>
          <w:tcPr>
            <w:tcW w:w="360" w:type="dxa"/>
            <w:vAlign w:val="bottom"/>
          </w:tcPr>
          <w:p>
            <w:pPr>
              <w:spacing w:after="0"/>
              <w:rPr>
                <w:sz w:val="24"/>
                <w:szCs w:val="24"/>
                <w:color w:val="auto"/>
              </w:rPr>
            </w:pPr>
          </w:p>
        </w:tc>
        <w:tc>
          <w:tcPr>
            <w:tcW w:w="6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420" w:type="dxa"/>
            <w:vAlign w:val="bottom"/>
          </w:tcPr>
          <w:p>
            <w:pPr>
              <w:spacing w:after="0"/>
              <w:rPr>
                <w:sz w:val="24"/>
                <w:szCs w:val="24"/>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Schedule II—Valuation and Qualifying Accounts for the years ended December 31, 2024, 2023 and 2022.</w:t>
      </w:r>
    </w:p>
    <w:p>
      <w:pPr>
        <w:spacing w:after="0" w:line="225" w:lineRule="exact"/>
        <w:rPr>
          <w:sz w:val="20"/>
          <w:szCs w:val="20"/>
          <w:color w:val="auto"/>
        </w:rPr>
      </w:pPr>
    </w:p>
    <w:p>
      <w:pPr>
        <w:ind w:left="1320" w:hanging="640"/>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300" w:right="139"/>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Annual Report on Form 10-K are listed on the Exhibit Index immediately preceding the signature page, which Exhibit Index is incorporated herein by reference.</w:t>
      </w:r>
    </w:p>
    <w:p>
      <w:pPr>
        <w:spacing w:after="0" w:line="162" w:lineRule="exact"/>
        <w:rPr>
          <w:sz w:val="20"/>
          <w:szCs w:val="20"/>
          <w:color w:val="auto"/>
        </w:rPr>
      </w:pPr>
    </w:p>
    <w:p>
      <w:pPr>
        <w:ind w:left="1300" w:right="39"/>
        <w:spacing w:after="0" w:line="266"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regulation of the Securities and Exchange Commission are not required under the related instructions or are inapplicable, and therefore have been omitted.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300" w:firstLine="2307"/>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Axcelis Technologies, Inc. </w:t>
      </w:r>
      <w:r>
        <w:rPr>
          <w:rFonts w:ascii="Times New Roman" w:cs="Times New Roman" w:eastAsia="Times New Roman" w:hAnsi="Times New Roman"/>
          <w:sz w:val="18"/>
          <w:szCs w:val="18"/>
          <w:b w:val="1"/>
          <w:bCs w:val="1"/>
          <w:color w:val="auto"/>
        </w:rPr>
        <w:t>Opinion on the Financial Statements</w:t>
      </w: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Axcelis Technologies, Inc. (the Company) as of December 31, 2024 and 2023, the related consolidated statements of operations, comprehensive income, stockholders’ equity and cash flows for each of the three years in the period ended December 31, 2024,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ASU 2023-07 Segment Reporting (Topic 280)</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segment disclosures in 2024 and 2023 due to the adoption of ASU No. 2023-07, Segment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i w:val="1"/>
          <w:iCs w:val="1"/>
          <w:color w:val="auto"/>
        </w:rPr>
        <w:t>Systems Revenue recognition</w:t>
      </w:r>
    </w:p>
    <w:p>
      <w:pPr>
        <w:spacing w:after="0" w:line="13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discussed in Note 2 and Note 3 to the consolidated financial statements, the Company generates</w:t>
      </w:r>
    </w:p>
    <w:p>
      <w:pPr>
        <w:spacing w:after="0" w:line="29" w:lineRule="exact"/>
        <w:rPr>
          <w:sz w:val="20"/>
          <w:szCs w:val="20"/>
          <w:color w:val="auto"/>
        </w:rPr>
      </w:pPr>
    </w:p>
    <w:p>
      <w:pPr>
        <w:jc w:val="both"/>
        <w:ind w:left="1580" w:hanging="1579"/>
        <w:spacing w:after="0" w:line="253" w:lineRule="auto"/>
        <w:tabs>
          <w:tab w:leader="none" w:pos="156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revenue from the sale of ion implantation and other processing equipment used in the manufacture of semiconductor chips (“systems revenue”). The Company’s revenue contracts for systems have multiple performance obligations, including the systems themselves and obligations that are not delivered simultaneously with the systems. Systems revenue accounted for $782.6 million of the Company’s total revenue of $1.0 billion in 2024.</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580"/>
        <w:spacing w:after="0" w:line="258" w:lineRule="auto"/>
        <w:rPr>
          <w:sz w:val="20"/>
          <w:szCs w:val="20"/>
          <w:color w:val="auto"/>
        </w:rPr>
      </w:pPr>
      <w:r>
        <w:rPr>
          <w:rFonts w:ascii="Times New Roman" w:cs="Times New Roman" w:eastAsia="Times New Roman" w:hAnsi="Times New Roman"/>
          <w:sz w:val="18"/>
          <w:szCs w:val="18"/>
          <w:color w:val="auto"/>
        </w:rPr>
        <w:t>Auditing management’s recognition of revenue was challenging because of the higher extent of audit effort and because the amounts are material to the consolidated financial statements and related disclosures. During our risk assessment process, we identified a higher inherent risk related to revenue primarily due to the size of the account, as well as the focus on revenue from readers of the financial statements.</w:t>
      </w:r>
    </w:p>
    <w:p>
      <w:pPr>
        <w:sectPr>
          <w:pgSz w:w="11900" w:h="16838" w:orient="portrait"/>
          <w:cols w:equalWidth="0" w:num="1">
            <w:col w:w="9120"/>
          </w:cols>
          <w:pgMar w:left="1380" w:top="513" w:right="1399" w:bottom="1440" w:gutter="0" w:footer="0" w:header="0"/>
        </w:sectPr>
      </w:pPr>
    </w:p>
    <w:p>
      <w:pPr>
        <w:spacing w:after="0" w:line="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systems revenue recognition process, including controls designed to mitigate the risk of override of controls. This included testing controls over management’s review of manual journal entries and revenue related account reconciliations.</w:t>
      </w:r>
    </w:p>
    <w:p>
      <w:pPr>
        <w:spacing w:after="0" w:line="112" w:lineRule="exact"/>
        <w:rPr>
          <w:sz w:val="20"/>
          <w:szCs w:val="20"/>
          <w:color w:val="auto"/>
        </w:rPr>
      </w:pPr>
    </w:p>
    <w:p>
      <w:pPr>
        <w:sectPr>
          <w:pgSz w:w="11900" w:h="16838" w:orient="portrait"/>
          <w:cols w:equalWidth="0" w:num="2">
            <w:col w:w="1020" w:space="560"/>
            <w:col w:w="7540"/>
          </w:cols>
          <w:pgMar w:left="1380" w:top="513" w:right="1399" w:bottom="1440" w:gutter="0" w:footer="0" w:header="0"/>
          <w:type w:val="continuous"/>
        </w:sectPr>
      </w:pPr>
    </w:p>
    <w:p>
      <w:pPr>
        <w:jc w:val="both"/>
        <w:ind w:left="1580"/>
        <w:spacing w:after="0" w:line="256" w:lineRule="auto"/>
        <w:rPr>
          <w:sz w:val="20"/>
          <w:szCs w:val="20"/>
          <w:color w:val="auto"/>
        </w:rPr>
      </w:pPr>
      <w:r>
        <w:rPr>
          <w:rFonts w:ascii="Times New Roman" w:cs="Times New Roman" w:eastAsia="Times New Roman" w:hAnsi="Times New Roman"/>
          <w:sz w:val="18"/>
          <w:szCs w:val="18"/>
          <w:color w:val="auto"/>
        </w:rPr>
        <w:t>To test systems revenue recognition, we reconciled revenue recognized to the Company’s general ledger to test completeness and performed substantive test of details over significant transactions deemed to be key items and a representative sample of the remaining transactions. For example, we selected and read a sample of arrangements to evaluate the completeness of the promised products and services and the related revenue recognized. We also confirmed directly with certain of the Company’s customers the terms of the selected system revenue arrangements.</w:t>
      </w:r>
    </w:p>
    <w:p>
      <w:pPr>
        <w:spacing w:after="0" w:line="8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i w:val="1"/>
          <w:iCs w:val="1"/>
          <w:color w:val="auto"/>
        </w:rPr>
        <w:t>Estimate of Excess Inventory</w:t>
      </w:r>
    </w:p>
    <w:p>
      <w:pPr>
        <w:sectPr>
          <w:pgSz w:w="11900" w:h="16838" w:orient="portrait"/>
          <w:cols w:equalWidth="0" w:num="1">
            <w:col w:w="9120"/>
          </w:cols>
          <w:pgMar w:left="1380" w:top="513" w:right="1399" w:bottom="1440" w:gutter="0" w:footer="0" w:header="0"/>
          <w:type w:val="continuous"/>
        </w:sectPr>
      </w:pPr>
    </w:p>
    <w:p>
      <w:pPr>
        <w:spacing w:after="0" w:line="13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inventories totaled $282.2 million, net, as of December 31, 2024. As described in Note 2 and Note 6 to the consolidated financial statements, the Company records a provision for estimated excess inventory. Management determines the provision using its assumptions of future materials usage, based on estimates of demand and market conditions.</w:t>
      </w:r>
    </w:p>
    <w:p>
      <w:pPr>
        <w:spacing w:after="0" w:line="112" w:lineRule="exact"/>
        <w:rPr>
          <w:sz w:val="20"/>
          <w:szCs w:val="20"/>
          <w:color w:val="auto"/>
        </w:rPr>
      </w:pPr>
    </w:p>
    <w:p>
      <w:pPr>
        <w:sectPr>
          <w:pgSz w:w="11900" w:h="16838" w:orient="portrait"/>
          <w:cols w:equalWidth="0" w:num="2">
            <w:col w:w="1300" w:space="280"/>
            <w:col w:w="7540"/>
          </w:cols>
          <w:pgMar w:left="1380" w:top="513" w:right="1399" w:bottom="1440" w:gutter="0" w:footer="0" w:header="0"/>
          <w:type w:val="continuous"/>
        </w:sectPr>
      </w:pPr>
    </w:p>
    <w:p>
      <w:pPr>
        <w:jc w:val="both"/>
        <w:ind w:left="1580"/>
        <w:spacing w:after="0" w:line="256" w:lineRule="auto"/>
        <w:rPr>
          <w:sz w:val="20"/>
          <w:szCs w:val="20"/>
          <w:color w:val="auto"/>
        </w:rPr>
      </w:pPr>
      <w:r>
        <w:rPr>
          <w:rFonts w:ascii="Times New Roman" w:cs="Times New Roman" w:eastAsia="Times New Roman" w:hAnsi="Times New Roman"/>
          <w:sz w:val="18"/>
          <w:szCs w:val="18"/>
          <w:color w:val="auto"/>
        </w:rPr>
        <w:t>Auditing the Company’s provision for excess inventory is complex due to the highly judgmental nature of the factors used to estimate demand and market conditions. Specifically, the Company’s estimated materials usage may be significantly affected by management’s assumptions of forecasted system sales and the size and utilization of the installed base of systems. Management’s identification and measurement of these factors are forward looking and could be affected by future economic and market conditions that could have a significant effect on the excess inventory reserve.</w:t>
      </w:r>
    </w:p>
    <w:p>
      <w:pPr>
        <w:sectPr>
          <w:pgSz w:w="11900" w:h="16838" w:orient="portrait"/>
          <w:cols w:equalWidth="0" w:num="1">
            <w:col w:w="9120"/>
          </w:cols>
          <w:pgMar w:left="1380" w:top="513" w:right="1399" w:bottom="1440" w:gutter="0" w:footer="0" w:header="0"/>
          <w:type w:val="continuous"/>
        </w:sectPr>
      </w:pPr>
    </w:p>
    <w:p>
      <w:pPr>
        <w:spacing w:after="0" w:line="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including management review controls, over the Company’s excess inventory reserve estimation process. This included management’s assessment of the assumptions and data underlying the excess inventory provision. For example, we tested controls over management’s review of its systems sales forecasts, as well as management’s review of the assumptions relating to the market size and utilization of installed systems. We also tested management’s controls over the completeness and accuracy of the data used in the estimation model.</w:t>
      </w:r>
    </w:p>
    <w:p>
      <w:pPr>
        <w:spacing w:after="0" w:line="121" w:lineRule="exact"/>
        <w:rPr>
          <w:sz w:val="20"/>
          <w:szCs w:val="20"/>
          <w:color w:val="auto"/>
        </w:rPr>
      </w:pPr>
    </w:p>
    <w:p>
      <w:pPr>
        <w:sectPr>
          <w:pgSz w:w="11900" w:h="16838" w:orient="portrait"/>
          <w:cols w:equalWidth="0" w:num="2">
            <w:col w:w="1020" w:space="560"/>
            <w:col w:w="7540"/>
          </w:cols>
          <w:pgMar w:left="1380" w:top="513" w:right="1399" w:bottom="1440" w:gutter="0" w:footer="0" w:header="0"/>
          <w:type w:val="continuous"/>
        </w:sectPr>
      </w:pPr>
    </w:p>
    <w:p>
      <w:pPr>
        <w:jc w:val="both"/>
        <w:ind w:left="1580"/>
        <w:spacing w:after="0" w:line="254" w:lineRule="auto"/>
        <w:rPr>
          <w:sz w:val="20"/>
          <w:szCs w:val="20"/>
          <w:color w:val="auto"/>
        </w:rPr>
      </w:pPr>
      <w:r>
        <w:rPr>
          <w:rFonts w:ascii="Times New Roman" w:cs="Times New Roman" w:eastAsia="Times New Roman" w:hAnsi="Times New Roman"/>
          <w:sz w:val="18"/>
          <w:szCs w:val="18"/>
          <w:color w:val="auto"/>
        </w:rPr>
        <w:t>Our substantive audit procedures included, among others, evaluating the significant assumptions stated above and testing the accuracy and completeness of the underlying data used by management to compute the value of excess inventory. For example, we compared the quantities of on-hand inventories to historical and forecasted materials usage and evaluated adjustments to forecasts for specific product considerations, such as technological changes or alternative uses. We also assessed the historical accuracy of management’s estimates and performed sensitivity analyses over the significant assumptions to evaluate the changes in the excess inventory estimates that would result from changes in the underlying assumptions.</w:t>
      </w:r>
    </w:p>
    <w:p>
      <w:pPr>
        <w:sectPr>
          <w:pgSz w:w="11900" w:h="16838" w:orient="portrait"/>
          <w:cols w:equalWidth="0" w:num="1">
            <w:col w:w="9120"/>
          </w:cols>
          <w:pgMar w:left="1380" w:top="513" w:right="139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7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1,095,650</w:t>
            </w:r>
          </w:p>
        </w:tc>
        <w:tc>
          <w:tcPr>
            <w:tcW w:w="5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1,017,865</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1,130,604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919,998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31,191</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563,211</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639,303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518,208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65,794</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243,860</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225,506</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189,429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246,263</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5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2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7.43</w:t>
            </w:r>
          </w:p>
        </w:tc>
        <w:tc>
          <w:tcPr>
            <w:tcW w:w="2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w:t>
            </w:r>
          </w:p>
        </w:tc>
        <w:tc>
          <w:tcPr>
            <w:tcW w:w="5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32,552</w:t>
            </w:r>
          </w:p>
        </w:tc>
        <w:tc>
          <w:tcPr>
            <w:tcW w:w="2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32,758</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of common stock</w:t>
            </w:r>
          </w:p>
        </w:tc>
        <w:tc>
          <w:tcPr>
            <w:tcW w:w="5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32,704</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33,165</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33,542</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$ 200,992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$ 246,263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$ 183,079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4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actuarial net gain and other adjustments from pension plan, net of</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$ 196,624</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$ 246,385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$ 179,346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780" w:type="dxa"/>
            <w:vAlign w:val="bottom"/>
            <w:shd w:val="clear" w:color="auto" w:fill="CCEEFF"/>
          </w:tcPr>
          <w:p>
            <w:pPr>
              <w:ind w:left="4160"/>
              <w:spacing w:after="0" w:line="19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123,512</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49,397</w:t>
            </w:r>
          </w:p>
        </w:tc>
        <w:tc>
          <w:tcPr>
            <w:tcW w:w="1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40,575</w:t>
            </w:r>
          </w:p>
        </w:tc>
        <w:tc>
          <w:tcPr>
            <w:tcW w:w="10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1,348,781</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1,281,967</w:t>
            </w:r>
          </w:p>
        </w:tc>
        <w:tc>
          <w:tcPr>
            <w:tcW w:w="100" w:type="dxa"/>
            <w:vAlign w:val="bottom"/>
            <w:tcBorders>
              <w:bottom w:val="single" w:sz="8" w:color="CCEEFF"/>
            </w:tcBorders>
          </w:tcPr>
          <w:p>
            <w:pPr>
              <w:spacing w:after="0"/>
              <w:rPr>
                <w:sz w:val="21"/>
                <w:szCs w:val="21"/>
                <w:color w:val="auto"/>
              </w:rPr>
            </w:pPr>
          </w:p>
        </w:tc>
      </w:tr>
      <w:tr>
        <w:trPr>
          <w:trHeight w:val="169"/>
        </w:trPr>
        <w:tc>
          <w:tcPr>
            <w:tcW w:w="20" w:type="dxa"/>
            <w:vAlign w:val="bottom"/>
          </w:tcPr>
          <w:p>
            <w:pPr>
              <w:spacing w:after="0"/>
              <w:rPr>
                <w:sz w:val="14"/>
                <w:szCs w:val="14"/>
                <w:color w:val="auto"/>
              </w:rPr>
            </w:pPr>
          </w:p>
        </w:tc>
        <w:tc>
          <w:tcPr>
            <w:tcW w:w="6780" w:type="dxa"/>
            <w:vAlign w:val="bottom"/>
            <w:shd w:val="clear" w:color="auto" w:fill="CCEEFF"/>
          </w:tcPr>
          <w:p>
            <w:pPr>
              <w:ind w:left="254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46,928</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42,074</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32,365 shares issued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2024; 32,685 shares issued and outstanding at December 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864,882</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1,348,781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1,281,967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360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Deficit /</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80" w:type="dxa"/>
            <w:vAlign w:val="bottom"/>
            <w:gridSpan w:val="3"/>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6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tcPr>
          <w:p>
            <w:pPr>
              <w:jc w:val="center"/>
              <w:ind w:left="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57861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86120" cy="14541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tbl>
      <w:tblPr>
        <w:tblLayout w:type="fixed"/>
        <w:tblInd w:w="0" w:type="dxa"/>
        <w:tblCellMar>
          <w:top w:w="0" w:type="dxa"/>
          <w:left w:w="0" w:type="dxa"/>
          <w:bottom w:w="0" w:type="dxa"/>
          <w:right w:w="0" w:type="dxa"/>
        </w:tblCellMar>
      </w:tblP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33,240</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r>
      <w:tr>
        <w:trPr>
          <w:trHeight w:val="191"/>
        </w:trPr>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Change in pension obligation, net of tax</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under Employee Stock</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shares of 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(888)</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r>
      <w:tr>
        <w:trPr>
          <w:trHeight w:val="191"/>
        </w:trPr>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Change in pension obligation, net of tax</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under Employee Stock</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shares of 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32,685</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r>
      <w:tr>
        <w:trPr>
          <w:trHeight w:val="191"/>
        </w:trPr>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Change in pension obligation, net of tax</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under Employee Stock</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shares of 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(544)</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32,365</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32</w:t>
            </w:r>
          </w:p>
        </w:tc>
        <w:tc>
          <w:tcPr>
            <w:tcW w:w="2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-3908425</wp:posOffset>
            </wp:positionV>
            <wp:extent cx="57861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861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-3634105</wp:posOffset>
            </wp:positionV>
            <wp:extent cx="57861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861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-3222625</wp:posOffset>
            </wp:positionV>
            <wp:extent cx="57861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861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-2948305</wp:posOffset>
            </wp:positionV>
            <wp:extent cx="57861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861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-2665095</wp:posOffset>
            </wp:positionV>
            <wp:extent cx="57861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86120"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-2382520</wp:posOffset>
            </wp:positionV>
            <wp:extent cx="57861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861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-2108200</wp:posOffset>
            </wp:positionV>
            <wp:extent cx="578612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86120" cy="2743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-1696720</wp:posOffset>
            </wp:positionV>
            <wp:extent cx="57861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861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-1422400</wp:posOffset>
            </wp:positionV>
            <wp:extent cx="57861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86120"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-1130935</wp:posOffset>
            </wp:positionV>
            <wp:extent cx="57861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861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-856615</wp:posOffset>
            </wp:positionV>
            <wp:extent cx="57861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86120" cy="2743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-445135</wp:posOffset>
            </wp:positionV>
            <wp:extent cx="57861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861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-170815</wp:posOffset>
            </wp:positionV>
            <wp:extent cx="57861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861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89"/>
        </w:trPr>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559,883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(22,722)</w:t>
            </w:r>
          </w:p>
        </w:tc>
        <w:tc>
          <w:tcPr>
            <w:tcW w:w="28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1,765</w:t>
            </w:r>
          </w:p>
        </w:tc>
        <w:tc>
          <w:tcPr>
            <w:tcW w:w="14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538,959</w:t>
            </w:r>
          </w:p>
        </w:tc>
      </w:tr>
      <w:tr>
        <w:trPr>
          <w:trHeight w:val="191"/>
        </w:trPr>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183,079</w:t>
            </w: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183,079</w:t>
            </w:r>
          </w:p>
        </w:tc>
      </w:tr>
      <w:tr>
        <w:trPr>
          <w:trHeight w:val="216"/>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r>
      <w:tr>
        <w:trPr>
          <w:trHeight w:val="216"/>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41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16"/>
        </w:trPr>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(9,907)</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w:t>
            </w:r>
          </w:p>
        </w:tc>
      </w:tr>
      <w:tr>
        <w:trPr>
          <w:trHeight w:val="216"/>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r>
      <w:tr>
        <w:trPr>
          <w:trHeight w:val="234"/>
        </w:trPr>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(16,030)</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(41,465)</w:t>
            </w: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(57,495)</w:t>
            </w:r>
          </w:p>
        </w:tc>
      </w:tr>
      <w:tr>
        <w:trPr>
          <w:trHeight w:val="209"/>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550,299</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118,892</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667,256</w:t>
            </w:r>
          </w:p>
        </w:tc>
      </w:tr>
      <w:tr>
        <w:trPr>
          <w:trHeight w:val="191"/>
        </w:trPr>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246,263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246,263</w:t>
            </w:r>
          </w:p>
        </w:tc>
      </w:tr>
      <w:tr>
        <w:trPr>
          <w:trHeight w:val="216"/>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16"/>
        </w:trPr>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(16,611)</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r>
      <w:tr>
        <w:trPr>
          <w:trHeight w:val="216"/>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w:t>
            </w:r>
          </w:p>
        </w:tc>
      </w:tr>
      <w:tr>
        <w:trPr>
          <w:trHeight w:val="234"/>
        </w:trPr>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(6,850)</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(45,649)</w:t>
            </w: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(52,499)</w:t>
            </w:r>
          </w:p>
        </w:tc>
      </w:tr>
      <w:tr>
        <w:trPr>
          <w:trHeight w:val="210"/>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547,189</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319,506</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864,882</w:t>
            </w:r>
          </w:p>
        </w:tc>
      </w:tr>
      <w:tr>
        <w:trPr>
          <w:trHeight w:val="191"/>
        </w:trPr>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200,992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200,992</w:t>
            </w:r>
          </w:p>
        </w:tc>
      </w:tr>
      <w:tr>
        <w:trPr>
          <w:trHeight w:val="216"/>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r>
      <w:tr>
        <w:trPr>
          <w:trHeight w:val="234"/>
        </w:trPr>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16"/>
        </w:trPr>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(11,563)</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w:t>
            </w:r>
          </w:p>
        </w:tc>
      </w:tr>
      <w:tr>
        <w:trPr>
          <w:trHeight w:val="216"/>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w:t>
            </w:r>
          </w:p>
        </w:tc>
      </w:tr>
      <w:tr>
        <w:trPr>
          <w:trHeight w:val="234"/>
        </w:trPr>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(10,308)</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(50,180)</w:t>
            </w: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(60,489)</w:t>
            </w:r>
          </w:p>
        </w:tc>
      </w:tr>
      <w:tr>
        <w:trPr>
          <w:trHeight w:val="210"/>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$ 548,654</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470,318</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1,012,790</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4860" w:space="140"/>
            <w:col w:w="4080"/>
          </w:cols>
          <w:pgMar w:left="1380" w:top="513" w:right="143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246,263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of discounts and premiums on marketable securities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currency loss on foreign denominated transactions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Mark-to-market adjustment on forward exchange contracts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(71,097)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86,366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Expenditures for property, plant and equipment and capitalized software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442,575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308,607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(108,726)</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(100,858)</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settlement on restricted stock grants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Employee Stock Purchase Plan purchases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Principal payments on finance lease obligation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(68,268)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186,347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131,064</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173,951</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8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“We” or the “Company”) was incorporated in Delaware in 1995, and is a worldwide producer of ion implantation and other processing equipment used in the fabrication of semiconductor chips in the United States, Europe and Asia. In addition to equipment, we provide extensive aftermarket lifecycle products and services, including spare parts, equipment upgrades, maintenance services and customer training.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application of certain significant accounting policies as described in this note and elsewhere in the footnotes.</w:t>
      </w:r>
    </w:p>
    <w:p>
      <w:pPr>
        <w:spacing w:after="0" w:line="158" w:lineRule="exact"/>
        <w:rPr>
          <w:sz w:val="20"/>
          <w:szCs w:val="20"/>
          <w:color w:val="auto"/>
        </w:rPr>
      </w:pPr>
    </w:p>
    <w:p>
      <w:pPr>
        <w:ind w:left="660" w:hanging="655"/>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consolidated accounts of the Company and its wholly-owned, controlled subsidiaries. All intercompany balances and transactions have been eliminated in consolidation.</w:t>
      </w:r>
    </w:p>
    <w:p>
      <w:pPr>
        <w:spacing w:after="0" w:line="14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Events occurring subsequent to December 31, 2024 have been evaluated for potential recognition or disclosure in the consolidated financial statements.</w:t>
      </w:r>
    </w:p>
    <w:p>
      <w:pPr>
        <w:spacing w:after="0" w:line="158" w:lineRule="exact"/>
        <w:rPr>
          <w:sz w:val="20"/>
          <w:szCs w:val="20"/>
          <w:color w:val="auto"/>
        </w:rPr>
      </w:pPr>
    </w:p>
    <w:p>
      <w:pPr>
        <w:ind w:left="680" w:hanging="675"/>
        <w:spacing w:after="0"/>
        <w:tabs>
          <w:tab w:leader="none" w:pos="6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periods. On an ongoing basis, we evaluate our estimates and judgments, including those related to revenue recognition, the realizable value of accounts receivable and inventories, warranty reserves, valuing stock-based compensation instruments and reserves relating to tax assets and liabilities. Actual amounts could differ from these estimates. Changes in estimates are recorded in the period in which they become known.</w:t>
      </w:r>
    </w:p>
    <w:p>
      <w:pPr>
        <w:spacing w:after="0" w:line="188" w:lineRule="exact"/>
        <w:rPr>
          <w:sz w:val="20"/>
          <w:szCs w:val="20"/>
          <w:color w:val="auto"/>
        </w:rPr>
      </w:pPr>
    </w:p>
    <w:p>
      <w:pPr>
        <w:ind w:left="660" w:hanging="655"/>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for substantially all operations outside the United States is the local currency. Financial statements for these operations are translated into United States dollars at year-end rates as to assets and liabilities and average exchange rates during the year as to revenue and expenses. The resulting translation adjustments are recorded in stockholders’ equity as an element of accumulated other comprehensive income (loss). Foreign currency transaction gains and losses are included in other income (expense) in the Consolidated Statements of Operations.</w:t>
      </w:r>
    </w:p>
    <w:p>
      <w:pPr>
        <w:spacing w:after="0" w:line="18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we had foreign exchange losses of $9.1 million, $0.5 million, and $6.6 million, respectively.</w:t>
      </w:r>
    </w:p>
    <w:p>
      <w:pPr>
        <w:spacing w:after="0" w:line="158" w:lineRule="exact"/>
        <w:rPr>
          <w:sz w:val="20"/>
          <w:szCs w:val="20"/>
          <w:color w:val="auto"/>
        </w:rPr>
      </w:pPr>
    </w:p>
    <w:p>
      <w:pPr>
        <w:ind w:left="680" w:hanging="675"/>
        <w:spacing w:after="0"/>
        <w:tabs>
          <w:tab w:leader="none" w:pos="6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are exposed to certain risks relating to our ongoing business operations, including market risks relating to fluctuations in foreign currency exchange rates. We have entered into forward exchange contracts in order to mitigate risks associated with fluctuations in exchange rates on forecasted transactions denominated in foreign currencies and to minimize the impact of foreign currency fluctuations on our earnings and cash flows. These contracts have month-to-month settlement dates. As of December 31, 2024, we had open contracts with a notional value of $112.0 million. We measure these instruments at fair value and recognize assets or liabilities associated with the fair value on these open contracts on the Consolidated Balance Sheets at the end of each reporting period. At December 31, 2024, the recognized unrealized gain</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these forward exchange contracts was approximately $0.3 million. Unrealized gains and losses are shown in our cash flows from operating activities within our Consolidated Statement of Cash Flows. We have not designated these forward exchange contracts as hedging instruments and we record changes in the fair values at each measurement date in Other, net on the Consolidated Statements of Operations. For the year ended December 31, 2024, we recorded $9.1 million of gain on forward currency exchange contracts.</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do not offset fair value amounts of derivative instruments. We do not use derivative instruments for speculative purposes.</w:t>
      </w:r>
    </w:p>
    <w:p>
      <w:pPr>
        <w:spacing w:after="0" w:line="158" w:lineRule="exact"/>
        <w:rPr>
          <w:sz w:val="20"/>
          <w:szCs w:val="20"/>
          <w:color w:val="auto"/>
        </w:rPr>
      </w:pPr>
    </w:p>
    <w:p>
      <w:pPr>
        <w:ind w:left="660" w:hanging="655"/>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Cash and cash equivalents consist of cash on hand and highly liquid investments with original maturities of ninety days or less. Cash equivalents consist primarily of money market funds, U.S. Government and Agency Securities and deposit accounts. Cash equivalents are carried on the balance sheet at fair market value. Short-term investments are highly liquid investments with original maturities of greater than 90 days but less than one year from date of purchase and are carried on the balance sheet at amortized cost. Our short-term investments consist primarily of U.S. Government and Agency securities and are classified as held-to-maturity based on our positive intent and ability to hold the securities to maturity. Income related to these securities is recorded in interest income in the Consolidated Statements of Operations.</w:t>
      </w:r>
    </w:p>
    <w:p>
      <w:pPr>
        <w:spacing w:after="0" w:line="185" w:lineRule="exact"/>
        <w:rPr>
          <w:sz w:val="20"/>
          <w:szCs w:val="20"/>
          <w:color w:val="auto"/>
        </w:rPr>
      </w:pPr>
    </w:p>
    <w:p>
      <w:pPr>
        <w:ind w:left="640" w:hanging="635"/>
        <w:spacing w:after="0"/>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Inventories are carried at the lower of cost or net realizable value, determined using the first-in, first-out (“FIFO”) method. We periodically review our inventories and make provisions as necessary for estimated obsolescence or damaged goods to ensure values approximate lower of cost or net realizable value. The amount of such markdowns is equal to the difference between cost of inventory and the estimated market value based upon assumptions about future demands, selling prices, and market conditions.</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record a provision for estimated excess inventory. The provision is determined using management’s assumptions of materials usage, based on estimates of demand, market conditions, and the size and utilization of our installed base. If actual market conditions become less favorable than those projected by management, additional inventory write-downs may be required.</w:t>
      </w:r>
    </w:p>
    <w:p>
      <w:pPr>
        <w:spacing w:after="0" w:line="176" w:lineRule="exact"/>
        <w:rPr>
          <w:sz w:val="20"/>
          <w:szCs w:val="20"/>
          <w:color w:val="auto"/>
        </w:rPr>
      </w:pPr>
    </w:p>
    <w:p>
      <w:pPr>
        <w:ind w:left="660" w:hanging="655"/>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and Leased Assets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are stated at cost, less accumulated depreciation and amortization.</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As part of this sale, we also entered into a 22-year lease agreement. We accounted for the sale leaseback transaction as a financing arrangement for financial reporting purposes. We retained the historical costs of the property and the related accumulated depreciation on our financial books within property, plant and equipment and will continue to depreciate the property for financial reporting purposes over the lesser of its remaining useful life or its initial lease term of 22 years.</w:t>
      </w:r>
    </w:p>
    <w:p>
      <w:pPr>
        <w:spacing w:after="0" w:line="183"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are recorded using the straight-line method over the estimated useful lives of the related assets as follows: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 Classification</w:t>
            </w: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191"/>
        </w:trPr>
        <w:tc>
          <w:tcPr>
            <w:tcW w:w="3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360" w:type="dxa"/>
            <w:vAlign w:val="bottom"/>
            <w:tcBorders>
              <w:top w:val="single" w:sz="8" w:color="auto"/>
            </w:tcBorders>
            <w:shd w:val="clear" w:color="auto" w:fill="CCEEFF"/>
          </w:tcPr>
          <w:p>
            <w:pPr>
              <w:ind w:left="140"/>
              <w:spacing w:after="0" w:line="191" w:lineRule="exact"/>
              <w:rPr>
                <w:sz w:val="20"/>
                <w:szCs w:val="20"/>
                <w:color w:val="auto"/>
              </w:rPr>
            </w:pPr>
            <w:r>
              <w:rPr>
                <w:rFonts w:ascii="Times New Roman" w:cs="Times New Roman" w:eastAsia="Times New Roman" w:hAnsi="Times New Roman"/>
                <w:sz w:val="18"/>
                <w:szCs w:val="18"/>
                <w:color w:val="auto"/>
              </w:rPr>
              <w:t>Lesser of the lease term or</w:t>
            </w:r>
          </w:p>
        </w:tc>
      </w:tr>
      <w:tr>
        <w:trPr>
          <w:trHeight w:val="234"/>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buildings and equipment (under lease)</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estimated useful life of the asset</w:t>
            </w: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17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Repairs and maintenance costs are expensed as incurred. Expenditures greater than $2.5 thousand for renewals and betterments are capitalized and depreciated over their useful lives.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0" w:hanging="675"/>
        <w:spacing w:after="0"/>
        <w:tabs>
          <w:tab w:leader="none" w:pos="6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record impairment losses on long-lived assets when events and circumstances indicate that these assets might not be recoverable. Recoverability is assessed by a comparison of the assets’ carrying amount to their expected future undiscounted net cash flows. If such assets are considered to be impaired, the impairment is measured based on the amount by which the carrying value exceeds its fair value.</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did not have any indicators of impairment during the period ending December 31, 2024. We did not record an impairment charge in the years ended December 31, 2024, 2023, or 2022.</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Actual performance could be materially different from our current forecasts, which could impact estimates of undiscounted cash flows and may result in the impairment of the carrying amount of the long-lived assets in the future. This could be caused by strategic decisions made in response to economic and competitive conditions, the impact of the economic environment on our customer base, or a material adverse change in our relationships with significant customers.</w:t>
      </w:r>
    </w:p>
    <w:p>
      <w:pPr>
        <w:spacing w:after="0" w:line="176" w:lineRule="exact"/>
        <w:rPr>
          <w:sz w:val="20"/>
          <w:szCs w:val="20"/>
          <w:color w:val="auto"/>
        </w:rPr>
      </w:pPr>
    </w:p>
    <w:p>
      <w:pPr>
        <w:ind w:left="620" w:hanging="570"/>
        <w:spacing w:after="0"/>
        <w:tabs>
          <w:tab w:leader="none" w:pos="6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Risk and Off-Balance Sheet Risk</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are principally cash equivalents, short-term investments and accounts receivable. Our cash equivalents and short-term investments are principally maintained in investment grade money-market funds, U.S. Government and Agency Securities and deposit accounts.</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our currency exchange contracts, we have no significant off-balance sheet risk relating to option contracts or other hedging arrangements.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cash equivalents and short-term investments. The primary objective of our investment activities is to preserve principal without significantly increasing risk. This is accomplished by investing in marketable investment grade securities. We do not use derivative financial instruments to manage our investment portfolio and do not expect operating results or cash flows to be affected to any significant degree by any change in market interest rates.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perform ongoing credit evaluations of our customers’ financial condition and generally require no collateral to secure accounts receivable. For selected overseas sales, we require customers to obtain letters of credit before product is shipped. We maintain an allowance for doubtful accounts based on our assessment of the collectability of accounts receivable. We review the allowance for doubtful accounts quarterly. We do not have any off-balance sheet credit exposure related to our customers.</w:t>
      </w:r>
    </w:p>
    <w:p>
      <w:pPr>
        <w:spacing w:after="0" w:line="18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customers consist of semiconductor chip manufacturers located throughout the world and net sales to our ten largest customers accounted for 45.9%, 51.7% and 59.4% of revenue in 2024, 2023 and 2022, respectively.</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December 31, 2023, we had no customers representing 10% or greater of total revenue. For the year ended December 31, 2022, we had two customers representing 13.1% and 11.5% of total revenue, respectively.</w:t>
      </w:r>
    </w:p>
    <w:p>
      <w:pPr>
        <w:spacing w:after="0" w:line="17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had one customer account for 10.0% of consolidated accounts receivable. As of December 31, 2023, we had one customer account for 12.2% of consolidated accounts receivable.</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Some of the components and sub-assemblies included in our products are obtained either from a sole source or a limited group of suppliers. Disruption to our supply source, resulting either from economic conditions or other factors, could affect our ability to deliver products to our customers.</w:t>
      </w:r>
    </w:p>
    <w:p>
      <w:pPr>
        <w:spacing w:after="0" w:line="172" w:lineRule="exact"/>
        <w:rPr>
          <w:sz w:val="20"/>
          <w:szCs w:val="20"/>
          <w:color w:val="auto"/>
        </w:rPr>
      </w:pPr>
    </w:p>
    <w:p>
      <w:pPr>
        <w:ind w:left="640" w:hanging="635"/>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right="340" w:firstLine="648"/>
        <w:spacing w:after="0" w:line="315" w:lineRule="auto"/>
        <w:rPr>
          <w:sz w:val="20"/>
          <w:szCs w:val="20"/>
          <w:color w:val="auto"/>
        </w:rPr>
      </w:pPr>
      <w:r>
        <w:rPr>
          <w:rFonts w:ascii="Times New Roman" w:cs="Times New Roman" w:eastAsia="Times New Roman" w:hAnsi="Times New Roman"/>
          <w:sz w:val="17"/>
          <w:szCs w:val="17"/>
          <w:color w:val="auto"/>
        </w:rPr>
        <w:t xml:space="preserve">We recognize revenue in accordance with Accounting Standards Codification (“ASC”) Topic 606, </w:t>
      </w:r>
      <w:r>
        <w:rPr>
          <w:rFonts w:ascii="Times New Roman" w:cs="Times New Roman" w:eastAsia="Times New Roman" w:hAnsi="Times New Roman"/>
          <w:sz w:val="17"/>
          <w:szCs w:val="17"/>
          <w:i w:val="1"/>
          <w:iCs w:val="1"/>
          <w:color w:val="auto"/>
        </w:rPr>
        <w:t>Revenue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with Customers </w:t>
      </w:r>
      <w:r>
        <w:rPr>
          <w:rFonts w:ascii="Times New Roman" w:cs="Times New Roman" w:eastAsia="Times New Roman" w:hAnsi="Times New Roman"/>
          <w:sz w:val="17"/>
          <w:szCs w:val="17"/>
          <w:color w:val="auto"/>
        </w:rPr>
        <w:t>or (“ASC 606”). Under ASC 606, revenue is recognized when a customer obtains control of</w:t>
      </w:r>
    </w:p>
    <w:p>
      <w:pPr>
        <w:sectPr>
          <w:pgSz w:w="11900" w:h="16838" w:orient="portrait"/>
          <w:cols w:equalWidth="0" w:num="1">
            <w:col w:w="9100"/>
          </w:cols>
          <w:pgMar w:left="1380" w:top="513" w:right="1419" w:bottom="1440" w:gutter="0" w:footer="0" w:header="0"/>
        </w:sect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promised goods or services in an amount that reflects the consideration we expect to receive in exchange for those goods or services. We measure revenue based on the consideration specified in the customer arrangement, and revenue is recognized when the performance obligations in the customer arrangement are satisfied. A performance obligation is a promise in a contract to transfer a distinct product or service to the customer. The transaction price of a contract is allocated to each distinct performance obligation based upon the relative standalone selling price for each performance obligation and recognized as revenue when, or as, the customer receives the benefit of the performance obligation. To account for and measure revenue, we apply the following five steps:</w:t>
      </w:r>
    </w:p>
    <w:p>
      <w:pPr>
        <w:spacing w:after="0" w:line="1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1)</w:t>
        <w:tab/>
        <w:t>Identify the contract with the customer</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w:t>
      </w:r>
    </w:p>
    <w:p>
      <w:pPr>
        <w:spacing w:after="0" w:line="1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2)</w:t>
        <w:tab/>
        <w:t>Identify the performance obligations in the contract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we must apply judgment to determine whether promised goods and services are capable of being distinct and distinct in the context of the contract. If these criteria are not met, the promised goods and services are accounted for as a combined performance obligation.</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Systems sales consist of multiple performance obligations, including the system itself and obligations that are not delivered simultaneously with the system. These undelivered obligations might include a combination of installation services, extended warranty and support and spare parts, all of which are generally covered by a single sales price.</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Aftermarket business includes both products and services type arrangements. Performance obligations in these contracts consist of used tools, spare parts, equipment upgrades, maintenance services and customer training.</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Customers who purchase new systems are provided an assurance-type warranty for one year after acceptance of the tool. For aftermarket transactions, we provide customers an assurance-type warranty for 90 days. Customers can choose to purchase extended warranty terms with enhanced support similar to a service-type warranty ranging from one to three years. In accordance with ASC 606, assurance-type warranties are not considered a performance obligation, whereas service-type warranties are.</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3)</w:t>
        <w:tab/>
        <w:t>Determine the transaction price</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 Any estimates, including the effect of the constraint on variable consideration, are evaluated at each reporting period for any changes. In applying this guidance, Companies must also consider whether any significant financing components exist.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 price for all transactions is based on the price reflected in the individual customer’s purchase order.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consideration has not been identified as a significant component of the transaction price for any of our transactions.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those transactions where all performance obligations will be satisfied within one year or less, we apply the</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practical expedient outlined in ASC 606-10-32-18. This practical expedient allows us not to adjust promised consideration for the effects of a significant financing component if we expect at contract inception that the period between when we transfer the promised good or service to a customer and when the customer pays for that good or service will be one year or less. For those transactions that are expected to be completed after one year, we have assessed that there are no significant financing components because any difference between the promised consideration and the cash selling price of the good or service is for reasons other than the provision of financing.</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4)</w:t>
        <w:tab/>
        <w:t>Allocate the transaction price to performance obligations in the contract</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w:t>
      </w:r>
    </w:p>
    <w:p>
      <w:pPr>
        <w:spacing w:after="0" w:line="18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Where required, we determine standalone selling price (“SSP”) for each obligation based on consideration of both market and Company specific factors, including the selling price and profit margin for similar products, the cost to produce, and the anticipated margin.</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those contracts that contain multiple performance obligations (primarily systems sales, as well as some aftermarket contracts requiring both time and material inputs), we must determine the SSP. We use a cost plus margin approach in determining the SSP for any materials related performance obligations (such as upgrades, spare parts, systems). To determine the SSP for labor related performance obligations (such as the labor component of installation), we use directly observable inputs based on the standalone sale prices for these services.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5)</w:t>
      </w:r>
      <w:r>
        <w:rPr>
          <w:sz w:val="20"/>
          <w:szCs w:val="20"/>
          <w:color w:val="auto"/>
        </w:rPr>
        <w:tab/>
      </w:r>
      <w:r>
        <w:rPr>
          <w:rFonts w:ascii="Times New Roman" w:cs="Times New Roman" w:eastAsia="Times New Roman" w:hAnsi="Times New Roman"/>
          <w:sz w:val="17"/>
          <w:szCs w:val="17"/>
          <w:i w:val="1"/>
          <w:iCs w:val="1"/>
          <w:color w:val="auto"/>
        </w:rPr>
        <w:t>Recognize revenue when or as we have satisfied a performance obligation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satisfy performance obligations either over time or at a point in time. Revenue is recognized over time if either 1) the customer simultaneously receives and consumes the benefits provided by the entity’s performance, 2) the entity’s performance creates or enhances an asset that the customer controls as the asset is created or enhanced, or 3)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 Examples of control are using the asset to produce goods or services, enhance the value of other assets or settle liabilities, and holding or selling the asset. For over time recognition, ASC 606 requires us to select a single revenue recognition method for the performance obligation that faithfully depicts our performance in transferring control of the goods and services. The guidance allows entities to choose between two methods to measure progress toward complete satisfaction of a performance obligation:</w:t>
      </w:r>
    </w:p>
    <w:p>
      <w:pPr>
        <w:spacing w:after="0" w:line="194"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Output methods - recognize revenue on the basis of direct measurements of the value to the customer of the goods or services transferred to date relative to the remaining goods or services promised under the contract (e.g., surveys of performance completed to date, appraisals of results achieved, milestones reached, time elapsed, and units produced or units delivered); and</w:t>
      </w:r>
    </w:p>
    <w:p>
      <w:pPr>
        <w:spacing w:after="0" w:line="180" w:lineRule="exact"/>
        <w:rPr>
          <w:sz w:val="20"/>
          <w:szCs w:val="20"/>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Input methods - recognize revenue on the basis of the entity’s efforts or inputs to the satisfaction of a performance obligation (e.g., resources consumed, labor hours expended, costs incurred, or time elapsed) relative to the total expected inputs to the satisfaction of that performance obligation.</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the right to consideration from a customer in an amount that corresponds directly with the value to the customer of the entity’s performance completed to date (i.e., certain aftermarket contracts), as such we have elected a practical expedient to recognize revenue in the amount to which the entity has a right to invoice for such services.</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Product related revenues (whether for systems or aftermarket business) are recognized at a point in time, when they are shipped or delivered, depending on shipping terms.</w:t>
      </w:r>
    </w:p>
    <w:p>
      <w:pPr>
        <w:sectPr>
          <w:pgSz w:w="11900" w:h="16838" w:orient="portrait"/>
          <w:cols w:equalWidth="0" w:num="1">
            <w:col w:w="9120"/>
          </w:cols>
          <w:pgMar w:left="1380" w:top="513" w:right="13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installation services, revenue is recognized at a point in time, once the installation of the tool is complete. The nature of the installation services is such that the customer does not simultaneously receive and consume the benefits provided by the entity’s performance, nor does performance of installation services create or enhance an asset that the customer controls. Installation services do not create an asset with an alternative use to the entity, and the entity does not have an enforceable right to payment for performance completed to date.</w:t>
      </w:r>
    </w:p>
    <w:p>
      <w:pPr>
        <w:spacing w:after="0" w:line="18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 Contract liabilities relate to payments invoiced or received in advance of completion of performance obligations under a contract. Contract liabilities are recognized as revenue upon the fulfillment of performance obligations.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Service-type warranties for any product are recognized over time, as these represent a stand ready obligation to service the product during the warranty period. Progress in the satisfaction of these performance obligations is measured using an input method of time elapsed.</w:t>
      </w:r>
    </w:p>
    <w:p>
      <w:pPr>
        <w:spacing w:after="0" w:line="176"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Maintenance and service contracts are recognized over time. Progress in the satisfaction of these performance obligations is measured using an input method of either time elapsed in the case of fixed period contracts, or labor hours expended, in the case of project-based contracts.</w:t>
      </w:r>
    </w:p>
    <w:p>
      <w:pPr>
        <w:spacing w:after="0" w:line="172" w:lineRule="exact"/>
        <w:rPr>
          <w:sz w:val="20"/>
          <w:szCs w:val="20"/>
          <w:color w:val="auto"/>
        </w:rPr>
      </w:pPr>
    </w:p>
    <w:p>
      <w:pPr>
        <w:ind w:left="680" w:hanging="675"/>
        <w:spacing w:after="0"/>
        <w:tabs>
          <w:tab w:leader="none" w:pos="6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Recognizing Assets related to Recoverable Customer Contract Costs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recognize an asset related to incremental costs incurred by us to obtain a contract with a customer if we expect to recover those costs. We will recognize an asset from costs incurred to fulfill a contract only if such costs relate directly to a contract with an entity that we can specifically identify, the costs incurred will generate or enhance resources that will be used in satisfying performance obligations in the future, and the costs are expected to be recovered. Any assets recognized related to costs to obtain or fulfill a contract are amortized on a systematic basis that is consistent with the transfer to the customer of the goods or services to which the asset relates.</w:t>
      </w:r>
    </w:p>
    <w:p>
      <w:pPr>
        <w:spacing w:after="0" w:line="22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substantially all of our business transactions, we incur incremental costs to obtain contracts with customers, in the form of sales commissions. We maintain a commission program which awards our employees for System sales, aftermarket activity and other individual goals. Under ASC 606, an asset is amortized on a systematic basis that is consistent with the transfer to the customer of the goods or services to which the asset relates. However, ASC 606 provides a practical expedient to allow for the recognition of commission expense when incurred if the amortization period of the asset that the entity otherwise would have recognized is one year or less. Based on the nature of our commission agreements, all commissions are expensed as incurred based upon the expectation that the amortization period would be one year or less.</w:t>
      </w:r>
    </w:p>
    <w:p>
      <w:pPr>
        <w:spacing w:after="0" w:line="185" w:lineRule="exact"/>
        <w:rPr>
          <w:sz w:val="20"/>
          <w:szCs w:val="20"/>
          <w:color w:val="auto"/>
        </w:rPr>
      </w:pPr>
    </w:p>
    <w:p>
      <w:pPr>
        <w:ind w:left="620" w:hanging="615"/>
        <w:spacing w:after="0"/>
        <w:tabs>
          <w:tab w:leader="none" w:pos="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Shipping and Handling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Shipping and handling costs are included in cost of revenue.</w:t>
      </w:r>
    </w:p>
    <w:p>
      <w:pPr>
        <w:spacing w:after="0" w:line="221" w:lineRule="exact"/>
        <w:rPr>
          <w:sz w:val="20"/>
          <w:szCs w:val="20"/>
          <w:color w:val="auto"/>
        </w:rPr>
      </w:pPr>
    </w:p>
    <w:p>
      <w:pPr>
        <w:ind w:left="720" w:hanging="715"/>
        <w:spacing w:after="0"/>
        <w:tabs>
          <w:tab w:leader="none" w:pos="7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generally recognize compensation expense for all stock-based payments to employees and directors, including grants of stock options and restricted stock units, based on the grant-date fair value of those stock-based payments. For stock option awards, we use the Black-Scholes option pricing model, adjusted for expected forfeitures. Other valuation models may be utilized in the limited circumstances where awards with market-based vesting considerations, such as the price of our common stock, or performance-based awards, are granted. Stock-based compensation expense is recognized ratably over the requisite service period. For each stock option or restricted stock unit grant with vesting based on a combination of time, market or performance conditions, where vesting will occur if either condition is met, the related compensation costs are recognized over the shorter of the explicit service period or the derived service period.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13 for additional information relating to stock-based compensation.</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20" w:hanging="615"/>
        <w:spacing w:after="0"/>
        <w:tabs>
          <w:tab w:leader="none" w:pos="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operating loss and tax credit carryforwards.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establish a valuation allowance if the likelihood of realization of the deferred tax assets is reduced based on an evaluation of objective verifiable evidence. Significant management judgment is required in determining our provision for income taxes, our deferred tax assets and liabilities and any valuation allowance recorded against those net deferred tax assets. We evaluate the weight of all available evidence to determine whether it is more likely than not that some portion or all of the net deferred income tax assets will not be realized.</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Income taxes include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 change to the effective tax rate. We recognize accrued interest related to unrecognized tax benefits as interest expense and penalties within operating expense in the consolidated statements of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18 for additional information relating to income taxes.</w:t>
      </w:r>
    </w:p>
    <w:p>
      <w:pPr>
        <w:spacing w:after="0" w:line="221" w:lineRule="exact"/>
        <w:rPr>
          <w:sz w:val="20"/>
          <w:szCs w:val="20"/>
          <w:color w:val="auto"/>
        </w:rPr>
      </w:pPr>
    </w:p>
    <w:p>
      <w:pPr>
        <w:ind w:left="620" w:hanging="615"/>
        <w:spacing w:after="0"/>
        <w:tabs>
          <w:tab w:leader="none" w:pos="6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Computation of Net Income per Share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shares of common stock outstanding (the denominator) for the period. The computation of diluted earnings per share is similar to basic earnings per share, except that the denominator is increased to include the number of additional shares of common stock that would have been outstanding if the potentially dilutive shares of common stock had been issued, calculated using the treasury stock method.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income per share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gridSpan w:val="7"/>
          </w:tcPr>
          <w:p>
            <w:pPr>
              <w:jc w:val="center"/>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200,992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bottom w:val="single" w:sz="8" w:color="CCEEFF"/>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Weighted average shares of common stock outstanding used in computing basic income per</w:t>
            </w: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32,552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32,758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Incremental options and RSUs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shares of common stock used in computing diluted net income per share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32,704</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33,165</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Diluted weighted average shares of common stock outstanding does not include restricted stock units outstanding to purchase 122,294, 6,025 and 4,929 common equivalent shares for the periods ended December 31, 2024, 2023 and 2022, respectively,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hanging="655"/>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net of tax, by component, for the year ended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(1,956)</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 and pension reclassification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(6,253)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20" w:hanging="615"/>
        <w:spacing w:after="0"/>
        <w:tabs>
          <w:tab w:leader="none" w:pos="6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Guidance</w:t>
      </w:r>
    </w:p>
    <w:p>
      <w:pPr>
        <w:spacing w:after="0" w:line="2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is intended to enhance disclosures for significant segment expenses for all public entities required to report segment information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ASC 280 requires a public entity to report for each reportable segment a measure of segment profit or loss that its chief operating decision maker (“CODM”) uses to assess segment performance and to make decisions about resource allocations. ASU 2023-07 is intended to improve financial reporting by requiring disclosure of incremental segment information on an annual and interim basis for all public entities to enable investors to develop more useful financial analyses. ASU 2023-07 is effective for fiscal years beginning after December 15, 2023, and interim periods within fiscal years beginning after December 15, 2024. We adopted ASU 2023-07 within this Annual Report on Form 10-K and we applied the update retrospectively for all prior periods presented in the consolidated financial statements. See Note 17 for related disclosures.</w:t>
      </w:r>
    </w:p>
    <w:p>
      <w:pPr>
        <w:spacing w:after="0" w:line="23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2023-09,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 Disclosures </w:t>
      </w:r>
      <w:r>
        <w:rPr>
          <w:rFonts w:ascii="Times New Roman" w:cs="Times New Roman" w:eastAsia="Times New Roman" w:hAnsi="Times New Roman"/>
          <w:sz w:val="18"/>
          <w:szCs w:val="18"/>
          <w:color w:val="auto"/>
        </w:rPr>
        <w:t>("ASU 2023-09")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1D1C1D"/>
        </w:rPr>
        <w:t>ASU 2023-09 is intended to enhance the transparency and decision usefulness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1D1C1D"/>
        </w:rPr>
        <w:t>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The Company is currently evaluating the impact of ASU 2023-09 on its future consolidated financial statements and related disclosures.</w:t>
      </w:r>
    </w:p>
    <w:p>
      <w:pPr>
        <w:spacing w:after="0" w:line="22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1D1C1D"/>
        </w:rPr>
        <w:t xml:space="preserve">In November 2024 the FASB issued Accounting Standards Update 2024-03, </w:t>
      </w:r>
      <w:r>
        <w:rPr>
          <w:rFonts w:ascii="Times New Roman" w:cs="Times New Roman" w:eastAsia="Times New Roman" w:hAnsi="Times New Roman"/>
          <w:sz w:val="18"/>
          <w:szCs w:val="18"/>
          <w:i w:val="1"/>
          <w:iCs w:val="1"/>
          <w:color w:val="1D1C1D"/>
        </w:rPr>
        <w:t>Income Statement—Reporting</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i w:val="1"/>
          <w:iCs w:val="1"/>
          <w:color w:val="1D1C1D"/>
        </w:rPr>
        <w:t xml:space="preserve">Comprehensive Income—Expense Disaggregation Disclosures (Subtopic 220-40): Disaggregation of Income Statement Expenses </w:t>
      </w:r>
      <w:r>
        <w:rPr>
          <w:rFonts w:ascii="Times New Roman" w:cs="Times New Roman" w:eastAsia="Times New Roman" w:hAnsi="Times New Roman"/>
          <w:sz w:val="18"/>
          <w:szCs w:val="18"/>
          <w:color w:val="1D1C1D"/>
        </w:rPr>
        <w:t>(“ASU 2024-03”). ASU 2024-03 is intended to enhance the disclosures for expenses for all public entities in</w:t>
      </w:r>
      <w:r>
        <w:rPr>
          <w:rFonts w:ascii="Times New Roman" w:cs="Times New Roman" w:eastAsia="Times New Roman" w:hAnsi="Times New Roman"/>
          <w:sz w:val="18"/>
          <w:szCs w:val="18"/>
          <w:i w:val="1"/>
          <w:iCs w:val="1"/>
          <w:color w:val="1D1C1D"/>
        </w:rPr>
        <w:t xml:space="preserve"> </w:t>
      </w:r>
      <w:r>
        <w:rPr>
          <w:rFonts w:ascii="Times New Roman" w:cs="Times New Roman" w:eastAsia="Times New Roman" w:hAnsi="Times New Roman"/>
          <w:sz w:val="18"/>
          <w:szCs w:val="18"/>
          <w:color w:val="1D1C1D"/>
        </w:rPr>
        <w:t xml:space="preserve">accordance with ASC Topic 220, </w:t>
      </w:r>
      <w:r>
        <w:rPr>
          <w:rFonts w:ascii="Times New Roman" w:cs="Times New Roman" w:eastAsia="Times New Roman" w:hAnsi="Times New Roman"/>
          <w:sz w:val="18"/>
          <w:szCs w:val="18"/>
          <w:i w:val="1"/>
          <w:iCs w:val="1"/>
          <w:color w:val="1D1C1D"/>
        </w:rPr>
        <w:t>Income Statement-Reporting Comprehensive Income</w:t>
      </w:r>
      <w:r>
        <w:rPr>
          <w:rFonts w:ascii="Times New Roman" w:cs="Times New Roman" w:eastAsia="Times New Roman" w:hAnsi="Times New Roman"/>
          <w:sz w:val="18"/>
          <w:szCs w:val="18"/>
          <w:color w:val="1D1C1D"/>
        </w:rPr>
        <w:t xml:space="preserve">. ASU 2024-03 addresses investor requests for more detailed information about expenses, specifically cost of sales and selling, general, and administrative expenses (“SG&amp;A”). ASU 2024-03 requires a public entity to 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presented on the face of the income statement as well as a qualitative description of the amounts remaining in the relevant expense captions that are not separately disaggregated quantitatively. ASU 2024-03 also requires a public entity to disclose the total amount of selling expenses and the entity’s definition of selling expenses. </w:t>
      </w:r>
      <w:r>
        <w:rPr>
          <w:rFonts w:ascii="Times New Roman" w:cs="Times New Roman" w:eastAsia="Times New Roman" w:hAnsi="Times New Roman"/>
          <w:sz w:val="18"/>
          <w:szCs w:val="18"/>
          <w:color w:val="000000"/>
        </w:rPr>
        <w:t>ASU 2024-03 is effective for</w:t>
      </w:r>
      <w:r>
        <w:rPr>
          <w:rFonts w:ascii="Times New Roman" w:cs="Times New Roman" w:eastAsia="Times New Roman" w:hAnsi="Times New Roman"/>
          <w:sz w:val="18"/>
          <w:szCs w:val="18"/>
          <w:color w:val="1D1C1D"/>
        </w:rPr>
        <w:t xml:space="preserve"> </w:t>
      </w:r>
      <w:r>
        <w:rPr>
          <w:rFonts w:ascii="Times New Roman" w:cs="Times New Roman" w:eastAsia="Times New Roman" w:hAnsi="Times New Roman"/>
          <w:sz w:val="18"/>
          <w:szCs w:val="18"/>
          <w:color w:val="000000"/>
        </w:rPr>
        <w:t>fiscal years beginning after December 15, 2026, and interim periods within fiscal years beginning after December 15, 2027. Early adoption is permitted. A public entity should apply ASU 2024-03 either prospectively to financial statements issued for reporting periods after the effective date of this ASU or retrospectively to all prior periods presented in the financial statements. The Company is currently evaluating the impact of ASU 2024-03 on its future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design, manufacture and service ion implantation and other processing equipment used in the fabrication of semiconductor chips and sell our products to leading semiconductor chip manufacturers worldwide. We offer a complete line of high energy, high current and medium current implanters for all application requirements. In addition, we provide extensive aftermarket lifecycle products and services, including used tools, spare parts, equipment upgrades, maintenance service and customer training. Our revenue recognition policies are set forth in Section (j) of Note 2, Summary of Significant Accounting Policies.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Alternative Operational Revenue Categories used by Management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management reviews revenue in two categories: revenue from sales of new systems and revenue arising from the sale of used systems, parts and labor to customers who own systems, which we refer to as Customer Solutions &amp; Innovation (“CS&amp;I”) or “aftermarket.”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are the revenues by categories used by management for the periods covered in this report: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2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782,559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883,604</w:t>
            </w:r>
          </w:p>
        </w:tc>
        <w:tc>
          <w:tcPr>
            <w:tcW w:w="4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692,061</w:t>
            </w:r>
          </w:p>
        </w:tc>
      </w:tr>
      <w:tr>
        <w:trPr>
          <w:trHeight w:val="213"/>
        </w:trPr>
        <w:tc>
          <w:tcPr>
            <w:tcW w:w="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Aftermarket</w:t>
            </w:r>
          </w:p>
        </w:tc>
        <w:tc>
          <w:tcPr>
            <w:tcW w:w="19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235,306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247,000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227,937</w:t>
            </w:r>
          </w:p>
        </w:tc>
      </w:tr>
      <w:tr>
        <w:trPr>
          <w:trHeight w:val="199"/>
        </w:trPr>
        <w:tc>
          <w:tcPr>
            <w:tcW w:w="20" w:type="dxa"/>
            <w:vAlign w:val="bottom"/>
          </w:tcPr>
          <w:p>
            <w:pPr>
              <w:spacing w:after="0"/>
              <w:rPr>
                <w:sz w:val="17"/>
                <w:szCs w:val="17"/>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1,017,865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1,130,604</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919,998</w:t>
            </w: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Economic Factors Affecting our Revenue: Geographic Breakdown of Revenue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Global economic conditions have a direct impact on our revenue. We are substantially dependent on sales of our products and services to customers outside of the United States. Adverse economic conditions, political instability, potential adverse tax consequences, regulatory changes and volatility in exchange rates pose a risk that our clients may reduce, postpone or cancel spending for our products and services, which would impact our revenue.</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Revenue by geographic markets is determined based upon the location to which our products are shipped and where our services are performed. Revenue in our principal geographic markets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25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174,810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143,701</w:t>
            </w: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781,039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811,308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673,752</w:t>
            </w:r>
          </w:p>
        </w:tc>
      </w:tr>
      <w:tr>
        <w:trPr>
          <w:trHeight w:val="222"/>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92,760</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102,545</w:t>
            </w:r>
          </w:p>
        </w:tc>
      </w:tr>
      <w:tr>
        <w:trPr>
          <w:trHeight w:val="196"/>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34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1,017,865</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1,130,604</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919,998</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 Recognition of Deferred Revenue from Contract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210,885</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154,777</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68,436</w:t>
            </w:r>
          </w:p>
        </w:tc>
      </w:tr>
      <w:tr>
        <w:trPr>
          <w:trHeight w:val="203"/>
        </w:trPr>
        <w:tc>
          <w:tcPr>
            <w:tcW w:w="20" w:type="dxa"/>
            <w:vAlign w:val="bottom"/>
          </w:tcPr>
          <w:p>
            <w:pPr>
              <w:spacing w:after="0"/>
              <w:rPr>
                <w:sz w:val="17"/>
                <w:szCs w:val="17"/>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Deferral of revenue*</w:t>
            </w: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65,708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185,688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146,674</w:t>
            </w: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20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(138,419)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(129,580)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(60,333)</w:t>
            </w:r>
          </w:p>
        </w:tc>
      </w:tr>
      <w:tr>
        <w:trPr>
          <w:trHeight w:val="196"/>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20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138,174</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210,885</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154,777</w:t>
            </w: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Amount is net of a reclassification of $12.7 million from deferred revenue to refund liability for the year ended December 31, 2024.</w:t>
      </w:r>
    </w:p>
    <w:p>
      <w:pPr>
        <w:spacing w:after="0" w:line="20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 Contract liabilities relate to payments received or amounts invoiced in advance of completion of performance obligations under a contract. Contract liabilities are recognized as revenue upon the fulfillment of performance obligations.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we had deferred revenue of $138.2 million. This represents the portion of the transaction price for contracts with customers allocated to the performance obligations that remain unsatisfied or partially unsatisfied. Short-term deferred revenue of $94.7 million as of December 31, 2024 represents performance obligations that are expected to be satisfied within the next 12 months. This amount relates primarily to prepayments made prior to system delivery as well as to installation and non-standard warranty performance obligations for system sales. Long-term deferred revenue of</w:t>
      </w:r>
    </w:p>
    <w:p>
      <w:pPr>
        <w:spacing w:after="0" w:line="3"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color w:val="auto"/>
        </w:rPr>
        <w:t>$43.5 million as of December 31, 2024 relates to prepayments made prior to system delivery as well as to extended warranty performance obligations that we expect to be completed in excess of the next 12 months but within the next 24 months.</w:t>
      </w:r>
    </w:p>
    <w:p>
      <w:pPr>
        <w:spacing w:after="0" w:line="15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system transactions have either (1) payment terms that are 90% due upon shipment of the system and 10% due upon acceptance or (2) a pre-shipment deposit ranging from 20% to 60%, with the remainder due upon shipment, less 10% due at acceptance. Aftermarket transaction payment terms are such that payment is due either within 30 or 60 days of service provided or parts delivered.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123,512</w:t>
            </w:r>
          </w:p>
        </w:tc>
        <w:tc>
          <w:tcPr>
            <w:tcW w:w="56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167,297</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8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131,064</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173,951</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had $7.6 million in restricted cash which relates to a $5.9 million cash collateral relating to our lease for our headquarters in Beverly, Massachusetts, a $0.9 million letter of credit for customs purposes, a $0.7 million letter of credit relating to workers’ compensation insurance and a $0.1 million deposit relating to customs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 and Allowance for Credit Losses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Axcelis maintains an allowance for credit losses, which represents an estimate of expected losses over the remaining contractual life of its receivables considering current market conditions and estimates for supportable forecasts when</w:t>
      </w:r>
    </w:p>
    <w:p>
      <w:pPr>
        <w:sectPr>
          <w:pgSz w:w="11900" w:h="16838" w:orient="portrait"/>
          <w:cols w:equalWidth="0" w:num="1">
            <w:col w:w="9120"/>
          </w:cols>
          <w:pgMar w:left="1380" w:top="513" w:right="13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appropriate. The estimate is a result of the Company’s ongoing assessments and evaluations of collectability, historical loss experience, and future expectations in estimating credit losses in its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delinquency trends, collection experience, current economic conditions, estimates for supportable forecasts, when appropriate, and credit risk characteristics.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Axcelis evaluates the credit risk of the customer when extending credit based on a combination of various financial and qualitative factors that may affect its customers’ ability to pay. These factors may include the customer’s financial condition, past payment experience, and credit ratings from credit bureaus, as well as the value of the underlying collateral.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performs detailed reviews of its receivables on a quarterly basis to assess the adequacy of the allowances and to determine if any impairment has occurred. Amounts determined to be uncollectable are charged directly against the allowance, while amounts recovered on previously written-off accounts increase the allowance. Changes to the allowance for credit losses are maintained through adjustments to the provision for credit losses, which are charged to current period earnings.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changes of the allowances for credit losses related to trade receivables for the twelve months ended December 31, 2024 and 2023,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9"/>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1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1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36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Charge-offs</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1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 of period</w:t>
            </w:r>
          </w:p>
        </w:tc>
        <w:tc>
          <w:tcPr>
            <w:tcW w:w="1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The components of accounts receivable are as follows:</w:t>
            </w: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1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11"/>
          </w:tcPr>
          <w:p>
            <w:pPr>
              <w:jc w:val="right"/>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$ 203,149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218,424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6"/>
          </w:tcPr>
          <w:p>
            <w:pPr>
              <w:jc w:val="right"/>
              <w:ind w:right="116"/>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receivables, net</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$ 203,149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217,964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Inventories, net</w:t>
            </w: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9"/>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360" w:type="dxa"/>
            <w:vAlign w:val="bottom"/>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227,141</w:t>
            </w:r>
          </w:p>
        </w:tc>
        <w:tc>
          <w:tcPr>
            <w:tcW w:w="100" w:type="dxa"/>
            <w:vAlign w:val="bottom"/>
            <w:shd w:val="clear" w:color="auto" w:fill="CCEEFF"/>
          </w:tcPr>
          <w:p>
            <w:pPr>
              <w:spacing w:after="0"/>
              <w:rPr>
                <w:sz w:val="17"/>
                <w:szCs w:val="17"/>
                <w:color w:val="auto"/>
              </w:rPr>
            </w:pPr>
          </w:p>
        </w:tc>
        <w:tc>
          <w:tcPr>
            <w:tcW w:w="2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231,200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34,490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11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1120" w:type="dxa"/>
            <w:vAlign w:val="bottom"/>
          </w:tcPr>
          <w:p>
            <w:pPr>
              <w:spacing w:after="0"/>
              <w:rPr>
                <w:sz w:val="17"/>
                <w:szCs w:val="17"/>
                <w:color w:val="auto"/>
              </w:rPr>
            </w:pPr>
          </w:p>
        </w:tc>
        <w:tc>
          <w:tcPr>
            <w:tcW w:w="240" w:type="dxa"/>
            <w:vAlign w:val="bottom"/>
            <w:gridSpan w:val="2"/>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282,225</w:t>
            </w:r>
          </w:p>
        </w:tc>
        <w:tc>
          <w:tcPr>
            <w:tcW w:w="10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306,482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312" w:lineRule="auto"/>
        <w:rPr>
          <w:sz w:val="20"/>
          <w:szCs w:val="20"/>
          <w:color w:val="auto"/>
        </w:rPr>
      </w:pPr>
      <w:r>
        <w:rPr>
          <w:rFonts w:ascii="Times New Roman" w:cs="Times New Roman" w:eastAsia="Times New Roman" w:hAnsi="Times New Roman"/>
          <w:sz w:val="17"/>
          <w:szCs w:val="17"/>
          <w:color w:val="auto"/>
        </w:rPr>
        <w:t>When recorded, inventory reserves are intended to reduce the carrying value of inventories to their net realizable value. We establish inventory reserves when conditions exist that indicate inventory may be in excess of anticipated</w:t>
      </w:r>
    </w:p>
    <w:p>
      <w:pPr>
        <w:sectPr>
          <w:pgSz w:w="11900" w:h="16838" w:orient="portrait"/>
          <w:cols w:equalWidth="0" w:num="1">
            <w:col w:w="9120"/>
          </w:cols>
          <w:pgMar w:left="1380" w:top="513" w:right="13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demand or is obsolete based upon assumptions about future demand for our products or market conditions. We regularly evaluate our ability to realize the value of inventories based on a combination of factors including the following: forecasted sales and the size and utilization of our installed base, estimated product end of life dates, estimated current and future market value and new product introductions. Purchasing and usage alternatives are also explored to mitigate inventory exposure. In 2024, we recorded an increase of $0.6 million in inventory reserves. At December 31, 2024 and 2023, inventories are stated net of inventory reserves of $5.8 million and $5.2 million, respectively.</w:t>
      </w:r>
    </w:p>
    <w:p>
      <w:pPr>
        <w:spacing w:after="0" w:line="17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we recorded charges to cost of sales of $6.0 million, $5.2 million and $4.6 million, respectively, to adjust inventories to their lower of cost or net realizable value.</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have inventory on consignment at customer locations at December 31, 2024 and 2023, of $5.6 million and $6.5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property, plant and equipment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tcPr>
          <w:p>
            <w:pPr>
              <w:jc w:val="right"/>
              <w:ind w:right="4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$7.7 million, $6.2 million and $5.1 million for the years ended December 31, 2024, 2023 and 2022,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Assets Manufactured for Internal Use, net</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Assets manufactured for internal use, included in other assets, are depreciated using the straight-line method over their 10 year estimated useful life. Their components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4"/>
          </w:tcPr>
          <w:p>
            <w:pPr>
              <w:jc w:val="right"/>
              <w:ind w:right="39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use assets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(39,588)</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Assets manufactured for internal use, net</w:t>
            </w:r>
          </w:p>
        </w:tc>
        <w:tc>
          <w:tcPr>
            <w:tcW w:w="2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products are used for research and development, training, and customer demonstration purposes.</w:t>
      </w:r>
    </w:p>
    <w:p>
      <w:pPr>
        <w:spacing w:after="0" w:line="15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$6.8 million, $5.6 million and $5.2 million for the years ended December 31, 2024, 2023 and 2022,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62"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the use of a specific physical space or a specific physical item.</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recognize operating lease obligations under Accounting Standards Codification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The value of the right-of-use asset is initially determined based on the net present value of the associated liability, and is adjusted for deferred costs and possible impairments, if any.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1 to 3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are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5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382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Operating lease assets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30,716</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820" w:type="dxa"/>
            <w:vAlign w:val="bottom"/>
            <w:tcBorders>
              <w:bottom w:val="single" w:sz="8" w:color="CCEEFF"/>
            </w:tcBorders>
            <w:gridSpan w:val="2"/>
          </w:tcPr>
          <w:p>
            <w:pPr>
              <w:ind w:left="1720"/>
              <w:spacing w:after="0"/>
              <w:rPr>
                <w:sz w:val="20"/>
                <w:szCs w:val="20"/>
                <w:color w:val="auto"/>
              </w:rPr>
            </w:pPr>
            <w:r>
              <w:rPr>
                <w:rFonts w:ascii="Times New Roman" w:cs="Times New Roman" w:eastAsia="Times New Roman" w:hAnsi="Times New Roman"/>
                <w:sz w:val="14"/>
                <w:szCs w:val="14"/>
                <w:color w:val="auto"/>
              </w:rPr>
              <w:t>Finance lease assets*</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15,346</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16,632</w:t>
            </w:r>
          </w:p>
        </w:tc>
        <w:tc>
          <w:tcPr>
            <w:tcW w:w="3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leased assets</w:t>
            </w:r>
          </w:p>
        </w:tc>
        <w:tc>
          <w:tcPr>
            <w:tcW w:w="3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47,348</w:t>
            </w:r>
          </w:p>
        </w:tc>
        <w:tc>
          <w:tcPr>
            <w:tcW w:w="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60" w:type="dxa"/>
            <w:vAlign w:val="bottom"/>
            <w:vMerge w:val="continue"/>
          </w:tcPr>
          <w:p>
            <w:pPr>
              <w:spacing w:after="0"/>
              <w:rPr>
                <w:sz w:val="18"/>
                <w:szCs w:val="18"/>
                <w:color w:val="auto"/>
              </w:rPr>
            </w:pP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82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Finance</w:t>
            </w:r>
          </w:p>
        </w:tc>
        <w:tc>
          <w:tcPr>
            <w:tcW w:w="3820" w:type="dxa"/>
            <w:vAlign w:val="bottom"/>
            <w:gridSpan w:val="2"/>
          </w:tcPr>
          <w:p>
            <w:pPr>
              <w:ind w:left="172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3820" w:type="dxa"/>
            <w:vAlign w:val="bottom"/>
            <w:gridSpan w:val="2"/>
          </w:tcPr>
          <w:p>
            <w:pPr>
              <w:ind w:left="1720"/>
              <w:spacing w:after="0"/>
              <w:rPr>
                <w:sz w:val="20"/>
                <w:szCs w:val="20"/>
                <w:color w:val="auto"/>
              </w:rPr>
            </w:pPr>
            <w:r>
              <w:rPr>
                <w:rFonts w:ascii="Times New Roman" w:cs="Times New Roman" w:eastAsia="Times New Roman" w:hAnsi="Times New Roman"/>
                <w:sz w:val="14"/>
                <w:szCs w:val="14"/>
                <w:color w:val="auto"/>
              </w:rPr>
              <w:t>lease obligation</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Operating</w:t>
            </w:r>
          </w:p>
        </w:tc>
        <w:tc>
          <w:tcPr>
            <w:tcW w:w="3820" w:type="dxa"/>
            <w:vAlign w:val="bottom"/>
            <w:gridSpan w:val="2"/>
          </w:tcPr>
          <w:p>
            <w:pPr>
              <w:ind w:left="17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82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Finance lease obligation</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42,329</w:t>
            </w:r>
          </w:p>
        </w:tc>
        <w:tc>
          <w:tcPr>
            <w:tcW w:w="2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43,674</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73,465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75,887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00"/>
        <w:spacing w:after="0" w:line="241" w:lineRule="auto"/>
        <w:rPr>
          <w:sz w:val="20"/>
          <w:szCs w:val="20"/>
          <w:color w:val="auto"/>
        </w:rPr>
      </w:pPr>
      <w:r>
        <w:rPr>
          <w:rFonts w:ascii="Times New Roman" w:cs="Times New Roman" w:eastAsia="Times New Roman" w:hAnsi="Times New Roman"/>
          <w:sz w:val="14"/>
          <w:szCs w:val="14"/>
          <w:color w:val="auto"/>
        </w:rPr>
        <w:t>*Finance lease assets are recorded net of accumulated depreciation of $47.4 million and include $0.5 million of prepaid financing costs as of December 31, 2024. Finance lease assets are recorded net of accumulated depreciation of $46.4 million and include $0.6 million of prepaid financing costs as of December 31, 2023.</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lease office locations support local selling and servicing functions. Our Axcelis Asia Operations Center facility in South Korea is used to manufacture our products for Asia-based customers. We lease a logistics and flex manufacturing center in Beverly, Massachusetts to support our principal product manufacturing operations at our corporate headquarters. Lease expense, depreciation expense relating to finance leased assets and interest expense relating to our finance lease obligation recognized within our consolidated statement of operations for the twelve-month periods ended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8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4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3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 services*</w:t>
            </w:r>
          </w:p>
        </w:tc>
        <w:tc>
          <w:tcPr>
            <w:tcW w:w="37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5,427</w:t>
            </w: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7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37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780" w:type="dxa"/>
            <w:vAlign w:val="bottom"/>
            <w:tcBorders>
              <w:bottom w:val="single" w:sz="8" w:color="CCEEFF"/>
            </w:tcBorders>
            <w:gridSpan w:val="2"/>
          </w:tcPr>
          <w:p>
            <w:pPr>
              <w:ind w:left="118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3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3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3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vMerge w:val="continue"/>
          </w:tcPr>
          <w:p>
            <w:pPr>
              <w:spacing w:after="0"/>
              <w:rPr>
                <w:sz w:val="17"/>
                <w:szCs w:val="17"/>
                <w:color w:val="auto"/>
              </w:rPr>
            </w:pPr>
          </w:p>
        </w:tc>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84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ind w:left="1180"/>
              <w:spacing w:after="0" w:line="126" w:lineRule="exact"/>
              <w:rPr>
                <w:sz w:val="20"/>
                <w:szCs w:val="20"/>
                <w:color w:val="auto"/>
              </w:rPr>
            </w:pPr>
            <w:r>
              <w:rPr>
                <w:rFonts w:ascii="Times New Roman" w:cs="Times New Roman" w:eastAsia="Times New Roman" w:hAnsi="Times New Roman"/>
                <w:sz w:val="14"/>
                <w:szCs w:val="14"/>
                <w:color w:val="auto"/>
              </w:rPr>
              <w:t>Cost of revenue, Research and</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3780" w:type="dxa"/>
            <w:vAlign w:val="bottom"/>
            <w:gridSpan w:val="2"/>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development, Sales and marketing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40" w:type="dxa"/>
            <w:vAlign w:val="bottom"/>
            <w:vMerge w:val="continue"/>
            <w:shd w:val="clear" w:color="auto" w:fill="CCEEFF"/>
          </w:tcPr>
          <w:p>
            <w:pPr>
              <w:spacing w:after="0"/>
              <w:rPr>
                <w:sz w:val="14"/>
                <w:szCs w:val="14"/>
                <w:color w:val="auto"/>
              </w:rPr>
            </w:pPr>
          </w:p>
        </w:tc>
        <w:tc>
          <w:tcPr>
            <w:tcW w:w="37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780" w:type="dxa"/>
            <w:vAlign w:val="bottom"/>
            <w:tcBorders>
              <w:bottom w:val="single" w:sz="8" w:color="CCEEFF"/>
            </w:tcBorders>
            <w:gridSpan w:val="2"/>
          </w:tcPr>
          <w:p>
            <w:pPr>
              <w:ind w:left="118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3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3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3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20" w:firstLine="5"/>
        <w:spacing w:after="0" w:line="261" w:lineRule="auto"/>
        <w:tabs>
          <w:tab w:leader="none" w:pos="10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 services, sales and marketing and general and administrative expense also includes short-term lease and variable lease costs of approximately $2.1 million, $2.1 million and $1.8 million for the years ended December 31, 2024, 2023 and 2022, respectively.</w:t>
      </w:r>
    </w:p>
    <w:p>
      <w:pPr>
        <w:spacing w:after="0" w:line="16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shown below under finance leases, has an original lease term of 22 years. All other locations are treated as operating leases, with lease terms ranging from 1 to 16 years. The tables below reflect the minimum cash outflow regarding our current lease obligations as well as the weighted-average remaining lease term and weighted-average discount rates used in our calculation of our lease obligations and right-of-use assets: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5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48,960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22,384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71,344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42,119</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(35,979)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(12,328)</w:t>
            </w: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(48,307)</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73,465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208"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options to renew lease terms that are not reasonably certain of being exercised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200" w:type="dxa"/>
            <w:vAlign w:val="bottom"/>
          </w:tcPr>
          <w:p>
            <w:pPr>
              <w:spacing w:after="0"/>
              <w:rPr>
                <w:sz w:val="19"/>
                <w:szCs w:val="19"/>
                <w:color w:val="auto"/>
              </w:rPr>
            </w:pPr>
          </w:p>
        </w:tc>
        <w:tc>
          <w:tcPr>
            <w:tcW w:w="13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r>
      <w:tr>
        <w:trPr>
          <w:trHeight w:val="223"/>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11.0</w:t>
            </w:r>
          </w:p>
        </w:tc>
        <w:tc>
          <w:tcPr>
            <w:tcW w:w="160" w:type="dxa"/>
            <w:vAlign w:val="bottom"/>
            <w:shd w:val="clear" w:color="auto" w:fill="CCEEFF"/>
          </w:tcPr>
          <w:p>
            <w:pPr>
              <w:spacing w:after="0"/>
              <w:rPr>
                <w:sz w:val="21"/>
                <w:szCs w:val="21"/>
                <w:color w:val="auto"/>
              </w:rPr>
            </w:pPr>
          </w:p>
        </w:tc>
      </w:tr>
      <w:tr>
        <w:trPr>
          <w:trHeight w:val="243"/>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tcPr>
          <w:p>
            <w:pPr>
              <w:spacing w:after="0"/>
              <w:rPr>
                <w:sz w:val="21"/>
                <w:szCs w:val="21"/>
                <w:color w:val="auto"/>
              </w:rPr>
            </w:pPr>
          </w:p>
        </w:tc>
      </w:tr>
      <w:tr>
        <w:trPr>
          <w:trHeight w:val="243"/>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21"/>
                <w:szCs w:val="21"/>
                <w:color w:val="auto"/>
              </w:rPr>
            </w:pPr>
          </w:p>
        </w:tc>
      </w:tr>
      <w:tr>
        <w:trPr>
          <w:trHeight w:val="243"/>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Our cash outflows from our operating leases include rent expense and other charges associated with these leases. These cash flows are included within the operating section of our statement of cash flows. Our cash flows from our finance lease include an interest and payment of principal component. The table below shows our cash outflows, by lease type and related section of our statement of cash flows, as well as the non-cash amount capitalized on our balance sheet in relation to our operating lease right-of-use assets: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r>
      <w:tr>
        <w:trPr>
          <w:trHeight w:val="237"/>
        </w:trPr>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10,328</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10,669</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w:t>
            </w:r>
          </w:p>
        </w:tc>
        <w:tc>
          <w:tcPr>
            <w:tcW w:w="120" w:type="dxa"/>
            <w:vAlign w:val="bottom"/>
            <w:shd w:val="clear" w:color="auto" w:fill="CCEEFF"/>
          </w:tcPr>
          <w:p>
            <w:pPr>
              <w:spacing w:after="0"/>
              <w:rPr>
                <w:sz w:val="21"/>
                <w:szCs w:val="2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120" w:type="dxa"/>
            <w:vAlign w:val="bottom"/>
          </w:tcPr>
          <w:p>
            <w:pPr>
              <w:spacing w:after="0"/>
              <w:rPr>
                <w:sz w:val="21"/>
                <w:szCs w:val="21"/>
                <w:color w:val="auto"/>
              </w:rPr>
            </w:pPr>
          </w:p>
        </w:tc>
      </w:tr>
      <w:tr>
        <w:trPr>
          <w:trHeight w:val="243"/>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20" w:type="dxa"/>
            <w:vAlign w:val="bottom"/>
            <w:shd w:val="clear" w:color="auto" w:fill="CCEEFF"/>
          </w:tcPr>
          <w:p>
            <w:pPr>
              <w:spacing w:after="0"/>
              <w:rPr>
                <w:sz w:val="21"/>
                <w:szCs w:val="2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6,173</w:t>
            </w:r>
          </w:p>
        </w:tc>
        <w:tc>
          <w:tcPr>
            <w:tcW w:w="120" w:type="dxa"/>
            <w:vAlign w:val="bottom"/>
          </w:tcPr>
          <w:p>
            <w:pPr>
              <w:spacing w:after="0"/>
              <w:rPr>
                <w:sz w:val="21"/>
                <w:szCs w:val="21"/>
                <w:color w:val="auto"/>
              </w:rPr>
            </w:pPr>
          </w:p>
        </w:tc>
      </w:tr>
      <w:tr>
        <w:trPr>
          <w:trHeight w:val="243"/>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assets obtained in exchange for new finance lease liabilities</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Product Warranty</w:t>
      </w:r>
    </w:p>
    <w:p>
      <w:pPr>
        <w:spacing w:after="0" w:line="229"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our product warranty liability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9"/>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(end of period)</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Amount classified as long-term (within other long-term liabilities)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Financing Arrangements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for the sale price of $48.9 million. As part of the sale, we also entered into a 22-year lease agreement with the buyer. The sale leaseback is accounted for as a financing arrangement for financial reporting purposes and, as such, we recorded a financing obligation of $43.7 million as of December 31, 2024, $1.3 million of which is classified within current liabilities. The associated lease payments include both an interest component and payment of principal, with the underlying liability being extinguished at the end of the original lease term. As of December 31, 2024, we had a security deposit of $5.9 million related to this lease in the form of a cash collateralized letter of credit issued with UBS Bank USA, which is classified as long-term restricted cash on our balance sheet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Plans</w:t>
      </w:r>
    </w:p>
    <w:p>
      <w:pPr>
        <w:spacing w:after="0" w:line="225" w:lineRule="exact"/>
        <w:rPr>
          <w:sz w:val="20"/>
          <w:szCs w:val="20"/>
          <w:color w:val="auto"/>
        </w:rPr>
      </w:pPr>
    </w:p>
    <w:p>
      <w:pPr>
        <w:ind w:left="660" w:hanging="655"/>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maintain the Axcelis Long-Term Investment Plan, a defined contribution plan. Eligible employees may contribute up to 35% of their compensation on a before-tax basis subject to Internal Revenue Service (“IRS”) limitations. Highly compensated employees may contribute up to 16% of their compensation on a before-tax basis subject to IRS limitations. In 2024, 2023 and 2022, we provided an employer match of 50% of employees’ pre-tax contributions on the first 6% of eligible compensation. Total related matching contribution expense was $3.4 million, $3.4 million and $2.7 million, for 2024, 2023 and 2022, respectively.</w:t>
      </w:r>
    </w:p>
    <w:p>
      <w:pPr>
        <w:spacing w:after="0" w:line="183" w:lineRule="exact"/>
        <w:rPr>
          <w:sz w:val="20"/>
          <w:szCs w:val="20"/>
          <w:color w:val="auto"/>
        </w:rPr>
      </w:pPr>
    </w:p>
    <w:p>
      <w:pPr>
        <w:ind w:left="680" w:hanging="675"/>
        <w:spacing w:after="0"/>
        <w:tabs>
          <w:tab w:leader="none" w:pos="6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Compensation Plans</w:t>
      </w:r>
    </w:p>
    <w:p>
      <w:pPr>
        <w:spacing w:after="0" w:line="229" w:lineRule="exact"/>
        <w:rPr>
          <w:sz w:val="20"/>
          <w:szCs w:val="20"/>
          <w:color w:val="auto"/>
        </w:rPr>
      </w:pPr>
    </w:p>
    <w:p>
      <w:pPr>
        <w:ind w:right="580" w:firstLine="648"/>
        <w:spacing w:after="0" w:line="312" w:lineRule="auto"/>
        <w:rPr>
          <w:sz w:val="20"/>
          <w:szCs w:val="20"/>
          <w:color w:val="auto"/>
        </w:rPr>
      </w:pPr>
      <w:r>
        <w:rPr>
          <w:rFonts w:ascii="Times New Roman" w:cs="Times New Roman" w:eastAsia="Times New Roman" w:hAnsi="Times New Roman"/>
          <w:sz w:val="17"/>
          <w:szCs w:val="17"/>
          <w:color w:val="auto"/>
        </w:rPr>
        <w:t>We operate in foreign jurisdictions that require lump sum benefits, payable based on statutory regulations, for voluntary or involuntary termination. Where required, an annual actuarial valuation of the benefit plans is obtained.</w:t>
      </w:r>
    </w:p>
    <w:p>
      <w:pPr>
        <w:spacing w:after="0" w:line="140"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have recorded an unfunded liability of $3.1 million and $3.2 million at December 31, 2024 and 2023, respectively, for costs associated with these compensation plans in foreign jurisdictions. The following table presents the classification of these liabilities in the Consolidated Balance Sheets:</w:t>
      </w:r>
    </w:p>
    <w:p>
      <w:pPr>
        <w:spacing w:after="0" w:line="183"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0" w:type="dxa"/>
            <w:vAlign w:val="bottom"/>
            <w:gridSpan w:val="3"/>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2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expense recorded in connection with these plans was $1.7 million, $1.7 million and $1.5 million during the years ended December 31,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 Award Plans and Stock-Based Compensation</w:t>
      </w:r>
    </w:p>
    <w:p>
      <w:pPr>
        <w:spacing w:after="0" w:line="225" w:lineRule="exact"/>
        <w:rPr>
          <w:sz w:val="20"/>
          <w:szCs w:val="20"/>
          <w:color w:val="auto"/>
        </w:rPr>
      </w:pPr>
    </w:p>
    <w:p>
      <w:pPr>
        <w:ind w:left="660" w:hanging="655"/>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(the “2012 Equity Plan” or the “Plan”), which became effective on May 2, 2012.</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2012 Equity Plan, as amended, reserves 9.5 million shares of common stock, $0.001 par value, for grant and permits the issuance of options, stock appreciation rights, restricted stock, restricted stock units, stock equivalents and awards of shares of common stock that are not subject to restrictions or forfeiture to selected employees, directors, and consultants of the Company. The total number of shares reserved for issuance under the Plan is the sum of 7.76 million shares approved by the shareholders, and 1.78 million shares added in accordance with the terms of the Plan as a result of</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expiration or forfeiture of awards granted under our prior equity plan. Shares that are not issued under an award (because such award expires, is terminated unexercised or is forfeited) revert back to the Plan.</w:t>
      </w:r>
    </w:p>
    <w:p>
      <w:pPr>
        <w:spacing w:after="0" w:line="162"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The term of stock options granted under the Plan is specified in the award agreements. Unless a lesser term is otherwise specified by the Compensation Committee of the Company’s Board of Directors, option awards under the 2012 Equity Plan will expire seven years from the date of grant. Under the terms of the Plan, the exercise price of a stock option may not be less than the fair market value of a share of the Company’s common stock on the date of grant. Under the 2012 Equity Plan, fair market value is defined as the last reported sale price of a share of the Company’s common stock on a national securities exchange as of any applicable date, as long as the Company’s shares are traded on such exchange.</w:t>
      </w:r>
    </w:p>
    <w:p>
      <w:pPr>
        <w:spacing w:after="0" w:line="18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Stock options granted to employees generally vest over a period of four years, while stock options granted to non-employee members of the Company’s Board of Directors generally vest over a period of six months and, once vested, are not affected by the director’s termination of service to the Company. In limited circumstances, the Company may grant stock option awards with market-based vesting conditions, such as the Company’s common stock price, or other performance conditions. Termination of service by an employee will cause options to cease vesting as of the date of termination, and in most cases, employees will have 90 days after termination to exercise options that were vested as of the termination of employment. In general, retiring employees will have one year after termination of employment to exercise vested options. The Company settles stock option exercises with newly issued shares of common stock.</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Restricted stock units granted to employees during 2024 had both service-based vesting provisions and performance-based vesting provisions. Restricted stock units granted to employees generally vest over a service period of four years, while restricted stock units granted to non-employee members of the Company’s Board of Directors in 2024 vest over a service period of one year. We have granted restricted stock units to executive officers and other senior employees with performance vesting conditions, which may be subject to further service-based vesting terms. Unvested restricted stock unit awards expire upon termination of service to the Company. We settle restricted stock units upon vesting with newly issued shares of common stock. No restricted stock was granted during the three year period ended December 31,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there were 0.5 million shares available for grant under the 2012 Equity Plan.</w:t>
      </w:r>
    </w:p>
    <w:p>
      <w:pPr>
        <w:spacing w:after="0" w:line="225"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no options outstanding and 0.5 million unvested restricted stock units outstanding under the 2012 Stock Plan.</w:t>
      </w:r>
    </w:p>
    <w:p>
      <w:pPr>
        <w:spacing w:after="0" w:line="158" w:lineRule="exact"/>
        <w:rPr>
          <w:sz w:val="20"/>
          <w:szCs w:val="20"/>
          <w:color w:val="auto"/>
        </w:rPr>
      </w:pPr>
    </w:p>
    <w:p>
      <w:pPr>
        <w:ind w:left="680" w:hanging="675"/>
        <w:spacing w:after="0"/>
        <w:tabs>
          <w:tab w:leader="none" w:pos="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2020 Employee Stock Purchase Plan (the “2020 ESPP”) provides our employees an opportunity to purchase common stock of the Company at less than market prices. Purchases are made through payroll deductions of up to 10% of the employee’s salary as elected by the participant, subject to certain caps set forth in the 2020 ESPP. Employees may purchase the Company’s common stock at 85% of its market price on the day the stock is purchased.</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2020 ESPP is considered compensatory and as such, compensation expense has been recognized based on the benefit of the discounted stock price, amortized to compensation expense over each offering period of six months. Compensation expense relating to the 2020 ESPP was approximately $0.4 million, $0.4 million, and $0.3 million for the years ended December 31, 2024, 2023 and 2022, respectively.</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there were approximately 0.9 million shares reserved for issuance and available for purchase under the 2020 ESPP, with 19,268 shares purchased on that date to be issued pending settlement. 0.1 million shares were purchased under the 2020 ESPP for the year ended December 31, 2024. Less than 0.1 million shares were purchased under the 2020 ESPP for both of the years ended December 31, 2023 and 2022.</w:t>
      </w:r>
    </w:p>
    <w:p>
      <w:pPr>
        <w:spacing w:after="0" w:line="176" w:lineRule="exact"/>
        <w:rPr>
          <w:sz w:val="20"/>
          <w:szCs w:val="20"/>
          <w:color w:val="auto"/>
        </w:rPr>
      </w:pPr>
    </w:p>
    <w:p>
      <w:pPr>
        <w:ind w:left="660" w:hanging="655"/>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of Restricted Stock Units</w:t>
      </w:r>
    </w:p>
    <w:p>
      <w:pPr>
        <w:spacing w:after="0" w:line="22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restricted stock units is calculated based upon the fair market value of the Company’s stock at the date of grant.</w:t>
      </w:r>
    </w:p>
    <w:p>
      <w:pPr>
        <w:sectPr>
          <w:pgSz w:w="11900" w:h="16838" w:orient="portrait"/>
          <w:cols w:equalWidth="0" w:num="1">
            <w:col w:w="9100"/>
          </w:cols>
          <w:pgMar w:left="1380" w:top="513" w:right="14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80" w:hanging="675"/>
        <w:spacing w:after="0"/>
        <w:tabs>
          <w:tab w:leader="none" w:pos="6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Stock-based Compensation Expense</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use the straight-line attribution method to recognize expense for stock-based awards such that the expense associated with awards is evenly recognized throughout the period.</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amount of stock-based compensation recognized is based on the value of the portion of the awards that are ultimately expected to vest. We estimate forfeitures at the time of grant and revise them, if necessary, in subsequent periods, if actual forfeitures differ from those estimates. The term “forfeitures” is distinct from “cancellations” or “expirations” and represents only the unvested portion of the surrendered stock-based award. Based on a historical analysis, a forfeiture rate of 5% per year was applied to stock-based awards, including executive officer awards, for the years ended December 31, 2024, 2023 and 2022.</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2023 and 2022, we recognized stock-based compensation expense of $21.0 million, $18.3 million and $13.4 million, respectively. We present the expenses related to stock-based compensation in the same expense line items as cash compensation paid to our employees. For the years ended December 31, 2024, 2023 and 2022, we used restricted stock units in our annual equity compensation program.</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benefit of tax deductions in excess of recognized compensation cost is reported in the consolidated statements of cash flows as part of cash flows from operating activities. For the year ended December 31, 2024, the tax deductions in excess of recognized compensation cost had no material impact.</w:t>
      </w:r>
    </w:p>
    <w:p>
      <w:pPr>
        <w:spacing w:after="0" w:line="172" w:lineRule="exact"/>
        <w:rPr>
          <w:sz w:val="20"/>
          <w:szCs w:val="20"/>
          <w:color w:val="auto"/>
        </w:rPr>
      </w:pPr>
    </w:p>
    <w:p>
      <w:pPr>
        <w:ind w:left="560" w:hanging="555"/>
        <w:spacing w:after="0"/>
        <w:tabs>
          <w:tab w:leader="none" w:pos="5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 and Restricted Stock</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Restricted stock units represent the Company’s unfunded and unsecured promise to issue shares of the common stock at a future date, subject to the terms of the Award Agreement issued under the 2012 Equity Incentive Plan. Restricted stock unit awards granted in 2024 included time vested share awards and awards with performance vesting conditions. Restricted stock awards are issued shares of common stock that are subject to forfeiture on terms described in the Award Agreement, and may be granted under the 2012 Equity Incentive Plan. No restricted stock awards were granted, or vested, during the years ended December 31, 2024, 2023 and 2022. The fair value of a restricted stock unit and restricted stock award is charged to expense ratably over the applicable service period. The purpose of these awards is to assist in attracting and retaining highly competent employees and directors and to act as an incentive in motivating selected employees and directors to achieve long-term corporate objectives.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Company’s non-vested restricted stock units for the year ended December 31, 2024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12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weighted average grant-date fair value of restricted stock units granted for the years ended December 31, 2024, 2023 and 2022 was $112.45, $125.11 and $55.47, respectively. Most restricted stock units provide for net share settlement to cover the employee’s personal income tax withholding obligations on vesting of the employee’s restricted stock units. Vesting activity above reflects shares vested before net share settlement. As of December 31, 2024, there was $37.0 million of total forfeiture-adjusted unrecognized compensation cost related to non-vested restricted stock units granted under the 2012 Equity Incentive Plan. That cost is expected to be recognized over a weighted-average period of 2.6 years.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may issue up to 75 million shares of common stock without additional shareholder approval. At December 31, 2024 and 2023, there were 32.4 million and 32.7 million outstanding shares of common stock,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2" w:lineRule="exact"/>
        <w:rPr>
          <w:sz w:val="20"/>
          <w:szCs w:val="20"/>
          <w:color w:val="auto"/>
        </w:rPr>
      </w:pPr>
    </w:p>
    <w:p>
      <w:pPr>
        <w:ind w:left="660" w:hanging="655"/>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1" w:lineRule="exact"/>
        <w:rPr>
          <w:sz w:val="20"/>
          <w:szCs w:val="20"/>
          <w:color w:val="auto"/>
        </w:rPr>
      </w:pPr>
    </w:p>
    <w:p>
      <w:pPr>
        <w:ind w:left="660" w:right="4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—applies to assets or liabilities for which there are quoted prices in active markets for identical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w:t>
      </w:r>
    </w:p>
    <w:p>
      <w:pPr>
        <w:spacing w:after="0" w:line="158" w:lineRule="exact"/>
        <w:rPr>
          <w:sz w:val="20"/>
          <w:szCs w:val="20"/>
          <w:color w:val="auto"/>
        </w:rPr>
      </w:pPr>
    </w:p>
    <w:p>
      <w:pPr>
        <w:ind w:left="660"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—applies to assets or liabilities for which there are inputs other than quoted prices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3" w:lineRule="exact"/>
        <w:rPr>
          <w:sz w:val="20"/>
          <w:szCs w:val="20"/>
          <w:color w:val="auto"/>
        </w:rPr>
      </w:pPr>
    </w:p>
    <w:p>
      <w:pPr>
        <w:ind w:left="660" w:right="98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—applies to assets or liabilities for which there are unobservable inputs to the 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methodology that are significant to the measurement of the fair value of the assets or liabilities.</w:t>
      </w:r>
    </w:p>
    <w:p>
      <w:pPr>
        <w:spacing w:after="0" w:line="133" w:lineRule="exact"/>
        <w:rPr>
          <w:sz w:val="20"/>
          <w:szCs w:val="20"/>
          <w:color w:val="auto"/>
        </w:rPr>
      </w:pPr>
    </w:p>
    <w:p>
      <w:pPr>
        <w:ind w:left="660" w:hanging="655"/>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money market funds and short-term investments with maturities of 90 days or less at time of purchase are included in cash and cash equivalents in the consolidated balance sheets. Short-term investments with maturities greater than 90 days but not greater than 365 days are included in short-term investments in the consolidated balance sheets.</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Company’s assets which are measured at fair value by level within the fair value hierarchy.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w:t>
            </w:r>
          </w:p>
        </w:tc>
        <w:tc>
          <w:tcPr>
            <w:tcW w:w="8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448,296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529,616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529,883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118,278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118,278</w:t>
            </w: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339,240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339,240</w:t>
            </w:r>
          </w:p>
        </w:tc>
        <w:tc>
          <w:tcPr>
            <w:tcW w:w="10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457,518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5"/>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Instruments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and other current and non-current assets, restricted cash, accounts payable and accrued expenses approximate fair value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finance and operating leases discussed in Note 9, we have purchase commitments and other contingency considerations.</w:t>
      </w:r>
    </w:p>
    <w:p>
      <w:pPr>
        <w:spacing w:after="0" w:line="158" w:lineRule="exact"/>
        <w:rPr>
          <w:sz w:val="20"/>
          <w:szCs w:val="20"/>
          <w:color w:val="auto"/>
        </w:rPr>
      </w:pPr>
    </w:p>
    <w:p>
      <w:pPr>
        <w:ind w:left="660" w:hanging="655"/>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Commitments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contracts and purchase orders for inventory and other expenditures of $187.5 million at December 31, 2024, approximately $178.6 million of which are expected to occur in 2025.</w:t>
      </w:r>
    </w:p>
    <w:p>
      <w:pPr>
        <w:spacing w:after="0" w:line="158" w:lineRule="exact"/>
        <w:rPr>
          <w:sz w:val="20"/>
          <w:szCs w:val="20"/>
          <w:color w:val="auto"/>
        </w:rPr>
      </w:pPr>
    </w:p>
    <w:p>
      <w:pPr>
        <w:ind w:left="680" w:hanging="675"/>
        <w:spacing w:after="0"/>
        <w:tabs>
          <w:tab w:leader="none" w:pos="6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We are not presently a party to any litigation that we believe might have a material adverse effect on our business operations. We are, from time to time, a party to litigation that arises in the normal course of our business operations.</w:t>
      </w:r>
    </w:p>
    <w:p>
      <w:pPr>
        <w:spacing w:after="0" w:line="136" w:lineRule="exact"/>
        <w:rPr>
          <w:sz w:val="20"/>
          <w:szCs w:val="20"/>
          <w:color w:val="auto"/>
        </w:rPr>
      </w:pPr>
    </w:p>
    <w:p>
      <w:pPr>
        <w:ind w:left="660" w:hanging="655"/>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to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Business Segment and Geographic Region Information</w:t>
      </w:r>
    </w:p>
    <w:p>
      <w:pPr>
        <w:spacing w:after="0" w:line="229" w:lineRule="exact"/>
        <w:rPr>
          <w:sz w:val="20"/>
          <w:szCs w:val="20"/>
          <w:color w:val="auto"/>
        </w:rPr>
      </w:pPr>
    </w:p>
    <w:p>
      <w:pPr>
        <w:jc w:val="both"/>
        <w:ind w:right="420" w:firstLine="648"/>
        <w:spacing w:after="0" w:line="289" w:lineRule="auto"/>
        <w:rPr>
          <w:sz w:val="20"/>
          <w:szCs w:val="20"/>
          <w:color w:val="auto"/>
        </w:rPr>
      </w:pPr>
      <w:r>
        <w:rPr>
          <w:rFonts w:ascii="Times New Roman" w:cs="Times New Roman" w:eastAsia="Times New Roman" w:hAnsi="Times New Roman"/>
          <w:sz w:val="17"/>
          <w:szCs w:val="17"/>
          <w:color w:val="auto"/>
        </w:rPr>
        <w:t>We operate in one business segment, which is the manufacture of capital equipment for the semiconductor chip manufacturing industry. The principal market for semiconductor capital equipment is semiconductor chip manufacturers. Substantially all sales are made directly by us to our customers located in the United States, Europe and Asia Pacific.</w:t>
      </w:r>
    </w:p>
    <w:p>
      <w:pPr>
        <w:spacing w:after="0" w:line="158"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is our chief executive officer. The CODM assesses financial performance for the company and decides how to allocate resources based on consolidated net income, such as determining the amount of resources to allocate to research and development projects, stock repurchases, or other growth opportunities. Segment asset information is provided to the CODM but it is not used to allocate resources.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years ended December 2024, 2023, and 2022: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23"/>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4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1,130,604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919,998</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639,303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518,208</w:t>
            </w: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78,356</w:t>
            </w: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53,599</w:t>
            </w: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57,474</w:t>
            </w: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r>
      <w:tr>
        <w:trPr>
          <w:trHeight w:val="216"/>
        </w:trPr>
        <w:tc>
          <w:tcPr>
            <w:tcW w:w="4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21,806</w:t>
            </w:r>
          </w:p>
        </w:tc>
      </w:tr>
      <w:tr>
        <w:trPr>
          <w:trHeight w:val="21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246,263</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183,079</w:t>
            </w:r>
          </w:p>
        </w:tc>
      </w:tr>
      <w:tr>
        <w:trPr>
          <w:trHeight w:val="176"/>
        </w:trPr>
        <w:tc>
          <w:tcPr>
            <w:tcW w:w="4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Reconciliation of profit or loss Adjustments and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6"/>
        </w:trPr>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reconciling items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246,263</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183,079</w:t>
            </w: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above table includes depreciation expense and amortization expense of $15.8 million, $13.1 million and $11.6 million, for the years ended December 31, 2024, 2023, and 2022, respectively.</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ion implantation systems product line includes high current, medium current and high energy implanters. Other legacy processing products include curing and thermal processing systems. In addition to new equipment, we provide post-sales equipment service and support, including spare parts, equipment upgrades, used equipment, maintenance services and customer training.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product lines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0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gridSpan w:val="2"/>
          </w:tcPr>
          <w:p>
            <w:pPr>
              <w:jc w:val="right"/>
              <w:ind w:right="1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Ion implantation systems and services</w:t>
            </w: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$ 1,001,045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$ 1,111,278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$ 898,132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systems and services</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$ 1,017,865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$ 1,130,604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$ 919,998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500" w:type="dxa"/>
            <w:vAlign w:val="bottom"/>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65</w:t>
            </w: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Revenue and long-lived assets by geographic region, based on the physical location of the operation recording the sale or the asset,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Long-Lived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4"/>
          </w:tcPr>
          <w:p>
            <w:pPr>
              <w:jc w:val="right"/>
              <w:ind w:right="41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jc w:val="right"/>
              <w:ind w:right="3590"/>
              <w:spacing w:after="0"/>
              <w:rPr>
                <w:sz w:val="20"/>
                <w:szCs w:val="20"/>
                <w:color w:val="auto"/>
              </w:rPr>
            </w:pPr>
            <w:r>
              <w:rPr>
                <w:rFonts w:ascii="Times New Roman" w:cs="Times New Roman" w:eastAsia="Times New Roman" w:hAnsi="Times New Roman"/>
                <w:sz w:val="18"/>
                <w:szCs w:val="18"/>
                <w:color w:val="auto"/>
                <w:w w:val="88"/>
              </w:rPr>
              <w:t>2024</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632,028</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347,748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1,017,865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jc w:val="right"/>
              <w:ind w:right="3590"/>
              <w:spacing w:after="0"/>
              <w:rPr>
                <w:sz w:val="20"/>
                <w:szCs w:val="20"/>
                <w:color w:val="auto"/>
              </w:rPr>
            </w:pPr>
            <w:r>
              <w:rPr>
                <w:rFonts w:ascii="Times New Roman" w:cs="Times New Roman" w:eastAsia="Times New Roman" w:hAnsi="Times New Roman"/>
                <w:sz w:val="18"/>
                <w:szCs w:val="18"/>
                <w:color w:val="auto"/>
                <w:w w:val="94"/>
              </w:rPr>
              <w:t>2023</w:t>
            </w:r>
          </w:p>
        </w:tc>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gridSpan w:val="2"/>
            <w:vMerge w:val="continue"/>
          </w:tcPr>
          <w:p>
            <w:pPr>
              <w:spacing w:after="0"/>
              <w:rPr>
                <w:sz w:val="17"/>
                <w:szCs w:val="17"/>
                <w:color w:val="auto"/>
              </w:rPr>
            </w:pPr>
          </w:p>
        </w:tc>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749,288</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335,733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20" w:type="dxa"/>
            <w:vAlign w:val="bottom"/>
            <w:tcBorders>
              <w:bottom w:val="single" w:sz="8" w:color="CCEEFF"/>
            </w:tcBorders>
          </w:tcPr>
          <w:p>
            <w:pPr>
              <w:spacing w:after="0"/>
              <w:rPr>
                <w:sz w:val="21"/>
                <w:szCs w:val="21"/>
                <w:color w:val="auto"/>
              </w:rPr>
            </w:pPr>
          </w:p>
        </w:tc>
        <w:tc>
          <w:tcPr>
            <w:tcW w:w="3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1,130,604</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90,904</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shd w:val="clear" w:color="auto" w:fill="CCEEFF"/>
          </w:tcPr>
          <w:p>
            <w:pPr>
              <w:jc w:val="right"/>
              <w:ind w:right="3590"/>
              <w:spacing w:after="0" w:line="196" w:lineRule="exact"/>
              <w:rPr>
                <w:sz w:val="20"/>
                <w:szCs w:val="20"/>
                <w:color w:val="auto"/>
              </w:rPr>
            </w:pPr>
            <w:r>
              <w:rPr>
                <w:rFonts w:ascii="Times New Roman" w:cs="Times New Roman" w:eastAsia="Times New Roman" w:hAnsi="Times New Roman"/>
                <w:sz w:val="18"/>
                <w:szCs w:val="18"/>
                <w:color w:val="auto"/>
                <w:w w:val="88"/>
              </w:rPr>
              <w:t>2022</w:t>
            </w:r>
          </w:p>
        </w:tc>
        <w:tc>
          <w:tcPr>
            <w:tcW w:w="3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634,081</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246,954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919,998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Long-lived assets consist of property, plant and equipment, net, and assets manufactured for internal use, net. Operations in Asia Pacific consist of manufacturing, sales and service organizations. Operations in Europe consist of sales and service organizations.</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International revenue, which includes export sales from U.S. manufacturing facilities to foreign customers and sales by foreign subsidiaries and branches, was $873.8 million (85.8% of total revenue), $950.4 million (84.1% of total revenue) and $776.3 million (84.4% of total revenue) in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1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222,160</w:t>
            </w: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$ 270,842</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7,757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230,274</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$ 278,599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204,885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Provision for income taxes is as follows:</w:t>
            </w: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13"/>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w:t>
            </w:r>
          </w:p>
        </w:tc>
        <w:tc>
          <w:tcPr>
            <w:tcW w:w="1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(13,758)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3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Reconciliation of income taxes at the United States Federal statutory rate to the effective income tax rate of 12.7%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the United States statutory rate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other tax credits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valuation allowance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2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4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effect of temporary differences between the carrying amounts of assets and liabilities recognized for financial reporting purposes and the amounts recognized for tax purposes. The tax effects of the temporary differences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260" w:type="dxa"/>
            <w:vAlign w:val="bottom"/>
            <w:gridSpan w:val="2"/>
            <w:vMerge w:val="continue"/>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tax credit carryforwards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Warranty</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Valuation allowance</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taxes, net</w:t>
            </w:r>
          </w:p>
        </w:tc>
        <w:tc>
          <w:tcPr>
            <w:tcW w:w="1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right="40" w:firstLine="648"/>
        <w:spacing w:after="0" w:line="312" w:lineRule="auto"/>
        <w:rPr>
          <w:sz w:val="20"/>
          <w:szCs w:val="20"/>
          <w:color w:val="auto"/>
        </w:rPr>
      </w:pPr>
      <w:r>
        <w:rPr>
          <w:rFonts w:ascii="Times New Roman" w:cs="Times New Roman" w:eastAsia="Times New Roman" w:hAnsi="Times New Roman"/>
          <w:sz w:val="17"/>
          <w:szCs w:val="17"/>
          <w:color w:val="auto"/>
        </w:rPr>
        <w:t>Changes in tax rates and tax laws are accounted for in the period of enactment. Our deferred tax assets and liabilities are measured at the enacted tax rate expected to apply when these temporary differences are expected to be realized or settled.</w:t>
      </w:r>
    </w:p>
    <w:p>
      <w:pPr>
        <w:spacing w:after="0" w:line="5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we maintained a $14.7 million valuation allowance in the U.S. against certain tax credits and state net operating losses due to the uncertainty of their realization based on long-term Company forecasts and the expiration dates on these attributes. This represents an increase of $3.8 million from the prior year.</w:t>
      </w:r>
    </w:p>
    <w:p>
      <w:pPr>
        <w:spacing w:after="0" w:line="10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we had research and development and other tax credit carryforwards of $17.4 million. These carry forwards are subject to an uncertain tax position reserve of $6.0 million. These credits can be used to reduce future federal and state income tax liabilities and expire principally between 2025 and 2036.</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consider the undistributed earnings of our foreign subsidiaries as of December 31, 2024 to be indefinitely reinvested and, accordingly, no U.S. income taxes have been provided thereon. As of December 31, 2024, there is no cash associated with indefinitely reinvested foreign earnings. We did not, nor do we anticipate the need to, repatriate funds to the United States to satisfy domestic liquidity needs arising in the ordinary course of business.</w:t>
      </w:r>
    </w:p>
    <w:p>
      <w:pPr>
        <w:spacing w:after="0" w:line="11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and our subsidiaries file income tax returns in the U.S. federal jurisdiction and various states and foreign jurisdictions. We and most foreign subsidiaries are subject to income tax examinations by tax authorities for all years dating back to 2021. Our policy is to recognize interest related to unrecognized tax benefits as interest expense and penalties as operating expenses. We believe that we have appropriate support for the income tax positions taken and to be taken on our tax returns and that our accruals for tax liabilities are adequate for all open years based on an assessment of many factors including past experience and interpretations of tax law applied to the facts of each matter.</w:t>
      </w:r>
    </w:p>
    <w:p>
      <w:pPr>
        <w:spacing w:after="0" w:line="106"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At December 31, 2024, we had unrecognized tax benefits related to uncertain tax positions of $12.5 million, $9.0 million of which is recorded as a long-term liability, and the remainder of which reduced the Company’s state deferred tax</w:t>
      </w:r>
    </w:p>
    <w:p>
      <w:pPr>
        <w:sectPr>
          <w:pgSz w:w="11900" w:h="16838" w:orient="portrait"/>
          <w:cols w:equalWidth="0" w:num="1">
            <w:col w:w="9120"/>
          </w:cols>
          <w:pgMar w:left="1380" w:top="513" w:right="13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assets and the offsetting valuation allowance. We recognized $0.7 million in interest and penalty expenses for the year ended December 31, 2024 relating to these uncertain tax positions. These unrecognized tax benefits, if recognized, would reduce the effective tax rate and also reverse associated accrued interest and penalty expenses.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unrecognized tax benefits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9"/>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Decrease in unrecognized tax benefits as a result of tax positions taken during a prior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unrecognized tax benefits related to settlements with tax authorities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Increases in unrecognized tax benefits as a result of tax positions taken during the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period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Recorded as other long-term liability</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Recorded as a decrease in deferred tax assets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II—Valuation and Qualifying Accounts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Axcelis Technologies, Inc.</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4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40" w:type="dxa"/>
            <w:vAlign w:val="bottom"/>
            <w:gridSpan w:val="26"/>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46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740" w:type="dxa"/>
            <w:vAlign w:val="bottom"/>
            <w:tcBorders>
              <w:bottom w:val="single" w:sz="8" w:color="0000EE"/>
            </w:tcBorders>
            <w:gridSpan w:val="19"/>
          </w:tcPr>
          <w:p>
            <w:pPr>
              <w:spacing w:after="0" w:line="169"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Restated Certificate of Incorporation of the Company, filed November 2, 2017. Incorporated by reference to</w:t>
              </w:r>
            </w:hyperlink>
          </w:p>
        </w:tc>
        <w:tc>
          <w:tcPr>
            <w:tcW w:w="4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1"/>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Exhibit 3.1 of the Company’s Form 10-Q filed with the Commission on November 3, 2017.</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81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Bylaws of the Company, as amended and restated as of May 11, 2022. Incorporated by reference to Exhibit 3.1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1"/>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the Company’s Form 8-K filed with the Commission on May 11,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76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Certificate of Amendment to the Restated Certificate of Incorporation of the Company filed May 9, 2024.</w:t>
              </w:r>
            </w:hyperlink>
          </w:p>
        </w:tc>
        <w:tc>
          <w:tcPr>
            <w:tcW w:w="5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1"/>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Incorporated by reference to Exhibit 3.1 of the Company’s Form 8-K filed with the Commission on May 9, 2024</w:t>
              </w:r>
            </w:hyperlink>
            <w:r>
              <w:rPr>
                <w:rFonts w:ascii="Times New Roman" w:cs="Times New Roman" w:eastAsia="Times New Roman" w:hAnsi="Times New Roman"/>
                <w:sz w:val="18"/>
                <w:szCs w:val="18"/>
                <w:color w:val="000000"/>
                <w:w w:val="99"/>
              </w:rPr>
              <w:t>.</w:t>
            </w:r>
          </w:p>
        </w:tc>
        <w:tc>
          <w:tcPr>
            <w:tcW w:w="0" w:type="dxa"/>
            <w:vAlign w:val="bottom"/>
          </w:tcPr>
          <w:p>
            <w:pPr>
              <w:spacing w:after="0"/>
              <w:rPr>
                <w:sz w:val="1"/>
                <w:szCs w:val="1"/>
                <w:color w:val="auto"/>
              </w:rPr>
            </w:pPr>
          </w:p>
        </w:tc>
      </w:tr>
      <w:tr>
        <w:trPr>
          <w:trHeight w:val="41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8080" w:type="dxa"/>
            <w:vAlign w:val="bottom"/>
            <w:tcBorders>
              <w:top w:val="single" w:sz="8" w:color="0000EE"/>
            </w:tcBorders>
            <w:gridSpan w:val="29"/>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Description of Securities Registered under Section 12 of the Securities Exchange Act of 1934. Incorporated by</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reference to Exhibit 4.4 of the Company’s Form 10-K for the year ended December 31, 2019 filed with the</w:t>
              </w:r>
            </w:hyperlink>
          </w:p>
        </w:tc>
        <w:tc>
          <w:tcPr>
            <w:tcW w:w="280" w:type="dxa"/>
            <w:vAlign w:val="bottom"/>
            <w:tcBorders>
              <w:top w:val="single" w:sz="8" w:color="0000EE"/>
            </w:tcBorders>
            <w:gridSpan w:val="6"/>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Commission on March 2, 2020.</w:t>
              </w:r>
            </w:hyperlink>
          </w:p>
        </w:tc>
        <w:tc>
          <w:tcPr>
            <w:tcW w:w="59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220" w:type="dxa"/>
            <w:vAlign w:val="bottom"/>
          </w:tcPr>
          <w:p>
            <w:pPr>
              <w:spacing w:after="0"/>
              <w:rPr>
                <w:sz w:val="24"/>
                <w:szCs w:val="24"/>
                <w:color w:val="auto"/>
              </w:rPr>
            </w:pPr>
          </w:p>
        </w:tc>
        <w:tc>
          <w:tcPr>
            <w:tcW w:w="80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Axcelis Technologies, Inc. 2012 Equity Incentive Plan, as amended by the Board of Directors on November 13,</w:t>
            </w:r>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2024. Filed herewith</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220" w:type="dxa"/>
            <w:vAlign w:val="bottom"/>
          </w:tcPr>
          <w:p>
            <w:pPr>
              <w:spacing w:after="0"/>
              <w:rPr>
                <w:sz w:val="24"/>
                <w:szCs w:val="24"/>
                <w:color w:val="auto"/>
              </w:rPr>
            </w:pPr>
          </w:p>
        </w:tc>
        <w:tc>
          <w:tcPr>
            <w:tcW w:w="8180" w:type="dxa"/>
            <w:vAlign w:val="bottom"/>
            <w:gridSpan w:val="31"/>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Axcelis Management Incentive Plan, as amended and restated by the Compensation Committee of the Board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Directors on February 11, 2010. Incorporated by reference to Exhibit 10.2 of the Company’s report on Form 10-K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 the year ended December 31, 2009 filed with the Commission on March 15, 2010.</w:t>
              </w:r>
            </w:hyperlink>
          </w:p>
        </w:tc>
        <w:tc>
          <w:tcPr>
            <w:tcW w:w="20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220" w:type="dxa"/>
            <w:vAlign w:val="bottom"/>
          </w:tcPr>
          <w:p>
            <w:pPr>
              <w:spacing w:after="0"/>
              <w:rPr>
                <w:sz w:val="24"/>
                <w:szCs w:val="24"/>
                <w:color w:val="auto"/>
              </w:rPr>
            </w:pPr>
          </w:p>
        </w:tc>
        <w:tc>
          <w:tcPr>
            <w:tcW w:w="81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of Indemnification Agreement approved by the Board of Directors of the Company on February 9, 2012 for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1"/>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use with each of its directors and officers. Incorporated by reference to Exhibit 10.4 of the Company’s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10-K for the year ended December 31, 2011 filed with the Commission on February 29, 2012.</w:t>
              </w:r>
            </w:hyperlink>
          </w:p>
        </w:tc>
        <w:tc>
          <w:tcPr>
            <w:tcW w:w="840" w:type="dxa"/>
            <w:vAlign w:val="bottom"/>
            <w:tcBorders>
              <w:top w:val="single" w:sz="8" w:color="0000EE"/>
            </w:tcBorders>
            <w:gridSpan w:val="13"/>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220" w:type="dxa"/>
            <w:vAlign w:val="bottom"/>
          </w:tcPr>
          <w:p>
            <w:pPr>
              <w:spacing w:after="0"/>
              <w:rPr>
                <w:sz w:val="24"/>
                <w:szCs w:val="24"/>
                <w:color w:val="auto"/>
              </w:rPr>
            </w:pPr>
          </w:p>
        </w:tc>
        <w:tc>
          <w:tcPr>
            <w:tcW w:w="8180" w:type="dxa"/>
            <w:vAlign w:val="bottom"/>
            <w:gridSpan w:val="31"/>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Change in Control Agreement, as amended, as approved by the Compensation Committee of the Board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of Directors on November 11, 2016, between the Company and each of its executive officers. Incorporated by</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reference to Exhibit 10.6 of the Company’s Form 10-K for the year ended December 31, 2016 filed with the</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Commission on March 14, 2017.</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 of Employee Non-Qualified Stock Option Certificate under the 2012 Equity Incentive Plan, adopted</w:t>
              </w:r>
            </w:hyperlink>
          </w:p>
        </w:tc>
        <w:tc>
          <w:tcPr>
            <w:tcW w:w="5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June 18, 2012. Incorporated by reference to Exhibit 10.2 of the Company’s report on Form 10-Q for the quarter</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ended June 30, 2012 filed with the Commission on August 7, 2012.</w:t>
              </w:r>
            </w:hyperlink>
          </w:p>
        </w:tc>
        <w:tc>
          <w:tcPr>
            <w:tcW w:w="33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220" w:type="dxa"/>
            <w:vAlign w:val="bottom"/>
          </w:tcPr>
          <w:p>
            <w:pPr>
              <w:spacing w:after="0"/>
              <w:rPr>
                <w:sz w:val="24"/>
                <w:szCs w:val="24"/>
                <w:color w:val="auto"/>
              </w:rPr>
            </w:pPr>
          </w:p>
        </w:tc>
        <w:tc>
          <w:tcPr>
            <w:tcW w:w="80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Form of Non-Employee Director Non-Qualified Stock Option Certificate under the 2012 Equity Incentive Plan,</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adopted June 18, 2012. Incorporated by reference to Exhibit 10.3 of the Company’s report on Form 10-Q for the</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quarter ended June 30, 2012 filed with the Commission on August 7, 2012.</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220" w:type="dxa"/>
            <w:vAlign w:val="bottom"/>
          </w:tcPr>
          <w:p>
            <w:pPr>
              <w:spacing w:after="0"/>
              <w:rPr>
                <w:sz w:val="24"/>
                <w:szCs w:val="24"/>
                <w:color w:val="auto"/>
              </w:rPr>
            </w:pPr>
          </w:p>
        </w:tc>
        <w:tc>
          <w:tcPr>
            <w:tcW w:w="80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Restricted Stock Unit Award Agreement under the 2012 Equity Incentive Plan, adopted June 18, 2012.</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Incorporated by reference to Exhibit 10.4 of the Company’s report on Form 10-Q for the quarter ended June 30,</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04">
              <w:r>
                <w:rPr>
                  <w:rFonts w:ascii="Times New Roman" w:cs="Times New Roman" w:eastAsia="Times New Roman" w:hAnsi="Times New Roman"/>
                  <w:sz w:val="18"/>
                  <w:szCs w:val="18"/>
                  <w:color w:val="0000EE"/>
                  <w:w w:val="98"/>
                </w:rPr>
                <w:t>2012 filed with the Commission on August 7, 2012.</w:t>
              </w:r>
            </w:hyperlink>
          </w:p>
        </w:tc>
        <w:tc>
          <w:tcPr>
            <w:tcW w:w="44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220" w:type="dxa"/>
            <w:vAlign w:val="bottom"/>
          </w:tcPr>
          <w:p>
            <w:pPr>
              <w:spacing w:after="0"/>
              <w:rPr>
                <w:sz w:val="24"/>
                <w:szCs w:val="24"/>
                <w:color w:val="auto"/>
              </w:rPr>
            </w:pPr>
          </w:p>
        </w:tc>
        <w:tc>
          <w:tcPr>
            <w:tcW w:w="60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Named Executive Officer Base Compensation at February 15, 2025. Filed herewith.</w:t>
            </w:r>
          </w:p>
        </w:tc>
        <w:tc>
          <w:tcPr>
            <w:tcW w:w="21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220" w:type="dxa"/>
            <w:vAlign w:val="bottom"/>
          </w:tcPr>
          <w:p>
            <w:pPr>
              <w:spacing w:after="0"/>
              <w:rPr>
                <w:sz w:val="24"/>
                <w:szCs w:val="24"/>
                <w:color w:val="auto"/>
              </w:rPr>
            </w:pPr>
          </w:p>
        </w:tc>
        <w:tc>
          <w:tcPr>
            <w:tcW w:w="81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Non-Employee Director Cash Compensation at February 15, 2025. Filed herewith.</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720" w:type="dxa"/>
            <w:vAlign w:val="bottom"/>
            <w:gridSpan w:val="7"/>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10.10*</w:t>
            </w:r>
          </w:p>
        </w:tc>
        <w:tc>
          <w:tcPr>
            <w:tcW w:w="220" w:type="dxa"/>
            <w:vAlign w:val="bottom"/>
          </w:tcPr>
          <w:p>
            <w:pPr>
              <w:spacing w:after="0"/>
              <w:rPr>
                <w:sz w:val="24"/>
                <w:szCs w:val="24"/>
                <w:color w:val="auto"/>
              </w:rPr>
            </w:pPr>
          </w:p>
        </w:tc>
        <w:tc>
          <w:tcPr>
            <w:tcW w:w="8180" w:type="dxa"/>
            <w:vAlign w:val="bottom"/>
            <w:gridSpan w:val="31"/>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Employment Agreement between the Company and Russell J. Low dated May 11, 2023. Incorporated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5320" w:type="dxa"/>
            <w:vAlign w:val="bottom"/>
            <w:tcBorders>
              <w:right w:val="single" w:sz="8" w:color="0000EE"/>
            </w:tcBorders>
            <w:gridSpan w:val="12"/>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1"/>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reference to Exhibit 10.1 of the Company’s report on Form 8-K filed with the Commission on May 12, 2023</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5320" w:type="dxa"/>
            <w:vAlign w:val="bottom"/>
            <w:tcBorders>
              <w:right w:val="single" w:sz="8" w:color="0000EE"/>
            </w:tcBorders>
            <w:gridSpan w:val="12"/>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220" w:type="dxa"/>
            <w:vAlign w:val="bottom"/>
          </w:tcPr>
          <w:p>
            <w:pPr>
              <w:spacing w:after="0"/>
              <w:rPr>
                <w:sz w:val="24"/>
                <w:szCs w:val="24"/>
                <w:color w:val="auto"/>
              </w:rPr>
            </w:pPr>
          </w:p>
        </w:tc>
        <w:tc>
          <w:tcPr>
            <w:tcW w:w="8180" w:type="dxa"/>
            <w:vAlign w:val="bottom"/>
            <w:gridSpan w:val="31"/>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2023 Amended and Restated Employment Agreement between the Company and Mary G. Puma dated February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24, 2023. Incorporated by reference to Exhibit 10.1 of the Company’s report on Form 8-K filed with the</w:t>
              </w:r>
            </w:hyperlink>
          </w:p>
        </w:tc>
        <w:tc>
          <w:tcPr>
            <w:tcW w:w="540" w:type="dxa"/>
            <w:vAlign w:val="bottom"/>
            <w:tcBorders>
              <w:top w:val="single" w:sz="8" w:color="0000EE"/>
            </w:tcBorders>
            <w:gridSpan w:val="13"/>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Commission on April 18,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Borders>
              <w:top w:val="single" w:sz="8" w:color="0000EE"/>
            </w:tcBorders>
            <w:gridSpan w:val="3"/>
          </w:tcPr>
          <w:p>
            <w:pPr>
              <w:spacing w:after="0"/>
              <w:rPr>
                <w:sz w:val="24"/>
                <w:szCs w:val="24"/>
                <w:color w:val="auto"/>
              </w:rPr>
            </w:pPr>
          </w:p>
        </w:tc>
        <w:tc>
          <w:tcPr>
            <w:tcW w:w="2640" w:type="dxa"/>
            <w:vAlign w:val="bottom"/>
            <w:gridSpan w:val="4"/>
          </w:tcPr>
          <w:p>
            <w:pPr>
              <w:jc w:val="right"/>
              <w:ind w:right="1048"/>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3" w:right="1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40" w:type="dxa"/>
            <w:vAlign w:val="bottom"/>
            <w:gridSpan w:val="19"/>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10.12*</w:t>
            </w:r>
          </w:p>
        </w:tc>
        <w:tc>
          <w:tcPr>
            <w:tcW w:w="220" w:type="dxa"/>
            <w:vAlign w:val="bottom"/>
          </w:tcPr>
          <w:p>
            <w:pPr>
              <w:spacing w:after="0"/>
              <w:rPr>
                <w:sz w:val="14"/>
                <w:szCs w:val="14"/>
                <w:color w:val="auto"/>
              </w:rPr>
            </w:pPr>
          </w:p>
        </w:tc>
        <w:tc>
          <w:tcPr>
            <w:tcW w:w="8140" w:type="dxa"/>
            <w:vAlign w:val="bottom"/>
            <w:tcBorders>
              <w:bottom w:val="single" w:sz="8" w:color="0000EE"/>
            </w:tcBorders>
            <w:gridSpan w:val="22"/>
          </w:tcPr>
          <w:p>
            <w:pPr>
              <w:spacing w:after="0" w:line="169"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Form of Executive Separation Pay Agreement between the Company and each of its executive officers other than</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Russell J. Low, including Gregory F. Redinbo, Gerald M. Blumenstock, Christopher J. Tatnall, James G. Coogan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23"/>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and Eileen J. Evans, having dates from September 6, 2022 to December 12, 2024. Incorporated by reference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Exhibit 10.2 of the Company’s Form 10-Q for the quarter ended June 30, 2019 filed with the Commission on</w:t>
              </w:r>
            </w:hyperlink>
          </w:p>
        </w:tc>
        <w:tc>
          <w:tcPr>
            <w:tcW w:w="120" w:type="dxa"/>
            <w:vAlign w:val="bottom"/>
            <w:tcBorders>
              <w:top w:val="single" w:sz="8" w:color="0000EE"/>
            </w:tcBorders>
            <w:gridSpan w:val="2"/>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23"/>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August 7, 2019</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220" w:type="dxa"/>
            <w:vAlign w:val="bottom"/>
          </w:tcPr>
          <w:p>
            <w:pPr>
              <w:spacing w:after="0"/>
              <w:rPr>
                <w:sz w:val="24"/>
                <w:szCs w:val="24"/>
                <w:color w:val="auto"/>
              </w:rPr>
            </w:pPr>
          </w:p>
        </w:tc>
        <w:tc>
          <w:tcPr>
            <w:tcW w:w="7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Lease Agreement between the Company and Beverly Property Owner LLC, effective January 30, 2015.</w:t>
              </w:r>
            </w:hyperlink>
          </w:p>
        </w:tc>
        <w:tc>
          <w:tcPr>
            <w:tcW w:w="7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23"/>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by reference to Exhibit 10.24 of the Company’s Form 10-K for the year ended December 31, 2014</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filed with the Commission on March 11, 2015.</w:t>
              </w:r>
            </w:hyperlink>
          </w:p>
        </w:tc>
        <w:tc>
          <w:tcPr>
            <w:tcW w:w="4680" w:type="dxa"/>
            <w:vAlign w:val="bottom"/>
            <w:tcBorders>
              <w:top w:val="single" w:sz="8" w:color="0000EE"/>
            </w:tcBorders>
            <w:gridSpan w:val="14"/>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24"/>
                <w:szCs w:val="24"/>
                <w:color w:val="auto"/>
              </w:rPr>
            </w:pPr>
          </w:p>
        </w:tc>
        <w:tc>
          <w:tcPr>
            <w:tcW w:w="80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Ethical Business Conduct at Axcelis, revised through January 2003. Incorporated by reference to Exhibit 14.1 of</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23"/>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the Company’s report on Form 10-K filed with the Commission on March 28, 2003.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220" w:type="dxa"/>
            <w:vAlign w:val="bottom"/>
          </w:tcPr>
          <w:p>
            <w:pPr>
              <w:spacing w:after="0"/>
              <w:rPr>
                <w:sz w:val="24"/>
                <w:szCs w:val="24"/>
                <w:color w:val="auto"/>
              </w:rPr>
            </w:pPr>
          </w:p>
        </w:tc>
        <w:tc>
          <w:tcPr>
            <w:tcW w:w="8180" w:type="dxa"/>
            <w:vAlign w:val="bottom"/>
            <w:gridSpan w:val="23"/>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2023 Insider Trading Policy, as adopted by the Board of Directors on August 10, 2023. Incorporated by reference</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to Exhibit 19.1 of the Company’s report on Form 10-K filed with the Commission on February 23, 2024</w:t>
              </w:r>
              <w:r>
                <w:rPr>
                  <w:rFonts w:ascii="Times New Roman" w:cs="Times New Roman" w:eastAsia="Times New Roman" w:hAnsi="Times New Roman"/>
                  <w:sz w:val="18"/>
                  <w:szCs w:val="18"/>
                  <w:color w:val="000000"/>
                </w:rPr>
                <w: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4"/>
                <w:szCs w:val="24"/>
                <w:color w:val="auto"/>
              </w:rPr>
            </w:pPr>
          </w:p>
        </w:tc>
        <w:tc>
          <w:tcPr>
            <w:tcW w:w="748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Subsidiaries of the Company. Filed herewith.</w:t>
            </w:r>
          </w:p>
        </w:tc>
        <w:tc>
          <w:tcPr>
            <w:tcW w:w="7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81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 Filed herewith.</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9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under Exchange Act Rule 13a-14(a)/15d-14(a) (Section 302 of</w:t>
            </w:r>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the Sarbanes-Oxley Act), dated February 27, 2025. Filed herewith.</w:t>
            </w:r>
          </w:p>
        </w:tc>
        <w:tc>
          <w:tcPr>
            <w:tcW w:w="34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81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under Exchange Act Rule 13a-14(a)/15d-14(a) (Section 302 of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dated February 27, 2025. Filed herewith.</w:t>
            </w:r>
          </w:p>
        </w:tc>
        <w:tc>
          <w:tcPr>
            <w:tcW w:w="3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79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Section 1350 of Chapter 63 of title 18 of the United</w:t>
            </w:r>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States Code (Section 906 of the Sarbanes-Oxley Act), dated February 27, 2025. Filed herewith.</w:t>
            </w:r>
          </w:p>
        </w:tc>
        <w:tc>
          <w:tcPr>
            <w:tcW w:w="13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81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pursuant to Section 1350 of Chapter 63 of title 18 of the United</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States Code (Section 906 of the Sarbanes-Oxley Act), dated February 27, 2025. Filed herewith.</w:t>
            </w:r>
          </w:p>
        </w:tc>
        <w:tc>
          <w:tcPr>
            <w:tcW w:w="1080" w:type="dxa"/>
            <w:vAlign w:val="bottom"/>
            <w:tcBorders>
              <w:top w:val="single" w:sz="8" w:color="0000EE"/>
            </w:tcBorders>
            <w:gridSpan w:val="7"/>
          </w:tcPr>
          <w:p>
            <w:pPr>
              <w:spacing w:after="0"/>
              <w:rPr>
                <w:sz w:val="17"/>
                <w:szCs w:val="17"/>
                <w:color w:val="auto"/>
              </w:rPr>
            </w:pPr>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4"/>
                <w:szCs w:val="24"/>
                <w:color w:val="auto"/>
              </w:rPr>
            </w:pPr>
          </w:p>
        </w:tc>
        <w:tc>
          <w:tcPr>
            <w:tcW w:w="8180" w:type="dxa"/>
            <w:vAlign w:val="bottom"/>
            <w:gridSpan w:val="23"/>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Executive Compensation Clawback Policy, as adopted by the Board of Directors on August 10, 2023.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80" w:type="dxa"/>
            <w:vAlign w:val="bottom"/>
            <w:gridSpan w:val="10"/>
            <w:shd w:val="clear" w:color="auto" w:fill="0000EE"/>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Incorporated by reference to Exhibit 10.14 of the Company’s Form 10-K filed with the Commission on February</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300" w:type="dxa"/>
            <w:vAlign w:val="bottom"/>
            <w:gridSpan w:val="3"/>
          </w:tcPr>
          <w:p>
            <w:pPr>
              <w:ind w:left="200"/>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23, 2024</w:t>
              </w:r>
              <w:r>
                <w:rPr>
                  <w:rFonts w:ascii="Times New Roman" w:cs="Times New Roman" w:eastAsia="Times New Roman" w:hAnsi="Times New Roman"/>
                  <w:sz w:val="18"/>
                  <w:szCs w:val="18"/>
                  <w:color w:val="000000"/>
                </w:rPr>
                <w:t>.</w:t>
              </w:r>
            </w:hyperlink>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920" w:right="160" w:hanging="696"/>
        <w:spacing w:after="0" w:line="272" w:lineRule="auto"/>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Form 10-K for the year ended December 31, 2024, formatted in eXtensible Business Reporting Language (XBRL): (i) Consolidated Statements of Operations, (ii) Consolidated Statement of Comprehensive Income (iii) Consolidated Balance Sheets, (iv) Consolidated Statements of Equity,</w:t>
      </w:r>
    </w:p>
    <w:p>
      <w:pPr>
        <w:spacing w:after="0" w:line="1"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Consolidated Statements of Cash Flows, and (vi) Notes to Consolidated Financial Statements.</w:t>
      </w:r>
    </w:p>
    <w:p>
      <w:pPr>
        <w:spacing w:after="0" w:line="193" w:lineRule="exact"/>
        <w:rPr>
          <w:sz w:val="20"/>
          <w:szCs w:val="20"/>
          <w:color w:val="auto"/>
        </w:rPr>
      </w:pPr>
    </w:p>
    <w:p>
      <w:pPr>
        <w:ind w:right="2040" w:firstLine="224"/>
        <w:spacing w:after="0" w:line="532" w:lineRule="auto"/>
        <w:tabs>
          <w:tab w:leader="none" w:pos="90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 * 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-364490</wp:posOffset>
            </wp:positionV>
            <wp:extent cx="1448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R</w:t>
      </w:r>
      <w:r>
        <w:rPr>
          <w:rFonts w:ascii="Times New Roman" w:cs="Times New Roman" w:eastAsia="Times New Roman" w:hAnsi="Times New Roman"/>
          <w:sz w:val="12"/>
          <w:szCs w:val="12"/>
          <w:color w:val="auto"/>
        </w:rPr>
        <w:t>ussell</w:t>
      </w:r>
      <w:r>
        <w:rPr>
          <w:rFonts w:ascii="Times New Roman" w:cs="Times New Roman" w:eastAsia="Times New Roman" w:hAnsi="Times New Roman"/>
          <w:sz w:val="18"/>
          <w:szCs w:val="18"/>
          <w:color w:val="auto"/>
        </w:rPr>
        <w:t xml:space="preserve"> J. L</w:t>
      </w:r>
      <w:r>
        <w:rPr>
          <w:rFonts w:ascii="Times New Roman" w:cs="Times New Roman" w:eastAsia="Times New Roman" w:hAnsi="Times New Roman"/>
          <w:sz w:val="12"/>
          <w:szCs w:val="12"/>
          <w:color w:val="auto"/>
        </w:rPr>
        <w: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17145</wp:posOffset>
            </wp:positionV>
            <wp:extent cx="26917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Russell J. Low,</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2025</w:t>
      </w:r>
    </w:p>
    <w:p>
      <w:pPr>
        <w:spacing w:after="0" w:line="20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9120"/>
          </w:cols>
          <w:pgMar w:left="1380" w:top="513" w:right="1399" w:bottom="1440" w:gutter="0" w:footer="0" w:header="0"/>
        </w:sectPr>
      </w:pPr>
    </w:p>
    <w:p>
      <w:pPr>
        <w:spacing w:after="0" w:line="15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wp:posOffset>
            </wp:positionV>
            <wp:extent cx="23742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3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ussell</w:t>
      </w:r>
      <w:r>
        <w:rPr>
          <w:rFonts w:ascii="Times New Roman" w:cs="Times New Roman" w:eastAsia="Times New Roman" w:hAnsi="Times New Roman"/>
          <w:sz w:val="18"/>
          <w:szCs w:val="18"/>
          <w:color w:val="auto"/>
        </w:rPr>
        <w:t xml:space="preserve"> J. L</w:t>
      </w:r>
      <w:r>
        <w:rPr>
          <w:rFonts w:ascii="Times New Roman" w:cs="Times New Roman" w:eastAsia="Times New Roman" w:hAnsi="Times New Roman"/>
          <w:sz w:val="12"/>
          <w:szCs w:val="12"/>
          <w:color w:val="auto"/>
        </w:rPr>
        <w:t>ow</w:t>
      </w:r>
    </w:p>
    <w:p>
      <w:pPr>
        <w:spacing w:after="0" w:line="3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G. C</w:t>
      </w:r>
      <w:r>
        <w:rPr>
          <w:rFonts w:ascii="Times New Roman" w:cs="Times New Roman" w:eastAsia="Times New Roman" w:hAnsi="Times New Roman"/>
          <w:sz w:val="12"/>
          <w:szCs w:val="12"/>
          <w:color w:val="auto"/>
        </w:rPr>
        <w:t>oogan</w:t>
      </w:r>
    </w:p>
    <w:p>
      <w:pPr>
        <w:spacing w:after="0" w:line="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Tzu-Yin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2"/>
          <w:szCs w:val="12"/>
          <w:color w:val="auto"/>
        </w:rPr>
        <w:t>regory</w:t>
      </w:r>
      <w:r>
        <w:rPr>
          <w:rFonts w:ascii="Times New Roman" w:cs="Times New Roman" w:eastAsia="Times New Roman" w:hAnsi="Times New Roman"/>
          <w:sz w:val="18"/>
          <w:szCs w:val="18"/>
          <w:color w:val="auto"/>
        </w:rPr>
        <w:t xml:space="preserve"> B. G</w:t>
      </w:r>
      <w:r>
        <w:rPr>
          <w:rFonts w:ascii="Times New Roman" w:cs="Times New Roman" w:eastAsia="Times New Roman" w:hAnsi="Times New Roman"/>
          <w:sz w:val="12"/>
          <w:szCs w:val="12"/>
          <w:color w:val="auto"/>
        </w:rPr>
        <w:t>raves</w:t>
      </w:r>
    </w:p>
    <w:p>
      <w:pPr>
        <w:spacing w:after="0" w:line="3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Gregory B.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1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T. K</w:t>
      </w:r>
      <w:r>
        <w:rPr>
          <w:rFonts w:ascii="Times New Roman" w:cs="Times New Roman" w:eastAsia="Times New Roman" w:hAnsi="Times New Roman"/>
          <w:sz w:val="12"/>
          <w:szCs w:val="12"/>
          <w:color w:val="auto"/>
        </w:rPr>
        <w:t>urtzweil</w:t>
      </w:r>
    </w:p>
    <w:p>
      <w:pPr>
        <w:spacing w:after="0" w:line="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John T. Kurtzweil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eanne</w:t>
      </w:r>
      <w:r>
        <w:rPr>
          <w:rFonts w:ascii="Times New Roman" w:cs="Times New Roman" w:eastAsia="Times New Roman" w:hAnsi="Times New Roman"/>
          <w:sz w:val="18"/>
          <w:szCs w:val="18"/>
          <w:color w:val="auto"/>
        </w:rPr>
        <w:t xml:space="preserve"> Q</w:t>
      </w:r>
      <w:r>
        <w:rPr>
          <w:rFonts w:ascii="Times New Roman" w:cs="Times New Roman" w:eastAsia="Times New Roman" w:hAnsi="Times New Roman"/>
          <w:sz w:val="12"/>
          <w:szCs w:val="12"/>
          <w:color w:val="auto"/>
        </w:rPr>
        <w:t>uirk</w:t>
      </w:r>
    </w:p>
    <w:p>
      <w:pPr>
        <w:spacing w:after="0" w:line="3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Jeanne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ecip</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ayiner</w:t>
      </w:r>
    </w:p>
    <w:p>
      <w:pPr>
        <w:spacing w:after="0" w:line="3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Necip Sayiner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homas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ennis</w:t>
      </w:r>
    </w:p>
    <w:p>
      <w:pPr>
        <w:spacing w:after="0" w:line="3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Thomas St.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orge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23742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Jorge Titinger</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Dipti V</w:t>
      </w:r>
      <w:r>
        <w:rPr>
          <w:rFonts w:ascii="Times New Roman" w:cs="Times New Roman" w:eastAsia="Times New Roman" w:hAnsi="Times New Roman"/>
          <w:sz w:val="12"/>
          <w:szCs w:val="12"/>
          <w:color w:val="auto"/>
        </w:rPr>
        <w:t>achani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23742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Dipti Vachani</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8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8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Principal Executive Officer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68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661"/>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675"/>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68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68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56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79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661"/>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675"/>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bl>
    <w:p>
      <w:pPr>
        <w:spacing w:after="0" w:line="285" w:lineRule="exact"/>
        <w:rPr>
          <w:sz w:val="20"/>
          <w:szCs w:val="20"/>
          <w:color w:val="auto"/>
        </w:rPr>
      </w:pPr>
    </w:p>
    <w:p>
      <w:pPr>
        <w:sectPr>
          <w:pgSz w:w="11900" w:h="16838" w:orient="portrait"/>
          <w:cols w:equalWidth="0" w:num="2">
            <w:col w:w="3320" w:space="720"/>
            <w:col w:w="5080"/>
          </w:cols>
          <w:pgMar w:left="1380" w:top="513"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73" w:name="page74"/>
    <w:bookmarkEnd w:id="73"/>
    <w:p>
      <w:pPr>
        <w:jc w:val="right"/>
        <w:ind w:right="219"/>
        <w:spacing w:after="0"/>
        <w:rPr>
          <w:sz w:val="20"/>
          <w:szCs w:val="20"/>
          <w:color w:val="auto"/>
        </w:rPr>
      </w:pPr>
      <w:r>
        <w:rPr>
          <w:rFonts w:ascii="Calibri" w:cs="Calibri" w:eastAsia="Calibri" w:hAnsi="Calibri"/>
          <w:sz w:val="20"/>
          <w:szCs w:val="20"/>
          <w:color w:val="auto"/>
        </w:rPr>
        <w:t>Exhibit 10.1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AXCELIS TECHNOLOGIES, INC.</w:t>
      </w:r>
    </w:p>
    <w:p>
      <w:pPr>
        <w:spacing w:after="0" w:line="14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2012 EQUITY INCENTIVE PLAN</w:t>
      </w:r>
    </w:p>
    <w:p>
      <w:pPr>
        <w:spacing w:after="0" w:line="171" w:lineRule="exact"/>
        <w:rPr>
          <w:sz w:val="20"/>
          <w:szCs w:val="20"/>
          <w:color w:val="auto"/>
        </w:rPr>
      </w:pPr>
    </w:p>
    <w:p>
      <w:pPr>
        <w:jc w:val="center"/>
        <w:ind w:left="200" w:right="259"/>
        <w:spacing w:after="0" w:line="247" w:lineRule="auto"/>
        <w:rPr>
          <w:sz w:val="20"/>
          <w:szCs w:val="20"/>
          <w:color w:val="auto"/>
        </w:rPr>
      </w:pPr>
      <w:r>
        <w:rPr>
          <w:rFonts w:ascii="Calibri" w:cs="Calibri" w:eastAsia="Calibri" w:hAnsi="Calibri"/>
          <w:sz w:val="20"/>
          <w:szCs w:val="20"/>
          <w:i w:val="1"/>
          <w:iCs w:val="1"/>
          <w:color w:val="auto"/>
        </w:rPr>
        <w:t>As approved by the Stockholders on May 2, 2012, May 14, 2013, May 13, 2014, May 13, 2015, and May 4, 2016; as adjusted for the reverse stock split on June 30, 2016; as amended by the Board of Directors on February 15, 2017 (Stockholder approval not required); as approved by the Stockholders on May 16, 2017; as amended by the Board of Directors on February 13, 2018 (Stockholder approval not required); as amended by the Stockholders on May 14, 2019; as amended by the Board of Directors on August 11, 2022 (Stockholder approval not required); and as amended by the Board of Directors on November 13, 2024 (subject to Stockholder approval for the share reserve increase in Secton 4(a), with Stockholder approval not required for approved amendments to Sectons 4(a)(v), 5(a), and 5(b)(iv).)</w:t>
      </w:r>
    </w:p>
    <w:p>
      <w:pPr>
        <w:spacing w:after="0" w:line="140" w:lineRule="exact"/>
        <w:rPr>
          <w:sz w:val="20"/>
          <w:szCs w:val="20"/>
          <w:color w:val="auto"/>
        </w:rPr>
      </w:pPr>
    </w:p>
    <w:p>
      <w:pPr>
        <w:ind w:left="860" w:hanging="651"/>
        <w:spacing w:after="0"/>
        <w:tabs>
          <w:tab w:leader="none" w:pos="860" w:val="left"/>
        </w:tabs>
        <w:numPr>
          <w:ilvl w:val="0"/>
          <w:numId w:val="55"/>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Purpose</w:t>
      </w:r>
      <w:r>
        <w:rPr>
          <w:rFonts w:ascii="Calibri" w:cs="Calibri" w:eastAsia="Calibri" w:hAnsi="Calibri"/>
          <w:sz w:val="20"/>
          <w:szCs w:val="20"/>
          <w:color w:val="auto"/>
        </w:rPr>
        <w:t>.</w:t>
      </w:r>
    </w:p>
    <w:p>
      <w:pPr>
        <w:spacing w:after="0" w:line="171" w:lineRule="exact"/>
        <w:rPr>
          <w:sz w:val="20"/>
          <w:szCs w:val="20"/>
          <w:color w:val="auto"/>
        </w:rPr>
      </w:pPr>
    </w:p>
    <w:p>
      <w:pPr>
        <w:ind w:left="200" w:right="379"/>
        <w:spacing w:after="0" w:line="246" w:lineRule="auto"/>
        <w:rPr>
          <w:sz w:val="20"/>
          <w:szCs w:val="20"/>
          <w:color w:val="auto"/>
        </w:rPr>
      </w:pPr>
      <w:r>
        <w:rPr>
          <w:rFonts w:ascii="Calibri" w:cs="Calibri" w:eastAsia="Calibri" w:hAnsi="Calibri"/>
          <w:sz w:val="20"/>
          <w:szCs w:val="20"/>
          <w:color w:val="auto"/>
        </w:rPr>
        <w:t>The purpose of the Axcelis Technologies, Inc. 2012 Equity Incentve Plan (the “Plan”) is to atract and retain persons who are expected to make important contributons to the Company and its Afliates, to provide an incentve for them to achieve the Company’s goals, and to enable them to partcipate in the growth of the Company by grantng Awards with respect to the Company’s Common Stock. Certain capitalized terms used herein are defned in Secton 7 below.</w:t>
      </w:r>
    </w:p>
    <w:p>
      <w:pPr>
        <w:spacing w:after="0" w:line="143" w:lineRule="exact"/>
        <w:rPr>
          <w:sz w:val="20"/>
          <w:szCs w:val="20"/>
          <w:color w:val="auto"/>
        </w:rPr>
      </w:pPr>
    </w:p>
    <w:p>
      <w:pPr>
        <w:ind w:left="860" w:hanging="651"/>
        <w:spacing w:after="0"/>
        <w:tabs>
          <w:tab w:leader="none" w:pos="860" w:val="left"/>
        </w:tabs>
        <w:numPr>
          <w:ilvl w:val="0"/>
          <w:numId w:val="56"/>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Administraton</w:t>
      </w:r>
      <w:r>
        <w:rPr>
          <w:rFonts w:ascii="Calibri" w:cs="Calibri" w:eastAsia="Calibri" w:hAnsi="Calibri"/>
          <w:sz w:val="20"/>
          <w:szCs w:val="20"/>
          <w:color w:val="auto"/>
        </w:rPr>
        <w:t>.</w:t>
      </w:r>
    </w:p>
    <w:p>
      <w:pPr>
        <w:spacing w:after="0" w:line="171" w:lineRule="exact"/>
        <w:rPr>
          <w:sz w:val="20"/>
          <w:szCs w:val="20"/>
          <w:color w:val="auto"/>
        </w:rPr>
      </w:pPr>
    </w:p>
    <w:p>
      <w:pPr>
        <w:ind w:left="200" w:right="239"/>
        <w:spacing w:after="0" w:line="247" w:lineRule="auto"/>
        <w:rPr>
          <w:sz w:val="20"/>
          <w:szCs w:val="20"/>
          <w:color w:val="auto"/>
        </w:rPr>
      </w:pPr>
      <w:r>
        <w:rPr>
          <w:rFonts w:ascii="Calibri" w:cs="Calibri" w:eastAsia="Calibri" w:hAnsi="Calibri"/>
          <w:sz w:val="20"/>
          <w:szCs w:val="20"/>
          <w:color w:val="auto"/>
        </w:rPr>
        <w:t>The Plan shall be administered by the Commitee; provided, that the Board may in any instance perform any of the functons of the Commitee hereunder. The Commitee shall have authority to adopt, alter and repeal such administratve rules, guidelines and practces governing the operaton of the Plan as it shall from tme to tme consider advisable, and to interpret the provisions hereof in its discreton. The Commitee’s determinatons hereunder shall be fnal and binding. The Commitee may, subject to applicable law, delegate to one or more Executve Ofcers of the Company the power to make Awards to Partcipants who are not Reportng Persons or Covered Employees and all determinatons hereunder with respect thereto, provided that the Commitee shall fx the maximum number of shares that may be subject to such Awards.</w:t>
      </w:r>
    </w:p>
    <w:p>
      <w:pPr>
        <w:spacing w:after="0" w:line="146" w:lineRule="exact"/>
        <w:rPr>
          <w:sz w:val="20"/>
          <w:szCs w:val="20"/>
          <w:color w:val="auto"/>
        </w:rPr>
      </w:pPr>
    </w:p>
    <w:p>
      <w:pPr>
        <w:ind w:left="860" w:hanging="651"/>
        <w:spacing w:after="0"/>
        <w:tabs>
          <w:tab w:leader="none" w:pos="860" w:val="left"/>
        </w:tabs>
        <w:numPr>
          <w:ilvl w:val="0"/>
          <w:numId w:val="57"/>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Eligibility</w:t>
      </w:r>
      <w:r>
        <w:rPr>
          <w:rFonts w:ascii="Calibri" w:cs="Calibri" w:eastAsia="Calibri" w:hAnsi="Calibri"/>
          <w:sz w:val="20"/>
          <w:szCs w:val="20"/>
          <w:color w:val="auto"/>
        </w:rPr>
        <w:t>.</w:t>
      </w:r>
    </w:p>
    <w:p>
      <w:pPr>
        <w:spacing w:after="0" w:line="171" w:lineRule="exact"/>
        <w:rPr>
          <w:sz w:val="20"/>
          <w:szCs w:val="20"/>
          <w:color w:val="auto"/>
        </w:rPr>
      </w:pPr>
    </w:p>
    <w:p>
      <w:pPr>
        <w:jc w:val="both"/>
        <w:ind w:left="200" w:right="399"/>
        <w:spacing w:after="0"/>
        <w:rPr>
          <w:sz w:val="20"/>
          <w:szCs w:val="20"/>
          <w:color w:val="auto"/>
        </w:rPr>
      </w:pPr>
      <w:r>
        <w:rPr>
          <w:rFonts w:ascii="Calibri" w:cs="Calibri" w:eastAsia="Calibri" w:hAnsi="Calibri"/>
          <w:sz w:val="20"/>
          <w:szCs w:val="20"/>
          <w:color w:val="auto"/>
        </w:rPr>
        <w:t>All directors and all employees and consultants of the Company or any Afliate capable of contributng to the successful performance of the Company, other than any person who has irrevocably elected not to be eligible, are eligible to be Partcipants in the Plan.</w:t>
      </w:r>
    </w:p>
    <w:p>
      <w:pPr>
        <w:spacing w:after="0" w:line="149" w:lineRule="exact"/>
        <w:rPr>
          <w:sz w:val="20"/>
          <w:szCs w:val="20"/>
          <w:color w:val="auto"/>
        </w:rPr>
      </w:pPr>
    </w:p>
    <w:p>
      <w:pPr>
        <w:ind w:left="860" w:hanging="651"/>
        <w:spacing w:after="0"/>
        <w:tabs>
          <w:tab w:leader="none" w:pos="860" w:val="left"/>
        </w:tabs>
        <w:numPr>
          <w:ilvl w:val="0"/>
          <w:numId w:val="58"/>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Stock Available for Awards</w:t>
      </w:r>
      <w:r>
        <w:rPr>
          <w:rFonts w:ascii="Calibri" w:cs="Calibri" w:eastAsia="Calibri" w:hAnsi="Calibri"/>
          <w:sz w:val="20"/>
          <w:szCs w:val="20"/>
          <w:color w:val="auto"/>
        </w:rPr>
        <w:t>.</w:t>
      </w:r>
    </w:p>
    <w:p>
      <w:pPr>
        <w:spacing w:after="0" w:line="161" w:lineRule="exact"/>
        <w:rPr>
          <w:sz w:val="20"/>
          <w:szCs w:val="20"/>
          <w:color w:val="auto"/>
        </w:rPr>
      </w:pPr>
    </w:p>
    <w:p>
      <w:pPr>
        <w:ind w:left="520" w:hanging="311"/>
        <w:spacing w:after="0"/>
        <w:tabs>
          <w:tab w:leader="none" w:pos="520" w:val="left"/>
        </w:tabs>
        <w:numPr>
          <w:ilvl w:val="0"/>
          <w:numId w:val="59"/>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Amount. </w:t>
      </w:r>
      <w:r>
        <w:rPr>
          <w:rFonts w:ascii="Calibri" w:cs="Calibri" w:eastAsia="Calibri" w:hAnsi="Calibri"/>
          <w:sz w:val="20"/>
          <w:szCs w:val="20"/>
          <w:color w:val="auto"/>
        </w:rPr>
        <w:t>Subject to adjustment under subsecton 4(b), up to an aggregate of [7,762,500 plus the</w:t>
      </w:r>
    </w:p>
    <w:p>
      <w:pPr>
        <w:spacing w:after="0" w:line="22" w:lineRule="exact"/>
        <w:rPr>
          <w:rFonts w:ascii="Calibri" w:cs="Calibri" w:eastAsia="Calibri" w:hAnsi="Calibri"/>
          <w:sz w:val="20"/>
          <w:szCs w:val="20"/>
          <w:color w:val="auto"/>
        </w:rPr>
      </w:pPr>
    </w:p>
    <w:p>
      <w:pPr>
        <w:ind w:left="200" w:right="519"/>
        <w:spacing w:after="0"/>
        <w:rPr>
          <w:rFonts w:ascii="Calibri" w:cs="Calibri" w:eastAsia="Calibri" w:hAnsi="Calibri"/>
          <w:sz w:val="20"/>
          <w:szCs w:val="20"/>
          <w:color w:val="auto"/>
        </w:rPr>
      </w:pPr>
      <w:r>
        <w:rPr>
          <w:rFonts w:ascii="Calibri" w:cs="Calibri" w:eastAsia="Calibri" w:hAnsi="Calibri"/>
          <w:sz w:val="20"/>
          <w:szCs w:val="20"/>
          <w:color w:val="auto"/>
        </w:rPr>
        <w:t>Reserve Increase Amount authorized by the Board of Directors on November 13, 2024] shares of Common Stock may be issued pursuant to Awards, including Incentve Stock Optons, under the Plan. For the purposes of countng shares hereunder:</w:t>
      </w:r>
    </w:p>
    <w:p>
      <w:pPr>
        <w:spacing w:after="0" w:line="159" w:lineRule="exact"/>
        <w:rPr>
          <w:sz w:val="20"/>
          <w:szCs w:val="20"/>
          <w:color w:val="auto"/>
        </w:rPr>
      </w:pPr>
    </w:p>
    <w:p>
      <w:pPr>
        <w:ind w:left="200" w:right="239" w:firstLine="9"/>
        <w:spacing w:after="0" w:line="242" w:lineRule="auto"/>
        <w:tabs>
          <w:tab w:leader="none" w:pos="848" w:val="left"/>
        </w:tabs>
        <w:numPr>
          <w:ilvl w:val="0"/>
          <w:numId w:val="60"/>
        </w:numPr>
        <w:rPr>
          <w:rFonts w:ascii="Calibri" w:cs="Calibri" w:eastAsia="Calibri" w:hAnsi="Calibri"/>
          <w:sz w:val="20"/>
          <w:szCs w:val="20"/>
          <w:color w:val="auto"/>
        </w:rPr>
      </w:pPr>
      <w:r>
        <w:rPr>
          <w:rFonts w:ascii="Calibri" w:cs="Calibri" w:eastAsia="Calibri" w:hAnsi="Calibri"/>
          <w:sz w:val="20"/>
          <w:szCs w:val="20"/>
          <w:color w:val="auto"/>
        </w:rPr>
        <w:t>The number of shares issued as, or upon setlement of, any Award other than an Opton or Stock Appreciaton Right shall be multplied by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371475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4" w:name="page75"/>
    <w:bookmarkEnd w:id="74"/>
    <w:p>
      <w:pPr>
        <w:ind w:left="200" w:right="239" w:firstLine="9"/>
        <w:spacing w:after="0" w:line="248" w:lineRule="auto"/>
        <w:tabs>
          <w:tab w:leader="none" w:pos="848"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Outstanding shares tendered by the Partcipant to pay for the exercise of an Opton or Stock Appreciaton Right, shares repurchased in the open market by the Company, and shares that are withheld by the Company to satsfy the exercise or tax withholding obligaton upon exercise or vestng of an Award may not be neted out against shares of Common Stock issued pursuant to Awards hereunder;</w:t>
      </w:r>
    </w:p>
    <w:p>
      <w:pPr>
        <w:spacing w:after="0" w:line="151" w:lineRule="exact"/>
        <w:rPr>
          <w:rFonts w:ascii="Calibri" w:cs="Calibri" w:eastAsia="Calibri" w:hAnsi="Calibri"/>
          <w:sz w:val="20"/>
          <w:szCs w:val="20"/>
          <w:color w:val="auto"/>
        </w:rPr>
      </w:pPr>
    </w:p>
    <w:p>
      <w:pPr>
        <w:jc w:val="both"/>
        <w:ind w:left="200" w:right="639" w:firstLine="9"/>
        <w:spacing w:after="0" w:line="247" w:lineRule="auto"/>
        <w:tabs>
          <w:tab w:leader="none" w:pos="848"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Shares subject to any Award granted under this Plan that are not issued because the Award expires, is terminated unexercised or is forfeited, in whole or in part, may be subject to new Awards without being deemed to exceed such maximum amount;</w:t>
      </w:r>
    </w:p>
    <w:p>
      <w:pPr>
        <w:spacing w:after="0" w:line="150" w:lineRule="exact"/>
        <w:rPr>
          <w:rFonts w:ascii="Calibri" w:cs="Calibri" w:eastAsia="Calibri" w:hAnsi="Calibri"/>
          <w:sz w:val="20"/>
          <w:szCs w:val="20"/>
          <w:color w:val="auto"/>
        </w:rPr>
      </w:pPr>
    </w:p>
    <w:p>
      <w:pPr>
        <w:ind w:left="200" w:right="479" w:firstLine="9"/>
        <w:spacing w:after="0" w:line="242" w:lineRule="auto"/>
        <w:tabs>
          <w:tab w:leader="none" w:pos="848"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Shares that are not issued under an award that is outstanding under the 2000 Stock Plan as of May 2, 2012 because such award expires, is terminated unexercised or is forfeited may be subject to</w:t>
      </w:r>
    </w:p>
    <w:p>
      <w:pPr>
        <w:spacing w:after="0" w:line="20" w:lineRule="exact"/>
        <w:rPr>
          <w:rFonts w:ascii="Calibri" w:cs="Calibri" w:eastAsia="Calibri" w:hAnsi="Calibri"/>
          <w:sz w:val="20"/>
          <w:szCs w:val="20"/>
          <w:color w:val="auto"/>
        </w:rPr>
      </w:pPr>
    </w:p>
    <w:p>
      <w:pPr>
        <w:ind w:left="200" w:right="27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new Awards under this Plan (other than Incentve Stock Optons), without being deemed to exceed such maximum amount;</w:t>
      </w:r>
    </w:p>
    <w:p>
      <w:pPr>
        <w:spacing w:after="0" w:line="171" w:lineRule="exact"/>
        <w:rPr>
          <w:rFonts w:ascii="Calibri" w:cs="Calibri" w:eastAsia="Calibri" w:hAnsi="Calibri"/>
          <w:sz w:val="20"/>
          <w:szCs w:val="20"/>
          <w:color w:val="auto"/>
        </w:rPr>
      </w:pPr>
    </w:p>
    <w:p>
      <w:pPr>
        <w:ind w:left="200" w:right="299" w:firstLine="9"/>
        <w:spacing w:after="0" w:line="244" w:lineRule="auto"/>
        <w:tabs>
          <w:tab w:leader="none" w:pos="848"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Shares subject to any Award granted under this Plan that are not issued because the Commitee has permited the minimum tax obligatons required by law to be withheld in respect of Awards to be paid in whole or in part by shares retained from the Award creatng the tax obligaton, as contemplated by Secton 6(a), may not be subject to new Awards under this Plan; and</w:t>
      </w:r>
    </w:p>
    <w:p>
      <w:pPr>
        <w:spacing w:after="0" w:line="154" w:lineRule="exact"/>
        <w:rPr>
          <w:rFonts w:ascii="Calibri" w:cs="Calibri" w:eastAsia="Calibri" w:hAnsi="Calibri"/>
          <w:sz w:val="20"/>
          <w:szCs w:val="20"/>
          <w:color w:val="auto"/>
        </w:rPr>
      </w:pPr>
    </w:p>
    <w:p>
      <w:pPr>
        <w:ind w:left="200" w:right="319" w:firstLine="9"/>
        <w:spacing w:after="0" w:line="242" w:lineRule="auto"/>
        <w:tabs>
          <w:tab w:leader="none" w:pos="848"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Shares issued under this Plan as a result of the assumpton or substtuton of outstanding grants from an acquired company shall not reduce the number of shares available for issuance under the Plan</w:t>
      </w:r>
    </w:p>
    <w:p>
      <w:pPr>
        <w:spacing w:after="0" w:line="146"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Shares issued under the Plan may consist of authorized but unissued shares or treasury shares</w:t>
      </w:r>
    </w:p>
    <w:p>
      <w:pPr>
        <w:spacing w:after="0" w:line="161" w:lineRule="exact"/>
        <w:rPr>
          <w:sz w:val="20"/>
          <w:szCs w:val="20"/>
          <w:color w:val="auto"/>
        </w:rPr>
      </w:pPr>
    </w:p>
    <w:p>
      <w:pPr>
        <w:ind w:left="520" w:hanging="311"/>
        <w:spacing w:after="0"/>
        <w:tabs>
          <w:tab w:leader="none" w:pos="520" w:val="left"/>
        </w:tabs>
        <w:numPr>
          <w:ilvl w:val="0"/>
          <w:numId w:val="62"/>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Adjustments. </w:t>
      </w:r>
      <w:r>
        <w:rPr>
          <w:rFonts w:ascii="Calibri" w:cs="Calibri" w:eastAsia="Calibri" w:hAnsi="Calibri"/>
          <w:sz w:val="20"/>
          <w:szCs w:val="20"/>
          <w:color w:val="auto"/>
        </w:rPr>
        <w:t>Upon any equity restructuring, whether a stock dividend, recapitalizaton, split-up or</w:t>
      </w:r>
    </w:p>
    <w:p>
      <w:pPr>
        <w:spacing w:after="0" w:line="22" w:lineRule="exact"/>
        <w:rPr>
          <w:rFonts w:ascii="Calibri" w:cs="Calibri" w:eastAsia="Calibri" w:hAnsi="Calibri"/>
          <w:sz w:val="20"/>
          <w:szCs w:val="20"/>
          <w:color w:val="auto"/>
        </w:rPr>
      </w:pPr>
    </w:p>
    <w:p>
      <w:pPr>
        <w:ind w:left="200" w:right="29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combinaton of shares, or otherwise, the number of shares in respect of which Awards may be made under the Plan, the number of shares subject to outstanding Awards, the exercise, purchase or conversion price with respect to any Award, and the limit on individual grants in subsecton 5(c) shall be proportonately adjusted, provided that the number of shares subject to any Award shall always be a</w:t>
      </w:r>
    </w:p>
    <w:p>
      <w:pPr>
        <w:spacing w:after="0" w:line="19" w:lineRule="exact"/>
        <w:rPr>
          <w:rFonts w:ascii="Calibri" w:cs="Calibri" w:eastAsia="Calibri" w:hAnsi="Calibri"/>
          <w:sz w:val="20"/>
          <w:szCs w:val="20"/>
          <w:color w:val="auto"/>
        </w:rPr>
      </w:pPr>
    </w:p>
    <w:p>
      <w:pPr>
        <w:ind w:left="200" w:right="43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whole number. In the event the Commitee determines that any other reorganizaton, recapitalizaton, merger, spin-of or other corporate transacton afects the Common Stock such that an adjustment is required in order to preserve the benefts intended to be provided by the Plan, the Commitee shall equitably adjust any or all of the number and kind of shares in respect of which Awards may be made</w:t>
      </w:r>
    </w:p>
    <w:p>
      <w:pPr>
        <w:spacing w:after="0" w:line="19" w:lineRule="exact"/>
        <w:rPr>
          <w:rFonts w:ascii="Calibri" w:cs="Calibri" w:eastAsia="Calibri" w:hAnsi="Calibri"/>
          <w:sz w:val="20"/>
          <w:szCs w:val="20"/>
          <w:color w:val="auto"/>
        </w:rPr>
      </w:pPr>
    </w:p>
    <w:p>
      <w:pPr>
        <w:ind w:left="200" w:right="29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under the Plan, the number and kind of shares subject to outstanding Awards, the exercise, purchase or conversion price with respect to any Award, and the limit on individual grants in subsecton 5(c), provided that the number of shares subject to any Award shall always be a whole number. If considered appropriate, the Commitee may make provision for a cash payment with respect to all or part of an</w:t>
      </w:r>
    </w:p>
    <w:p>
      <w:pPr>
        <w:spacing w:after="0" w:line="19" w:lineRule="exact"/>
        <w:rPr>
          <w:rFonts w:ascii="Calibri" w:cs="Calibri" w:eastAsia="Calibri" w:hAnsi="Calibri"/>
          <w:sz w:val="20"/>
          <w:szCs w:val="20"/>
          <w:color w:val="auto"/>
        </w:rPr>
      </w:pPr>
    </w:p>
    <w:p>
      <w:pPr>
        <w:jc w:val="both"/>
        <w:ind w:left="200" w:right="379"/>
        <w:spacing w:after="0"/>
        <w:rPr>
          <w:rFonts w:ascii="Calibri" w:cs="Calibri" w:eastAsia="Calibri" w:hAnsi="Calibri"/>
          <w:sz w:val="20"/>
          <w:szCs w:val="20"/>
          <w:color w:val="auto"/>
        </w:rPr>
      </w:pPr>
      <w:r>
        <w:rPr>
          <w:rFonts w:ascii="Calibri" w:cs="Calibri" w:eastAsia="Calibri" w:hAnsi="Calibri"/>
          <w:sz w:val="20"/>
          <w:szCs w:val="20"/>
          <w:color w:val="auto"/>
        </w:rPr>
        <w:t>outstanding Award instead of or in additon to any such adjustment. Any adjustment made pursuant to this subsecton shall be subject, in the case of Incentve Stock Optons, to any limitaton required under the Code.</w:t>
      </w:r>
    </w:p>
    <w:p>
      <w:pPr>
        <w:spacing w:after="0" w:line="162" w:lineRule="exact"/>
        <w:rPr>
          <w:sz w:val="20"/>
          <w:szCs w:val="20"/>
          <w:color w:val="auto"/>
        </w:rPr>
      </w:pPr>
    </w:p>
    <w:p>
      <w:pPr>
        <w:ind w:left="860" w:hanging="651"/>
        <w:spacing w:after="0"/>
        <w:tabs>
          <w:tab w:leader="none" w:pos="860" w:val="left"/>
        </w:tabs>
        <w:numPr>
          <w:ilvl w:val="0"/>
          <w:numId w:val="63"/>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Awards under the Plan</w:t>
      </w:r>
      <w:r>
        <w:rPr>
          <w:rFonts w:ascii="Calibri" w:cs="Calibri" w:eastAsia="Calibri" w:hAnsi="Calibri"/>
          <w:sz w:val="20"/>
          <w:szCs w:val="20"/>
          <w:color w:val="auto"/>
        </w:rPr>
        <w:t>.</w:t>
      </w:r>
    </w:p>
    <w:p>
      <w:pPr>
        <w:spacing w:after="0" w:line="147" w:lineRule="exact"/>
        <w:rPr>
          <w:sz w:val="20"/>
          <w:szCs w:val="20"/>
          <w:color w:val="auto"/>
        </w:rPr>
      </w:pPr>
    </w:p>
    <w:p>
      <w:pPr>
        <w:ind w:left="520" w:hanging="311"/>
        <w:spacing w:after="0"/>
        <w:tabs>
          <w:tab w:leader="none" w:pos="520" w:val="left"/>
        </w:tabs>
        <w:numPr>
          <w:ilvl w:val="0"/>
          <w:numId w:val="64"/>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Types of Awards. </w:t>
      </w:r>
      <w:r>
        <w:rPr>
          <w:rFonts w:ascii="Calibri" w:cs="Calibri" w:eastAsia="Calibri" w:hAnsi="Calibri"/>
          <w:sz w:val="20"/>
          <w:szCs w:val="20"/>
          <w:color w:val="auto"/>
        </w:rPr>
        <w:t>The Commitee may grant Optons, Stock Appreciaton Rights, Restricted Stock,</w:t>
      </w:r>
    </w:p>
    <w:p>
      <w:pPr>
        <w:spacing w:after="0" w:line="22" w:lineRule="exact"/>
        <w:rPr>
          <w:rFonts w:ascii="Calibri" w:cs="Calibri" w:eastAsia="Calibri" w:hAnsi="Calibri"/>
          <w:sz w:val="20"/>
          <w:szCs w:val="20"/>
          <w:color w:val="auto"/>
        </w:rPr>
      </w:pPr>
    </w:p>
    <w:p>
      <w:pPr>
        <w:ind w:left="200" w:right="91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Restricted Stock Units, Stock Equivalents, and Awards of shares of Common Stock, subject to the provisions of Secton 5(b), including the minimum vestng provisions of Secton 5(b)(iv).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373380</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75" w:name="page76"/>
    <w:bookmarkEnd w:id="75"/>
    <w:p>
      <w:pPr>
        <w:ind w:left="200" w:right="679"/>
        <w:spacing w:after="0" w:line="242" w:lineRule="auto"/>
        <w:rPr>
          <w:sz w:val="20"/>
          <w:szCs w:val="20"/>
          <w:color w:val="auto"/>
        </w:rPr>
      </w:pPr>
      <w:r>
        <w:rPr>
          <w:rFonts w:ascii="Calibri" w:cs="Calibri" w:eastAsia="Calibri" w:hAnsi="Calibri"/>
          <w:sz w:val="20"/>
          <w:szCs w:val="20"/>
          <w:color w:val="auto"/>
        </w:rPr>
        <w:t>efectveness of any such grant may be conditoned on the passage of tme, the achievement of any Performance Goals, or the happening of any other event.</w:t>
      </w:r>
    </w:p>
    <w:p>
      <w:pPr>
        <w:spacing w:after="0" w:line="159" w:lineRule="exact"/>
        <w:rPr>
          <w:sz w:val="20"/>
          <w:szCs w:val="20"/>
          <w:color w:val="auto"/>
        </w:rPr>
      </w:pPr>
    </w:p>
    <w:p>
      <w:pPr>
        <w:ind w:left="860" w:hanging="651"/>
        <w:spacing w:after="0"/>
        <w:tabs>
          <w:tab w:leader="none" w:pos="860" w:val="left"/>
        </w:tabs>
        <w:numPr>
          <w:ilvl w:val="0"/>
          <w:numId w:val="65"/>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Terms and Conditons of Awards.</w:t>
      </w:r>
    </w:p>
    <w:p>
      <w:pPr>
        <w:spacing w:after="0" w:line="157" w:lineRule="exact"/>
        <w:rPr>
          <w:sz w:val="20"/>
          <w:szCs w:val="20"/>
          <w:color w:val="auto"/>
        </w:rPr>
      </w:pPr>
    </w:p>
    <w:p>
      <w:pPr>
        <w:ind w:left="200" w:right="519" w:firstLine="9"/>
        <w:spacing w:after="0" w:line="242" w:lineRule="auto"/>
        <w:tabs>
          <w:tab w:leader="none" w:pos="461" w:val="left"/>
        </w:tabs>
        <w:numPr>
          <w:ilvl w:val="0"/>
          <w:numId w:val="66"/>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Partcipants; Terms. </w:t>
      </w:r>
      <w:r>
        <w:rPr>
          <w:rFonts w:ascii="Calibri" w:cs="Calibri" w:eastAsia="Calibri" w:hAnsi="Calibri"/>
          <w:sz w:val="20"/>
          <w:szCs w:val="20"/>
          <w:color w:val="auto"/>
        </w:rPr>
        <w:t>The Commitee shall select the Partcipants to receive Awards and determine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 terms and conditons of each Award. Without limitng the foregoing but subject to the other</w:t>
      </w:r>
    </w:p>
    <w:p>
      <w:pPr>
        <w:spacing w:after="0" w:line="20" w:lineRule="exact"/>
        <w:rPr>
          <w:rFonts w:ascii="Calibri" w:cs="Calibri" w:eastAsia="Calibri" w:hAnsi="Calibri"/>
          <w:sz w:val="20"/>
          <w:szCs w:val="20"/>
          <w:color w:val="auto"/>
        </w:rPr>
      </w:pPr>
    </w:p>
    <w:p>
      <w:pPr>
        <w:ind w:left="200" w:right="27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provisions of the Plan and applicable law, the Commitee shall determine (A) the number of shares of Common Stock subject to each Award or the manner in which such number shall be determined, (B) the price, if any, a Partcipant shall pay to receive or exercise an Award or the manner in which such price shall be determined, (C) the tme or tmes when an Award may vest or be exercised, setled, or</w:t>
      </w:r>
    </w:p>
    <w:p>
      <w:pPr>
        <w:spacing w:after="0" w:line="19" w:lineRule="exact"/>
        <w:rPr>
          <w:rFonts w:ascii="Calibri" w:cs="Calibri" w:eastAsia="Calibri" w:hAnsi="Calibri"/>
          <w:sz w:val="20"/>
          <w:szCs w:val="20"/>
          <w:color w:val="auto"/>
        </w:rPr>
      </w:pPr>
    </w:p>
    <w:p>
      <w:pPr>
        <w:ind w:left="2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transferred, (D) any Performance Goals, restrictons or other conditons to vestng, exercise, setlement, or transferability of an Award, (E) whether an Award may be setled in the form of cash, Common Stock or other securites of the Company, Awards or other property, and the manner of calculatng the amount or value thereof, (F) the duraton of any Restricted Period or any other circumstances in which an Award</w:t>
      </w:r>
    </w:p>
    <w:p>
      <w:pPr>
        <w:spacing w:after="0" w:line="19" w:lineRule="exact"/>
        <w:rPr>
          <w:rFonts w:ascii="Calibri" w:cs="Calibri" w:eastAsia="Calibri" w:hAnsi="Calibri"/>
          <w:sz w:val="20"/>
          <w:szCs w:val="20"/>
          <w:color w:val="auto"/>
        </w:rPr>
      </w:pPr>
    </w:p>
    <w:p>
      <w:pPr>
        <w:ind w:left="200" w:right="23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may be forfeited to the Company, (G) the efect on an Award of the disability, death, retrement or other terminaton of employment or other service of a Partcipant, and (H) the extent to which, and the period during which, the Partcipant or the Partcipant’s legal representatve, guardian or Designated Benefciary may receive payment of an Award or exercise rights thereunder. Except as otherwise</w:t>
      </w:r>
    </w:p>
    <w:p>
      <w:pPr>
        <w:spacing w:after="0" w:line="19" w:lineRule="exact"/>
        <w:rPr>
          <w:rFonts w:ascii="Calibri" w:cs="Calibri" w:eastAsia="Calibri" w:hAnsi="Calibri"/>
          <w:sz w:val="20"/>
          <w:szCs w:val="20"/>
          <w:color w:val="auto"/>
        </w:rPr>
      </w:pPr>
    </w:p>
    <w:p>
      <w:pPr>
        <w:ind w:left="200" w:right="33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provided hereby or in a partcular Award, any determinaton or acton with respect to an Award may be made or taken by the Commitee at the tme of grant or at any tme thereafer.</w:t>
      </w:r>
    </w:p>
    <w:p>
      <w:pPr>
        <w:spacing w:after="0" w:line="171" w:lineRule="exact"/>
        <w:rPr>
          <w:rFonts w:ascii="Calibri" w:cs="Calibri" w:eastAsia="Calibri" w:hAnsi="Calibri"/>
          <w:sz w:val="20"/>
          <w:szCs w:val="20"/>
          <w:color w:val="auto"/>
        </w:rPr>
      </w:pPr>
    </w:p>
    <w:p>
      <w:pPr>
        <w:ind w:left="200" w:right="319" w:firstLine="9"/>
        <w:spacing w:after="0" w:line="244" w:lineRule="auto"/>
        <w:tabs>
          <w:tab w:leader="none" w:pos="507" w:val="left"/>
        </w:tabs>
        <w:numPr>
          <w:ilvl w:val="0"/>
          <w:numId w:val="66"/>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Optons and Stock Appreciaton Rights. </w:t>
      </w:r>
      <w:r>
        <w:rPr>
          <w:rFonts w:ascii="Calibri" w:cs="Calibri" w:eastAsia="Calibri" w:hAnsi="Calibri"/>
          <w:sz w:val="20"/>
          <w:szCs w:val="20"/>
          <w:color w:val="auto"/>
        </w:rPr>
        <w:t>Incentve Stock Optons may only be granted to persons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eligible to receive such Optons under the Code. The exercise price for any Opton or Stock Appreciaton Right shall not be less than 100% of the Fair Market Value of the Common Stock on the Date of Grant; provided that Optons granted in substtuton for optons granted by a former employer to persons who</w:t>
      </w:r>
    </w:p>
    <w:p>
      <w:pPr>
        <w:spacing w:after="0" w:line="19" w:lineRule="exact"/>
        <w:rPr>
          <w:rFonts w:ascii="Calibri" w:cs="Calibri" w:eastAsia="Calibri" w:hAnsi="Calibri"/>
          <w:sz w:val="20"/>
          <w:szCs w:val="20"/>
          <w:color w:val="auto"/>
        </w:rPr>
      </w:pPr>
    </w:p>
    <w:p>
      <w:pPr>
        <w:ind w:left="200" w:right="39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become eligible to receive Awards hereunder as a result of a transacton described in Secton 424(a) of the Code may, consistent with such Secton, have a lower exercise price. No Opton or Stock Appreciaton Right shall have a term longer than seven (7) years. No Incentve Stock Opton may be granted more than ten years afer the Efectve Date. The Commitee shall determine the manner of</w:t>
      </w:r>
    </w:p>
    <w:p>
      <w:pPr>
        <w:spacing w:after="0" w:line="19" w:lineRule="exact"/>
        <w:rPr>
          <w:rFonts w:ascii="Calibri" w:cs="Calibri" w:eastAsia="Calibri" w:hAnsi="Calibri"/>
          <w:sz w:val="20"/>
          <w:szCs w:val="20"/>
          <w:color w:val="auto"/>
        </w:rPr>
      </w:pPr>
    </w:p>
    <w:p>
      <w:pPr>
        <w:ind w:left="200" w:right="99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calculatng the excess in value of the shares of Common Stock over the exercise price of a Stock Appreciaton Right.</w:t>
      </w:r>
    </w:p>
    <w:p>
      <w:pPr>
        <w:spacing w:after="0" w:line="162" w:lineRule="exact"/>
        <w:rPr>
          <w:rFonts w:ascii="Calibri" w:cs="Calibri" w:eastAsia="Calibri" w:hAnsi="Calibri"/>
          <w:sz w:val="20"/>
          <w:szCs w:val="20"/>
          <w:color w:val="auto"/>
        </w:rPr>
      </w:pPr>
    </w:p>
    <w:p>
      <w:pPr>
        <w:ind w:left="560" w:hanging="351"/>
        <w:spacing w:after="0"/>
        <w:tabs>
          <w:tab w:leader="none" w:pos="560" w:val="left"/>
        </w:tabs>
        <w:numPr>
          <w:ilvl w:val="0"/>
          <w:numId w:val="66"/>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Restricted Stock and Restricted Stock Units. </w:t>
      </w:r>
      <w:r>
        <w:rPr>
          <w:rFonts w:ascii="Calibri" w:cs="Calibri" w:eastAsia="Calibri" w:hAnsi="Calibri"/>
          <w:sz w:val="20"/>
          <w:szCs w:val="20"/>
          <w:color w:val="auto"/>
        </w:rPr>
        <w:t>Shares of Restricted Stock and shares subject to</w:t>
      </w:r>
    </w:p>
    <w:p>
      <w:pPr>
        <w:spacing w:after="0" w:line="22" w:lineRule="exact"/>
        <w:rPr>
          <w:rFonts w:ascii="Calibri" w:cs="Calibri" w:eastAsia="Calibri" w:hAnsi="Calibri"/>
          <w:sz w:val="20"/>
          <w:szCs w:val="20"/>
          <w:color w:val="auto"/>
        </w:rPr>
      </w:pPr>
    </w:p>
    <w:p>
      <w:pPr>
        <w:ind w:left="200" w:right="259"/>
        <w:spacing w:after="0"/>
        <w:rPr>
          <w:rFonts w:ascii="Calibri" w:cs="Calibri" w:eastAsia="Calibri" w:hAnsi="Calibri"/>
          <w:sz w:val="20"/>
          <w:szCs w:val="20"/>
          <w:color w:val="auto"/>
        </w:rPr>
      </w:pPr>
      <w:r>
        <w:rPr>
          <w:rFonts w:ascii="Calibri" w:cs="Calibri" w:eastAsia="Calibri" w:hAnsi="Calibri"/>
          <w:sz w:val="20"/>
          <w:szCs w:val="20"/>
          <w:color w:val="auto"/>
        </w:rPr>
        <w:t>Restricted Stock Units may not be sold, assigned, transferred, pledged or otherwise encumbered, except as permited by the Commitee, during the applicable Restricted Period. Restricted Stock Units may be setled in shares of Common Stock or cash as determined by the Commitee.</w:t>
      </w:r>
    </w:p>
    <w:p>
      <w:pPr>
        <w:spacing w:after="0" w:line="158" w:lineRule="exact"/>
        <w:rPr>
          <w:rFonts w:ascii="Calibri" w:cs="Calibri" w:eastAsia="Calibri" w:hAnsi="Calibri"/>
          <w:sz w:val="20"/>
          <w:szCs w:val="20"/>
          <w:color w:val="auto"/>
        </w:rPr>
      </w:pPr>
    </w:p>
    <w:p>
      <w:pPr>
        <w:ind w:left="200" w:right="479" w:firstLine="9"/>
        <w:spacing w:after="0" w:line="242" w:lineRule="auto"/>
        <w:tabs>
          <w:tab w:leader="none" w:pos="552" w:val="left"/>
        </w:tabs>
        <w:numPr>
          <w:ilvl w:val="0"/>
          <w:numId w:val="66"/>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Minimum Vestng Requirements. </w:t>
      </w:r>
      <w:r>
        <w:rPr>
          <w:rFonts w:ascii="Calibri" w:cs="Calibri" w:eastAsia="Calibri" w:hAnsi="Calibri"/>
          <w:sz w:val="20"/>
          <w:szCs w:val="20"/>
          <w:color w:val="auto"/>
        </w:rPr>
        <w:t>Notwithstanding Sectons 5(b)(i) or Secton 6(e), with respect to</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Awards to any grant recipient:</w:t>
      </w:r>
    </w:p>
    <w:p>
      <w:pPr>
        <w:spacing w:after="0" w:line="169" w:lineRule="exact"/>
        <w:rPr>
          <w:rFonts w:ascii="Calibri" w:cs="Calibri" w:eastAsia="Calibri" w:hAnsi="Calibri"/>
          <w:sz w:val="20"/>
          <w:szCs w:val="20"/>
          <w:color w:val="auto"/>
        </w:rPr>
      </w:pPr>
    </w:p>
    <w:p>
      <w:pPr>
        <w:ind w:left="1500" w:right="399" w:hanging="319"/>
        <w:spacing w:after="0"/>
        <w:tabs>
          <w:tab w:leader="none" w:pos="1500" w:val="left"/>
        </w:tabs>
        <w:numPr>
          <w:ilvl w:val="1"/>
          <w:numId w:val="66"/>
        </w:numPr>
        <w:rPr>
          <w:rFonts w:ascii="Calibri" w:cs="Calibri" w:eastAsia="Calibri" w:hAnsi="Calibri"/>
          <w:sz w:val="20"/>
          <w:szCs w:val="20"/>
          <w:color w:val="auto"/>
        </w:rPr>
      </w:pPr>
      <w:r>
        <w:rPr>
          <w:rFonts w:ascii="Calibri" w:cs="Calibri" w:eastAsia="Calibri" w:hAnsi="Calibri"/>
          <w:sz w:val="20"/>
          <w:szCs w:val="20"/>
          <w:color w:val="auto"/>
        </w:rPr>
        <w:t>the frst vestng, setlement, or lapse of forfeiture restrictons that is solely based on contnued employment, service or the passage of tme shall occur not sooner than one year afer the date of grant; and</w:t>
      </w:r>
    </w:p>
    <w:p>
      <w:pPr>
        <w:spacing w:after="0" w:line="266" w:lineRule="exact"/>
        <w:rPr>
          <w:rFonts w:ascii="Calibri" w:cs="Calibri" w:eastAsia="Calibri" w:hAnsi="Calibri"/>
          <w:sz w:val="20"/>
          <w:szCs w:val="20"/>
          <w:color w:val="auto"/>
        </w:rPr>
      </w:pPr>
    </w:p>
    <w:p>
      <w:pPr>
        <w:ind w:left="1500" w:right="299" w:hanging="319"/>
        <w:spacing w:after="0" w:line="234" w:lineRule="auto"/>
        <w:tabs>
          <w:tab w:leader="none" w:pos="1500" w:val="left"/>
        </w:tabs>
        <w:numPr>
          <w:ilvl w:val="1"/>
          <w:numId w:val="66"/>
        </w:numPr>
        <w:rPr>
          <w:rFonts w:ascii="Calibri" w:cs="Calibri" w:eastAsia="Calibri" w:hAnsi="Calibri"/>
          <w:sz w:val="20"/>
          <w:szCs w:val="20"/>
          <w:color w:val="auto"/>
        </w:rPr>
      </w:pPr>
      <w:r>
        <w:rPr>
          <w:rFonts w:ascii="Calibri" w:cs="Calibri" w:eastAsia="Calibri" w:hAnsi="Calibri"/>
          <w:sz w:val="20"/>
          <w:szCs w:val="20"/>
          <w:color w:val="auto"/>
        </w:rPr>
        <w:t>in the case of employee grant recipients, the completon of vestng, setlement, or lapse of forfeiture restrictons that is solely based on contnued employment, service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373380</wp:posOffset>
            </wp:positionV>
            <wp:extent cx="545211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76" w:name="page77"/>
    <w:bookmarkEnd w:id="76"/>
    <w:p>
      <w:pPr>
        <w:ind w:left="1500" w:right="639"/>
        <w:spacing w:after="0" w:line="242" w:lineRule="auto"/>
        <w:rPr>
          <w:sz w:val="20"/>
          <w:szCs w:val="20"/>
          <w:color w:val="auto"/>
        </w:rPr>
      </w:pPr>
      <w:r>
        <w:rPr>
          <w:rFonts w:ascii="Calibri" w:cs="Calibri" w:eastAsia="Calibri" w:hAnsi="Calibri"/>
          <w:sz w:val="20"/>
          <w:szCs w:val="20"/>
          <w:color w:val="auto"/>
        </w:rPr>
        <w:t>passage of tme shall occur over not less than four years from the date of grant with respect to the full number of shares subject to such Award; and</w:t>
      </w:r>
    </w:p>
    <w:p>
      <w:pPr>
        <w:spacing w:after="0" w:line="156" w:lineRule="exact"/>
        <w:rPr>
          <w:sz w:val="20"/>
          <w:szCs w:val="20"/>
          <w:color w:val="auto"/>
        </w:rPr>
      </w:pPr>
    </w:p>
    <w:p>
      <w:pPr>
        <w:ind w:left="1180" w:right="419" w:firstLine="1"/>
        <w:spacing w:after="0" w:line="242" w:lineRule="auto"/>
        <w:tabs>
          <w:tab w:leader="none" w:pos="1504" w:val="left"/>
        </w:tabs>
        <w:numPr>
          <w:ilvl w:val="0"/>
          <w:numId w:val="67"/>
        </w:numPr>
        <w:rPr>
          <w:rFonts w:ascii="Calibri" w:cs="Calibri" w:eastAsia="Calibri" w:hAnsi="Calibri"/>
          <w:sz w:val="20"/>
          <w:szCs w:val="20"/>
          <w:color w:val="auto"/>
        </w:rPr>
      </w:pPr>
      <w:r>
        <w:rPr>
          <w:rFonts w:ascii="Calibri" w:cs="Calibri" w:eastAsia="Calibri" w:hAnsi="Calibri"/>
          <w:sz w:val="20"/>
          <w:szCs w:val="20"/>
          <w:color w:val="auto"/>
        </w:rPr>
        <w:t>vestng, setlement, or lapse of forfeiture restrictons that is based on the achievement of Performance Goals shall occur based on a Performance Period of at least one year;</w:t>
      </w:r>
    </w:p>
    <w:p>
      <w:pPr>
        <w:spacing w:after="0" w:line="146"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provided that the foregoing limitatons shall not:</w:t>
      </w:r>
    </w:p>
    <w:p>
      <w:pPr>
        <w:spacing w:after="0" w:line="171" w:lineRule="exact"/>
        <w:rPr>
          <w:sz w:val="20"/>
          <w:szCs w:val="20"/>
          <w:color w:val="auto"/>
        </w:rPr>
      </w:pPr>
    </w:p>
    <w:p>
      <w:pPr>
        <w:ind w:left="200" w:right="379" w:firstLine="9"/>
        <w:spacing w:after="0" w:line="234" w:lineRule="auto"/>
        <w:tabs>
          <w:tab w:leader="none" w:pos="471" w:val="left"/>
        </w:tabs>
        <w:numPr>
          <w:ilvl w:val="0"/>
          <w:numId w:val="68"/>
        </w:numPr>
        <w:rPr>
          <w:rFonts w:ascii="Calibri" w:cs="Calibri" w:eastAsia="Calibri" w:hAnsi="Calibri"/>
          <w:sz w:val="20"/>
          <w:szCs w:val="20"/>
          <w:color w:val="auto"/>
        </w:rPr>
      </w:pPr>
      <w:r>
        <w:rPr>
          <w:rFonts w:ascii="Calibri" w:cs="Calibri" w:eastAsia="Calibri" w:hAnsi="Calibri"/>
          <w:sz w:val="20"/>
          <w:szCs w:val="20"/>
          <w:color w:val="auto"/>
        </w:rPr>
        <w:t>apply to Awards under this Plan that do not exceed an aggregate of 5% of the Awards authorized by this Plan;</w:t>
      </w:r>
    </w:p>
    <w:p>
      <w:pPr>
        <w:spacing w:after="0" w:line="162" w:lineRule="exact"/>
        <w:rPr>
          <w:rFonts w:ascii="Calibri" w:cs="Calibri" w:eastAsia="Calibri" w:hAnsi="Calibri"/>
          <w:sz w:val="20"/>
          <w:szCs w:val="20"/>
          <w:color w:val="auto"/>
        </w:rPr>
      </w:pPr>
    </w:p>
    <w:p>
      <w:pPr>
        <w:ind w:left="480" w:hanging="271"/>
        <w:spacing w:after="0"/>
        <w:tabs>
          <w:tab w:leader="none" w:pos="480" w:val="left"/>
        </w:tabs>
        <w:numPr>
          <w:ilvl w:val="0"/>
          <w:numId w:val="68"/>
        </w:numPr>
        <w:rPr>
          <w:rFonts w:ascii="Calibri" w:cs="Calibri" w:eastAsia="Calibri" w:hAnsi="Calibri"/>
          <w:sz w:val="20"/>
          <w:szCs w:val="20"/>
          <w:color w:val="auto"/>
        </w:rPr>
      </w:pPr>
      <w:r>
        <w:rPr>
          <w:rFonts w:ascii="Calibri" w:cs="Calibri" w:eastAsia="Calibri" w:hAnsi="Calibri"/>
          <w:sz w:val="20"/>
          <w:szCs w:val="20"/>
          <w:color w:val="auto"/>
        </w:rPr>
        <w:t>apply to vestng, setlement, or lapse of forfeiture restrictons in connecton with the terminaton of</w:t>
      </w:r>
    </w:p>
    <w:p>
      <w:pPr>
        <w:spacing w:after="0" w:line="22" w:lineRule="exact"/>
        <w:rPr>
          <w:rFonts w:ascii="Calibri" w:cs="Calibri" w:eastAsia="Calibri" w:hAnsi="Calibri"/>
          <w:sz w:val="20"/>
          <w:szCs w:val="20"/>
          <w:color w:val="auto"/>
        </w:rPr>
      </w:pPr>
    </w:p>
    <w:p>
      <w:pPr>
        <w:ind w:left="200" w:right="21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employment or other service of a Partcipant by the Company or due to the Partcipant’s disability, death or retrement;</w:t>
      </w:r>
    </w:p>
    <w:p>
      <w:pPr>
        <w:spacing w:after="0" w:line="171" w:lineRule="exact"/>
        <w:rPr>
          <w:rFonts w:ascii="Calibri" w:cs="Calibri" w:eastAsia="Calibri" w:hAnsi="Calibri"/>
          <w:sz w:val="20"/>
          <w:szCs w:val="20"/>
          <w:color w:val="auto"/>
        </w:rPr>
      </w:pPr>
    </w:p>
    <w:p>
      <w:pPr>
        <w:ind w:left="200" w:right="299" w:firstLine="54"/>
        <w:spacing w:after="0" w:line="234" w:lineRule="auto"/>
        <w:tabs>
          <w:tab w:leader="none" w:pos="517"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preclude the Commitee from exercising its discreton to accelerate the vestng of any Award upon a Transacton as contemplated by Secton 5(b)(viii); or</w:t>
      </w:r>
    </w:p>
    <w:p>
      <w:pPr>
        <w:spacing w:after="0" w:line="162" w:lineRule="exact"/>
        <w:rPr>
          <w:rFonts w:ascii="Calibri" w:cs="Calibri" w:eastAsia="Calibri" w:hAnsi="Calibri"/>
          <w:sz w:val="20"/>
          <w:szCs w:val="20"/>
          <w:color w:val="auto"/>
        </w:rPr>
      </w:pPr>
    </w:p>
    <w:p>
      <w:pPr>
        <w:ind w:left="520" w:hanging="266"/>
        <w:spacing w:after="0"/>
        <w:tabs>
          <w:tab w:leader="none" w:pos="520" w:val="left"/>
        </w:tabs>
        <w:numPr>
          <w:ilvl w:val="1"/>
          <w:numId w:val="68"/>
        </w:numPr>
        <w:rPr>
          <w:rFonts w:ascii="Calibri" w:cs="Calibri" w:eastAsia="Calibri" w:hAnsi="Calibri"/>
          <w:sz w:val="20"/>
          <w:szCs w:val="20"/>
          <w:color w:val="auto"/>
        </w:rPr>
      </w:pPr>
      <w:r>
        <w:rPr>
          <w:rFonts w:ascii="Calibri" w:cs="Calibri" w:eastAsia="Calibri" w:hAnsi="Calibri"/>
          <w:sz w:val="20"/>
          <w:szCs w:val="20"/>
          <w:color w:val="auto"/>
        </w:rPr>
        <w:t>apply to Awards that are granted in exchange for (or in lieu of) the right to receive the payment of an</w:t>
      </w:r>
    </w:p>
    <w:p>
      <w:pPr>
        <w:spacing w:after="0" w:line="22" w:lineRule="exact"/>
        <w:rPr>
          <w:rFonts w:ascii="Calibri" w:cs="Calibri" w:eastAsia="Calibri" w:hAnsi="Calibri"/>
          <w:sz w:val="20"/>
          <w:szCs w:val="20"/>
          <w:color w:val="auto"/>
        </w:rPr>
      </w:pPr>
    </w:p>
    <w:p>
      <w:pPr>
        <w:ind w:left="200" w:right="37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equivalent amount of salary, bonus or other cash compensaton, provided that such payment has been fully earned prior to the grant of such Awards.</w:t>
      </w:r>
    </w:p>
    <w:p>
      <w:pPr>
        <w:spacing w:after="0" w:line="162" w:lineRule="exact"/>
        <w:rPr>
          <w:sz w:val="20"/>
          <w:szCs w:val="20"/>
          <w:color w:val="auto"/>
        </w:rPr>
      </w:pPr>
    </w:p>
    <w:p>
      <w:pPr>
        <w:ind w:left="520" w:hanging="311"/>
        <w:spacing w:after="0"/>
        <w:tabs>
          <w:tab w:leader="none" w:pos="520" w:val="left"/>
        </w:tabs>
        <w:numPr>
          <w:ilvl w:val="0"/>
          <w:numId w:val="69"/>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Payment of Exercise Price. </w:t>
      </w:r>
      <w:r>
        <w:rPr>
          <w:rFonts w:ascii="Calibri" w:cs="Calibri" w:eastAsia="Calibri" w:hAnsi="Calibri"/>
          <w:sz w:val="20"/>
          <w:szCs w:val="20"/>
          <w:color w:val="auto"/>
        </w:rPr>
        <w:t>The Commitee shall determine the form of consideraton and manner of</w:t>
      </w:r>
    </w:p>
    <w:p>
      <w:pPr>
        <w:spacing w:after="0" w:line="22" w:lineRule="exact"/>
        <w:rPr>
          <w:rFonts w:ascii="Calibri" w:cs="Calibri" w:eastAsia="Calibri" w:hAnsi="Calibri"/>
          <w:sz w:val="20"/>
          <w:szCs w:val="20"/>
          <w:color w:val="auto"/>
        </w:rPr>
      </w:pPr>
    </w:p>
    <w:p>
      <w:pPr>
        <w:ind w:left="200" w:right="25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payment of the exercise price, if any, of any Award. Without limitng the foregoing, the Commitee may, subject to applicable law, permit such payment to be made in whole or in part in cash or by surrender of shares of Common Stock (which may be shares retained from the respectve Award or any other Award) valued at their Fair Market Value on the date of surrender, or such other lawful consideraton, including</w:t>
      </w:r>
    </w:p>
    <w:p>
      <w:pPr>
        <w:spacing w:after="0" w:line="19" w:lineRule="exact"/>
        <w:rPr>
          <w:rFonts w:ascii="Calibri" w:cs="Calibri" w:eastAsia="Calibri" w:hAnsi="Calibri"/>
          <w:sz w:val="20"/>
          <w:szCs w:val="20"/>
          <w:color w:val="auto"/>
        </w:rPr>
      </w:pPr>
    </w:p>
    <w:p>
      <w:pPr>
        <w:ind w:left="200" w:right="43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a payment commitment of a fnancial or brokerage insttuton, as the Commitee may determine. The Company may accept, in lieu of actual delivery of stock certfcates, an atestaton by the Partcipant in form acceptable to the Commitee that he or she owns of record the shares to be tendered free and clear of claims and other encumbrances.</w:t>
      </w:r>
    </w:p>
    <w:p>
      <w:pPr>
        <w:spacing w:after="0" w:line="154" w:lineRule="exact"/>
        <w:rPr>
          <w:rFonts w:ascii="Calibri" w:cs="Calibri" w:eastAsia="Calibri" w:hAnsi="Calibri"/>
          <w:sz w:val="20"/>
          <w:szCs w:val="20"/>
          <w:color w:val="auto"/>
        </w:rPr>
      </w:pPr>
    </w:p>
    <w:p>
      <w:pPr>
        <w:jc w:val="both"/>
        <w:ind w:left="200" w:right="419" w:firstLine="9"/>
        <w:spacing w:after="0" w:line="242" w:lineRule="auto"/>
        <w:tabs>
          <w:tab w:leader="none" w:pos="552" w:val="left"/>
        </w:tabs>
        <w:numPr>
          <w:ilvl w:val="0"/>
          <w:numId w:val="69"/>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Dividends. </w:t>
      </w:r>
      <w:r>
        <w:rPr>
          <w:rFonts w:ascii="Calibri" w:cs="Calibri" w:eastAsia="Calibri" w:hAnsi="Calibri"/>
          <w:sz w:val="20"/>
          <w:szCs w:val="20"/>
          <w:color w:val="auto"/>
        </w:rPr>
        <w:t>In the discreton of the Commitee, any Award may provide that dividends or dividend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equivalents on shares of Common Stock underlying the Award may be credited to the Partcipant prior</w:t>
      </w:r>
    </w:p>
    <w:p>
      <w:pPr>
        <w:spacing w:after="0" w:line="20" w:lineRule="exact"/>
        <w:rPr>
          <w:rFonts w:ascii="Calibri" w:cs="Calibri" w:eastAsia="Calibri" w:hAnsi="Calibri"/>
          <w:sz w:val="20"/>
          <w:szCs w:val="20"/>
          <w:color w:val="auto"/>
        </w:rPr>
      </w:pPr>
    </w:p>
    <w:p>
      <w:pPr>
        <w:ind w:left="200" w:right="37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to the issuance of such shares of Common Stock upon vestng, or upon vestng and exercise, if applicable. However, such dividends or dividend equivalents may be paid to the Partcipant (in cash, in shares of Common Stock, or in the form of Awards under the Plan, as specifed by the Commitee) with or without interest as determined by the Commitee only if, when and to the extent such Award vests</w:t>
      </w:r>
    </w:p>
    <w:p>
      <w:pPr>
        <w:spacing w:after="0" w:line="19" w:lineRule="exact"/>
        <w:rPr>
          <w:rFonts w:ascii="Calibri" w:cs="Calibri" w:eastAsia="Calibri" w:hAnsi="Calibri"/>
          <w:sz w:val="20"/>
          <w:szCs w:val="20"/>
          <w:color w:val="auto"/>
        </w:rPr>
      </w:pPr>
    </w:p>
    <w:p>
      <w:pPr>
        <w:ind w:left="200" w:right="259"/>
        <w:spacing w:after="0"/>
        <w:rPr>
          <w:rFonts w:ascii="Calibri" w:cs="Calibri" w:eastAsia="Calibri" w:hAnsi="Calibri"/>
          <w:sz w:val="20"/>
          <w:szCs w:val="20"/>
          <w:color w:val="auto"/>
        </w:rPr>
      </w:pPr>
      <w:r>
        <w:rPr>
          <w:rFonts w:ascii="Calibri" w:cs="Calibri" w:eastAsia="Calibri" w:hAnsi="Calibri"/>
          <w:sz w:val="20"/>
          <w:szCs w:val="20"/>
          <w:color w:val="auto"/>
        </w:rPr>
        <w:t>and shares of Common Stock are issued upon vestng or upon vestng and exercise, if applicable. The value of dividends or other distributons credited with respect to shares of Common Stock underlying an Award that are not issued prior to the expiraton of the Award shall be forfeited.</w:t>
      </w:r>
    </w:p>
    <w:p>
      <w:pPr>
        <w:spacing w:after="0" w:line="172" w:lineRule="exact"/>
        <w:rPr>
          <w:rFonts w:ascii="Calibri" w:cs="Calibri" w:eastAsia="Calibri" w:hAnsi="Calibri"/>
          <w:sz w:val="20"/>
          <w:szCs w:val="20"/>
          <w:color w:val="auto"/>
        </w:rPr>
      </w:pPr>
    </w:p>
    <w:p>
      <w:pPr>
        <w:ind w:left="200" w:right="259" w:firstLine="9"/>
        <w:spacing w:after="0" w:line="246" w:lineRule="auto"/>
        <w:tabs>
          <w:tab w:leader="none" w:pos="599" w:val="left"/>
        </w:tabs>
        <w:numPr>
          <w:ilvl w:val="0"/>
          <w:numId w:val="69"/>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Terminaton and Forfeiture. </w:t>
      </w:r>
      <w:r>
        <w:rPr>
          <w:rFonts w:ascii="Calibri" w:cs="Calibri" w:eastAsia="Calibri" w:hAnsi="Calibri"/>
          <w:sz w:val="20"/>
          <w:szCs w:val="20"/>
          <w:color w:val="auto"/>
        </w:rPr>
        <w:t>The terms of any Award may include such contnuing provisions for</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terminaton of the Award and/or forfeiture or recapture of any shares, cash or other property previously issued pursuant thereto relatng to competton or other actvity or circumstances detrimental to the Company as the Commitee may determine to be in the Company’s best interests. Without limitng the foregoing, the terms of any Award shall be subject to, and shall be deemed automatcally amended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77" w:name="page78"/>
    <w:bookmarkEnd w:id="77"/>
    <w:p>
      <w:pPr>
        <w:ind w:left="200" w:right="299"/>
        <w:spacing w:after="0" w:line="242" w:lineRule="auto"/>
        <w:rPr>
          <w:sz w:val="20"/>
          <w:szCs w:val="20"/>
          <w:color w:val="auto"/>
        </w:rPr>
      </w:pPr>
      <w:r>
        <w:rPr>
          <w:rFonts w:ascii="Calibri" w:cs="Calibri" w:eastAsia="Calibri" w:hAnsi="Calibri"/>
          <w:sz w:val="20"/>
          <w:szCs w:val="20"/>
          <w:color w:val="auto"/>
        </w:rPr>
        <w:t>incorporate, any “clawback,” “recapture,” or similar policy adopted by the Company and in efect before or afer the grant of such Award.</w:t>
      </w:r>
    </w:p>
    <w:p>
      <w:pPr>
        <w:spacing w:after="0" w:line="169" w:lineRule="exact"/>
        <w:rPr>
          <w:sz w:val="20"/>
          <w:szCs w:val="20"/>
          <w:color w:val="auto"/>
        </w:rPr>
      </w:pPr>
    </w:p>
    <w:p>
      <w:pPr>
        <w:ind w:left="200" w:right="279" w:firstLine="9"/>
        <w:spacing w:after="0" w:line="244" w:lineRule="auto"/>
        <w:tabs>
          <w:tab w:leader="none" w:pos="645" w:val="left"/>
        </w:tabs>
        <w:numPr>
          <w:ilvl w:val="0"/>
          <w:numId w:val="70"/>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Certain Extraordinary Transactons. </w:t>
      </w:r>
      <w:r>
        <w:rPr>
          <w:rFonts w:ascii="Calibri" w:cs="Calibri" w:eastAsia="Calibri" w:hAnsi="Calibri"/>
          <w:sz w:val="20"/>
          <w:szCs w:val="20"/>
          <w:color w:val="auto"/>
        </w:rPr>
        <w:t>The Commitee may in its discreton provide, at the tme of</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grant or at any tme thereafer, that in the case of any recapitalizaton, stock acquisiton, merger, consolidaton or other form of corporate transacton in which a company other than the Company is the surviving, contnuing, successor or purchasing entty (a “Transacton”), the surviving, contnuing,</w:t>
      </w:r>
    </w:p>
    <w:p>
      <w:pPr>
        <w:spacing w:after="0" w:line="19" w:lineRule="exact"/>
        <w:rPr>
          <w:rFonts w:ascii="Calibri" w:cs="Calibri" w:eastAsia="Calibri" w:hAnsi="Calibri"/>
          <w:sz w:val="20"/>
          <w:szCs w:val="20"/>
          <w:color w:val="auto"/>
        </w:rPr>
      </w:pPr>
    </w:p>
    <w:p>
      <w:pPr>
        <w:ind w:left="200" w:right="25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successor or purchasing entty or a parent or subsidiary of such entty may, without the consent of the Partcipant, assume the Company’s rights and obligatons under any Award or porton thereof outstanding immediately before the Transacton or substtute for any such outstanding Award or porton thereof a substantally equivalent award with respect to such entty’s own stock or other property or</w:t>
      </w:r>
    </w:p>
    <w:p>
      <w:pPr>
        <w:spacing w:after="0" w:line="19" w:lineRule="exact"/>
        <w:rPr>
          <w:rFonts w:ascii="Calibri" w:cs="Calibri" w:eastAsia="Calibri" w:hAnsi="Calibri"/>
          <w:sz w:val="20"/>
          <w:szCs w:val="20"/>
          <w:color w:val="auto"/>
        </w:rPr>
      </w:pPr>
    </w:p>
    <w:p>
      <w:pPr>
        <w:ind w:left="200" w:right="25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cash, in either case with equitable adjustments in the number and type of shares or other assets subject to the Awards and the exercise, purchase or conversion price with respect to any Award, in light of the consideraton received by the Company’s stockholders in the Transacton. Any such Award that is not so assumed or substtuted for shall terminate upon the consummaton of such Transacton on such terms,</w:t>
      </w:r>
    </w:p>
    <w:p>
      <w:pPr>
        <w:spacing w:after="0" w:line="19" w:lineRule="exact"/>
        <w:rPr>
          <w:rFonts w:ascii="Calibri" w:cs="Calibri" w:eastAsia="Calibri" w:hAnsi="Calibri"/>
          <w:sz w:val="20"/>
          <w:szCs w:val="20"/>
          <w:color w:val="auto"/>
        </w:rPr>
      </w:pPr>
    </w:p>
    <w:p>
      <w:pPr>
        <w:ind w:left="200" w:right="25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if any, as the Commitee shall provide. Notwithstanding the foregoing, if the stockholders of the Company receive consideraton that is all or predominantly cash in exchange for their shares of common Stock in a Transacton, then, in order to preserve the Partcipants’ rights under outstanding Awards, the Commitee shall, without the need for consent of any Partcipant, either (A) cause any unexercisable or</w:t>
      </w:r>
    </w:p>
    <w:p>
      <w:pPr>
        <w:spacing w:after="0" w:line="19" w:lineRule="exact"/>
        <w:rPr>
          <w:rFonts w:ascii="Calibri" w:cs="Calibri" w:eastAsia="Calibri" w:hAnsi="Calibri"/>
          <w:sz w:val="20"/>
          <w:szCs w:val="20"/>
          <w:color w:val="auto"/>
        </w:rPr>
      </w:pPr>
    </w:p>
    <w:p>
      <w:pPr>
        <w:ind w:left="200" w:right="69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unvested porton of an Award outstanding immediately before the Transacton to become fully exercisable and vested prior to such Transacton (but efectve only on consummaton of the Transacton), and any Optons and Stock Appreciaton Rights that have not been exercised as of the consummaton of the Transacton shall thereupon terminate or (B) provide for payment to the</w:t>
      </w:r>
    </w:p>
    <w:p>
      <w:pPr>
        <w:spacing w:after="0" w:line="19" w:lineRule="exact"/>
        <w:rPr>
          <w:rFonts w:ascii="Calibri" w:cs="Calibri" w:eastAsia="Calibri" w:hAnsi="Calibri"/>
          <w:sz w:val="20"/>
          <w:szCs w:val="20"/>
          <w:color w:val="auto"/>
        </w:rPr>
      </w:pPr>
    </w:p>
    <w:p>
      <w:pPr>
        <w:ind w:left="200" w:right="23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Partcipant of cash, stock of another entty party to the Transacton, or other property with a Fair Market Value equal to the amount, if any, that would have been received upon the vestng, exercise, setlement, or transferability of the Award had any unexercisable or unvested porton of the Award become fully exercisable and vested and the Award been exercised or paid in connecton with the Transacton,</w:t>
      </w:r>
    </w:p>
    <w:p>
      <w:pPr>
        <w:spacing w:after="0" w:line="19" w:lineRule="exact"/>
        <w:rPr>
          <w:rFonts w:ascii="Calibri" w:cs="Calibri" w:eastAsia="Calibri" w:hAnsi="Calibri"/>
          <w:sz w:val="20"/>
          <w:szCs w:val="20"/>
          <w:color w:val="auto"/>
        </w:rPr>
      </w:pPr>
    </w:p>
    <w:p>
      <w:pPr>
        <w:ind w:left="200" w:right="4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reduced (but not below zero) by the exercise or purchase price per share, if any, under such Award, whereupon the Award shall terminate. If any porton of such consideraton may be received by Company’s stockholders in the Transacton on a contngent or delayed basis, the Commitee may, in its sole discreton, determine such Fair Market Value per share as of the tme of the Transacton on the</w:t>
      </w:r>
    </w:p>
    <w:p>
      <w:pPr>
        <w:spacing w:after="0" w:line="19" w:lineRule="exact"/>
        <w:rPr>
          <w:rFonts w:ascii="Calibri" w:cs="Calibri" w:eastAsia="Calibri" w:hAnsi="Calibri"/>
          <w:sz w:val="20"/>
          <w:szCs w:val="20"/>
          <w:color w:val="auto"/>
        </w:rPr>
      </w:pPr>
    </w:p>
    <w:p>
      <w:pPr>
        <w:ind w:left="200" w:right="67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basis of the Commitee’s good faith estmate of the present value of the probable amount of future payment of such consideraton.</w:t>
      </w:r>
    </w:p>
    <w:p>
      <w:pPr>
        <w:spacing w:after="0" w:line="172" w:lineRule="exact"/>
        <w:rPr>
          <w:sz w:val="20"/>
          <w:szCs w:val="20"/>
          <w:color w:val="auto"/>
        </w:rPr>
      </w:pPr>
    </w:p>
    <w:p>
      <w:pPr>
        <w:ind w:left="200" w:right="599"/>
        <w:spacing w:after="0"/>
        <w:rPr>
          <w:sz w:val="20"/>
          <w:szCs w:val="20"/>
          <w:color w:val="auto"/>
        </w:rPr>
      </w:pPr>
      <w:r>
        <w:rPr>
          <w:rFonts w:ascii="Calibri" w:cs="Calibri" w:eastAsia="Calibri" w:hAnsi="Calibri"/>
          <w:sz w:val="20"/>
          <w:szCs w:val="20"/>
          <w:color w:val="auto"/>
        </w:rPr>
        <w:t>In the event of a recapitalizaton, stock acquisiton, merger, consolidaton or other form of corporate transacton in which the Company is the surviving, contnuing, successor or purchasing entty, the Commitee may make equitable adjustments to outstanding Awards pursuant to Secton 4(b).</w:t>
      </w:r>
    </w:p>
    <w:p>
      <w:pPr>
        <w:spacing w:after="0" w:line="172" w:lineRule="exact"/>
        <w:rPr>
          <w:sz w:val="20"/>
          <w:szCs w:val="20"/>
          <w:color w:val="auto"/>
        </w:rPr>
      </w:pPr>
    </w:p>
    <w:p>
      <w:pPr>
        <w:jc w:val="both"/>
        <w:ind w:left="200" w:right="759" w:firstLine="9"/>
        <w:spacing w:after="0" w:line="244" w:lineRule="auto"/>
        <w:tabs>
          <w:tab w:leader="none" w:pos="549" w:val="left"/>
        </w:tabs>
        <w:numPr>
          <w:ilvl w:val="0"/>
          <w:numId w:val="71"/>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Documentaton. </w:t>
      </w:r>
      <w:r>
        <w:rPr>
          <w:rFonts w:ascii="Calibri" w:cs="Calibri" w:eastAsia="Calibri" w:hAnsi="Calibri"/>
          <w:sz w:val="20"/>
          <w:szCs w:val="20"/>
          <w:color w:val="auto"/>
        </w:rPr>
        <w:t>Each Award under the Plan shall be evidenced by documentaton in the form</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prescribed from tme to tme by the Commitee and delivered to or executed and delivered by the Partcipant specifying the terms and conditons of the Award and con</w:t>
      </w:r>
      <w:r>
        <w:rPr>
          <w:rFonts w:ascii="Calibri" w:cs="Calibri" w:eastAsia="Calibri" w:hAnsi="Calibri"/>
          <w:sz w:val="20"/>
          <w:szCs w:val="20"/>
          <w:i w:val="1"/>
          <w:iCs w:val="1"/>
          <w:color w:val="auto"/>
        </w:rPr>
        <w:t>t</w:t>
      </w:r>
      <w:r>
        <w:rPr>
          <w:rFonts w:ascii="Calibri" w:cs="Calibri" w:eastAsia="Calibri" w:hAnsi="Calibri"/>
          <w:sz w:val="20"/>
          <w:szCs w:val="20"/>
          <w:color w:val="auto"/>
        </w:rPr>
        <w:t>aining such other terms and conditons not inconsistent with the provisions hereof as the Commitee considers necessary or</w:t>
      </w:r>
    </w:p>
    <w:p>
      <w:pPr>
        <w:spacing w:after="0" w:line="19" w:lineRule="exact"/>
        <w:rPr>
          <w:rFonts w:ascii="Calibri" w:cs="Calibri" w:eastAsia="Calibri" w:hAnsi="Calibri"/>
          <w:sz w:val="20"/>
          <w:szCs w:val="20"/>
          <w:color w:val="auto"/>
        </w:rPr>
      </w:pPr>
    </w:p>
    <w:p>
      <w:pPr>
        <w:ind w:left="200" w:right="107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advisable to achieve the purposes of the Plan or to comply with applicable law and accountng principles. Any such documentaton may be maintained solely in electronic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373380</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78" w:name="page79"/>
    <w:bookmarkEnd w:id="78"/>
    <w:p>
      <w:pPr>
        <w:ind w:left="200" w:right="359" w:firstLine="9"/>
        <w:spacing w:after="0" w:line="247" w:lineRule="auto"/>
        <w:tabs>
          <w:tab w:leader="none" w:pos="502" w:val="left"/>
        </w:tabs>
        <w:numPr>
          <w:ilvl w:val="0"/>
          <w:numId w:val="72"/>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In General. </w:t>
      </w:r>
      <w:r>
        <w:rPr>
          <w:rFonts w:ascii="Calibri" w:cs="Calibri" w:eastAsia="Calibri" w:hAnsi="Calibri"/>
          <w:sz w:val="20"/>
          <w:szCs w:val="20"/>
          <w:color w:val="auto"/>
        </w:rPr>
        <w:t>Any Award may be made alone, in additon to, or in relaton to any other Award.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terms of Awards of each type need not be identcal, and the Commitee need not treat Partcipants uniformly. No Award shall be transferable except upon such terms and conditons and to such extent as</w:t>
      </w:r>
    </w:p>
    <w:p>
      <w:pPr>
        <w:spacing w:after="0" w:line="15" w:lineRule="exact"/>
        <w:rPr>
          <w:rFonts w:ascii="Calibri" w:cs="Calibri" w:eastAsia="Calibri" w:hAnsi="Calibri"/>
          <w:sz w:val="20"/>
          <w:szCs w:val="20"/>
          <w:color w:val="auto"/>
        </w:rPr>
      </w:pPr>
    </w:p>
    <w:p>
      <w:pPr>
        <w:ind w:left="200" w:right="43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the Commitee determines, provided that no Award shall be transferable for value and Incentve Stock Optons may be transferable only to the extent permited by the Code. No Award to any Partcipant subject to United States income taxaton shall provide for the deferral of compensaton that does not comply with Secton 409A of the Code. The achievement or satsfacton of any Performance Goals,</w:t>
      </w:r>
    </w:p>
    <w:p>
      <w:pPr>
        <w:spacing w:after="0" w:line="19" w:lineRule="exact"/>
        <w:rPr>
          <w:rFonts w:ascii="Calibri" w:cs="Calibri" w:eastAsia="Calibri" w:hAnsi="Calibri"/>
          <w:sz w:val="20"/>
          <w:szCs w:val="20"/>
          <w:color w:val="auto"/>
        </w:rPr>
      </w:pPr>
    </w:p>
    <w:p>
      <w:pPr>
        <w:ind w:left="200" w:right="49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restrictons or other conditons to vestng, exercise, setlement, or transferability of an Award shall be determined by the Commitee.</w:t>
      </w:r>
    </w:p>
    <w:p>
      <w:pPr>
        <w:spacing w:after="0" w:line="162" w:lineRule="exact"/>
        <w:rPr>
          <w:sz w:val="20"/>
          <w:szCs w:val="20"/>
          <w:color w:val="auto"/>
        </w:rPr>
      </w:pPr>
    </w:p>
    <w:p>
      <w:pPr>
        <w:ind w:left="500" w:hanging="291"/>
        <w:spacing w:after="0"/>
        <w:tabs>
          <w:tab w:leader="none" w:pos="500" w:val="left"/>
        </w:tabs>
        <w:numPr>
          <w:ilvl w:val="0"/>
          <w:numId w:val="73"/>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Limit on Individual Grants. </w:t>
      </w:r>
      <w:r>
        <w:rPr>
          <w:rFonts w:ascii="Calibri" w:cs="Calibri" w:eastAsia="Calibri" w:hAnsi="Calibri"/>
          <w:sz w:val="20"/>
          <w:szCs w:val="20"/>
          <w:color w:val="auto"/>
        </w:rPr>
        <w:t>The maximum number of shares of Common Stock subject to Optons,</w:t>
      </w:r>
    </w:p>
    <w:p>
      <w:pPr>
        <w:spacing w:after="0" w:line="22" w:lineRule="exact"/>
        <w:rPr>
          <w:rFonts w:ascii="Calibri" w:cs="Calibri" w:eastAsia="Calibri" w:hAnsi="Calibri"/>
          <w:sz w:val="20"/>
          <w:szCs w:val="20"/>
          <w:color w:val="auto"/>
        </w:rPr>
      </w:pPr>
    </w:p>
    <w:p>
      <w:pPr>
        <w:ind w:left="200" w:right="299"/>
        <w:spacing w:after="0" w:line="246" w:lineRule="auto"/>
        <w:rPr>
          <w:rFonts w:ascii="Calibri" w:cs="Calibri" w:eastAsia="Calibri" w:hAnsi="Calibri"/>
          <w:sz w:val="20"/>
          <w:szCs w:val="20"/>
          <w:color w:val="auto"/>
        </w:rPr>
      </w:pPr>
      <w:r>
        <w:rPr>
          <w:rFonts w:ascii="Calibri" w:cs="Calibri" w:eastAsia="Calibri" w:hAnsi="Calibri"/>
          <w:sz w:val="20"/>
          <w:szCs w:val="20"/>
          <w:color w:val="auto"/>
        </w:rPr>
        <w:t>Stock Appreciaton Rights and other Awards intended to satsfy the requirements for “performance-based compensaton” within the meaning of Secton 162(m) of the Code that may be granted to a Partcipant in any fscal year may not exceed 312,500 shares, subject to adjustment under subsecton 4(b). In the case of any performance-based Awards setled in cash, no more than $1,000,000 may be paid to any Partcipant with respect to any one year of a Performance Period.</w:t>
      </w:r>
    </w:p>
    <w:p>
      <w:pPr>
        <w:spacing w:after="0" w:line="143" w:lineRule="exact"/>
        <w:rPr>
          <w:sz w:val="20"/>
          <w:szCs w:val="20"/>
          <w:color w:val="auto"/>
        </w:rPr>
      </w:pPr>
    </w:p>
    <w:p>
      <w:pPr>
        <w:ind w:left="860" w:hanging="651"/>
        <w:spacing w:after="0"/>
        <w:tabs>
          <w:tab w:leader="none" w:pos="860" w:val="left"/>
        </w:tabs>
        <w:numPr>
          <w:ilvl w:val="0"/>
          <w:numId w:val="74"/>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General Provisions</w:t>
      </w:r>
      <w:r>
        <w:rPr>
          <w:rFonts w:ascii="Calibri" w:cs="Calibri" w:eastAsia="Calibri" w:hAnsi="Calibri"/>
          <w:sz w:val="20"/>
          <w:szCs w:val="20"/>
          <w:color w:val="auto"/>
        </w:rPr>
        <w:t>.</w:t>
      </w:r>
    </w:p>
    <w:p>
      <w:pPr>
        <w:spacing w:after="0" w:line="157" w:lineRule="exact"/>
        <w:rPr>
          <w:sz w:val="20"/>
          <w:szCs w:val="20"/>
          <w:color w:val="auto"/>
        </w:rPr>
      </w:pPr>
    </w:p>
    <w:p>
      <w:pPr>
        <w:ind w:left="200" w:right="279" w:firstLine="9"/>
        <w:spacing w:after="0" w:line="247" w:lineRule="auto"/>
        <w:tabs>
          <w:tab w:leader="none" w:pos="511" w:val="left"/>
        </w:tabs>
        <w:numPr>
          <w:ilvl w:val="0"/>
          <w:numId w:val="75"/>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Tax Withholding. </w:t>
      </w:r>
      <w:r>
        <w:rPr>
          <w:rFonts w:ascii="Calibri" w:cs="Calibri" w:eastAsia="Calibri" w:hAnsi="Calibri"/>
          <w:sz w:val="20"/>
          <w:szCs w:val="20"/>
          <w:color w:val="auto"/>
        </w:rPr>
        <w:t>A Partcipant shall pay to the Company or make provision satsfactory to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Commitee for payment of any taxes required by law to be withheld in respect of Awards under the Plan no later than the date of the event creatng the tax liability. The Company and its Afliates may, to the</w:t>
      </w:r>
    </w:p>
    <w:p>
      <w:pPr>
        <w:spacing w:after="0" w:line="15" w:lineRule="exact"/>
        <w:rPr>
          <w:rFonts w:ascii="Calibri" w:cs="Calibri" w:eastAsia="Calibri" w:hAnsi="Calibri"/>
          <w:sz w:val="20"/>
          <w:szCs w:val="20"/>
          <w:color w:val="auto"/>
        </w:rPr>
      </w:pPr>
    </w:p>
    <w:p>
      <w:pPr>
        <w:ind w:left="200" w:right="259"/>
        <w:spacing w:after="0" w:line="246" w:lineRule="auto"/>
        <w:rPr>
          <w:rFonts w:ascii="Calibri" w:cs="Calibri" w:eastAsia="Calibri" w:hAnsi="Calibri"/>
          <w:sz w:val="20"/>
          <w:szCs w:val="20"/>
          <w:color w:val="auto"/>
        </w:rPr>
      </w:pPr>
      <w:r>
        <w:rPr>
          <w:rFonts w:ascii="Calibri" w:cs="Calibri" w:eastAsia="Calibri" w:hAnsi="Calibri"/>
          <w:sz w:val="20"/>
          <w:szCs w:val="20"/>
          <w:color w:val="auto"/>
        </w:rPr>
        <w:t>extent permited by law, deduct any such tax obligatons from any payment of any kind due to the Partcipant under the Plan or otherwise. In the Commitee’s discreton, the minimum tax obligatons required by law to be withheld in respect of Awards may be paid in whole or in part in shares of Common Stock, including shares retained from the Award creatng the tax obligaton, valued at their Fair Market Value on the date of retenton or delivery.</w:t>
      </w:r>
    </w:p>
    <w:p>
      <w:pPr>
        <w:spacing w:after="0" w:line="152" w:lineRule="exact"/>
        <w:rPr>
          <w:rFonts w:ascii="Calibri" w:cs="Calibri" w:eastAsia="Calibri" w:hAnsi="Calibri"/>
          <w:sz w:val="20"/>
          <w:szCs w:val="20"/>
          <w:color w:val="auto"/>
        </w:rPr>
      </w:pPr>
    </w:p>
    <w:p>
      <w:pPr>
        <w:jc w:val="both"/>
        <w:ind w:left="200" w:right="319" w:firstLine="9"/>
        <w:spacing w:after="0" w:line="242" w:lineRule="auto"/>
        <w:tabs>
          <w:tab w:leader="none" w:pos="521" w:val="left"/>
        </w:tabs>
        <w:numPr>
          <w:ilvl w:val="0"/>
          <w:numId w:val="75"/>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Legal Compliance. </w:t>
      </w:r>
      <w:r>
        <w:rPr>
          <w:rFonts w:ascii="Calibri" w:cs="Calibri" w:eastAsia="Calibri" w:hAnsi="Calibri"/>
          <w:sz w:val="20"/>
          <w:szCs w:val="20"/>
          <w:color w:val="auto"/>
        </w:rPr>
        <w:t>The Company shall not be required to issue any shares of Common Stock or take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any other acton pursuant to the Plan unless the Company is satsfed that all requirements of law, or of</w:t>
      </w:r>
    </w:p>
    <w:p>
      <w:pPr>
        <w:spacing w:after="0" w:line="20" w:lineRule="exact"/>
        <w:rPr>
          <w:rFonts w:ascii="Calibri" w:cs="Calibri" w:eastAsia="Calibri" w:hAnsi="Calibri"/>
          <w:sz w:val="20"/>
          <w:szCs w:val="20"/>
          <w:color w:val="auto"/>
        </w:rPr>
      </w:pPr>
    </w:p>
    <w:p>
      <w:pPr>
        <w:ind w:left="200" w:right="219"/>
        <w:spacing w:after="0"/>
        <w:rPr>
          <w:rFonts w:ascii="Calibri" w:cs="Calibri" w:eastAsia="Calibri" w:hAnsi="Calibri"/>
          <w:sz w:val="20"/>
          <w:szCs w:val="20"/>
          <w:color w:val="auto"/>
        </w:rPr>
      </w:pPr>
      <w:r>
        <w:rPr>
          <w:rFonts w:ascii="Calibri" w:cs="Calibri" w:eastAsia="Calibri" w:hAnsi="Calibri"/>
          <w:sz w:val="20"/>
          <w:szCs w:val="20"/>
          <w:color w:val="auto"/>
        </w:rPr>
        <w:t>any stock exchange on which the Common Stock is then listed, in connecton therewith have been or will be complied with, and the Commitee may impose any restrictons on the rights of Partcipants hereunder as it shall deem necessary or advisable to comply with any such requirements.</w:t>
      </w:r>
    </w:p>
    <w:p>
      <w:pPr>
        <w:spacing w:after="0" w:line="158" w:lineRule="exact"/>
        <w:rPr>
          <w:rFonts w:ascii="Calibri" w:cs="Calibri" w:eastAsia="Calibri" w:hAnsi="Calibri"/>
          <w:sz w:val="20"/>
          <w:szCs w:val="20"/>
          <w:color w:val="auto"/>
        </w:rPr>
      </w:pPr>
    </w:p>
    <w:p>
      <w:pPr>
        <w:ind w:left="200" w:right="479" w:firstLine="9"/>
        <w:spacing w:after="0" w:line="247" w:lineRule="auto"/>
        <w:tabs>
          <w:tab w:leader="none" w:pos="500" w:val="left"/>
        </w:tabs>
        <w:numPr>
          <w:ilvl w:val="0"/>
          <w:numId w:val="75"/>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Non-US Partcipants. </w:t>
      </w:r>
      <w:r>
        <w:rPr>
          <w:rFonts w:ascii="Calibri" w:cs="Calibri" w:eastAsia="Calibri" w:hAnsi="Calibri"/>
          <w:sz w:val="20"/>
          <w:szCs w:val="20"/>
          <w:color w:val="auto"/>
        </w:rPr>
        <w:t>Awards may be made to Partcipants who are non-US natonals or employed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outside the United States on such terms and conditons diferent from those specifed herein as the Commitee considers necessary or advisable to achieve the purposes of the Plan or to comply with</w:t>
      </w:r>
    </w:p>
    <w:p>
      <w:pPr>
        <w:spacing w:after="0" w:line="15" w:lineRule="exact"/>
        <w:rPr>
          <w:rFonts w:ascii="Calibri" w:cs="Calibri" w:eastAsia="Calibri" w:hAnsi="Calibri"/>
          <w:sz w:val="20"/>
          <w:szCs w:val="20"/>
          <w:color w:val="auto"/>
        </w:rPr>
      </w:pPr>
    </w:p>
    <w:p>
      <w:pPr>
        <w:ind w:left="200" w:right="49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applicable laws. To the extent necessary or desirable, the Commitee may adopt sub-plans under this Plan, addressing Awards to non-US natonals or employees.</w:t>
      </w:r>
    </w:p>
    <w:p>
      <w:pPr>
        <w:spacing w:after="0" w:line="162" w:lineRule="exact"/>
        <w:rPr>
          <w:rFonts w:ascii="Calibri" w:cs="Calibri" w:eastAsia="Calibri" w:hAnsi="Calibri"/>
          <w:sz w:val="20"/>
          <w:szCs w:val="20"/>
          <w:color w:val="auto"/>
        </w:rPr>
      </w:pPr>
    </w:p>
    <w:p>
      <w:pPr>
        <w:ind w:left="520" w:hanging="311"/>
        <w:spacing w:after="0"/>
        <w:tabs>
          <w:tab w:leader="none" w:pos="520" w:val="left"/>
        </w:tabs>
        <w:numPr>
          <w:ilvl w:val="0"/>
          <w:numId w:val="75"/>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Awards Not Includable for Beneft Purposes. </w:t>
      </w:r>
      <w:r>
        <w:rPr>
          <w:rFonts w:ascii="Calibri" w:cs="Calibri" w:eastAsia="Calibri" w:hAnsi="Calibri"/>
          <w:sz w:val="20"/>
          <w:szCs w:val="20"/>
          <w:color w:val="auto"/>
        </w:rPr>
        <w:t>Awards and other payments received by a Partcipant</w:t>
      </w:r>
    </w:p>
    <w:p>
      <w:pPr>
        <w:spacing w:after="0" w:line="22" w:lineRule="exact"/>
        <w:rPr>
          <w:rFonts w:ascii="Calibri" w:cs="Calibri" w:eastAsia="Calibri" w:hAnsi="Calibri"/>
          <w:sz w:val="20"/>
          <w:szCs w:val="20"/>
          <w:color w:val="auto"/>
        </w:rPr>
      </w:pPr>
    </w:p>
    <w:p>
      <w:pPr>
        <w:ind w:left="200" w:right="25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pursuant to the provisions of the Plan shall not be included in the determinaton of benefts under any pension, group insurance or other beneft plan applicable to the Partcipant which is maintained by the Company or any of its Afliates, except as may be provided under the terms of such plans or determined by the Board.</w:t>
      </w:r>
    </w:p>
    <w:p>
      <w:pPr>
        <w:spacing w:after="0" w:line="144" w:lineRule="exact"/>
        <w:rPr>
          <w:rFonts w:ascii="Calibri" w:cs="Calibri" w:eastAsia="Calibri" w:hAnsi="Calibri"/>
          <w:sz w:val="20"/>
          <w:szCs w:val="20"/>
          <w:color w:val="auto"/>
        </w:rPr>
      </w:pPr>
    </w:p>
    <w:p>
      <w:pPr>
        <w:ind w:left="520" w:hanging="311"/>
        <w:spacing w:after="0"/>
        <w:tabs>
          <w:tab w:leader="none" w:pos="520" w:val="left"/>
        </w:tabs>
        <w:numPr>
          <w:ilvl w:val="0"/>
          <w:numId w:val="75"/>
        </w:numPr>
        <w:rPr>
          <w:rFonts w:ascii="Calibri" w:cs="Calibri" w:eastAsia="Calibri" w:hAnsi="Calibri"/>
          <w:sz w:val="20"/>
          <w:szCs w:val="20"/>
          <w:color w:val="auto"/>
        </w:rPr>
      </w:pPr>
      <w:r>
        <w:rPr>
          <w:rFonts w:ascii="Calibri" w:cs="Calibri" w:eastAsia="Calibri" w:hAnsi="Calibri"/>
          <w:sz w:val="20"/>
          <w:szCs w:val="20"/>
          <w:i w:val="1"/>
          <w:iCs w:val="1"/>
          <w:color w:val="auto"/>
        </w:rPr>
        <w:t>Amendment, Exchange and Repurchase of Awards</w:t>
      </w: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79" w:name="page80"/>
    <w:bookmarkEnd w:id="79"/>
    <w:p>
      <w:pPr>
        <w:ind w:left="200" w:right="479" w:firstLine="9"/>
        <w:spacing w:after="0" w:line="247" w:lineRule="auto"/>
        <w:tabs>
          <w:tab w:leader="none" w:pos="848" w:val="left"/>
        </w:tabs>
        <w:numPr>
          <w:ilvl w:val="0"/>
          <w:numId w:val="76"/>
        </w:numPr>
        <w:rPr>
          <w:rFonts w:ascii="Calibri" w:cs="Calibri" w:eastAsia="Calibri" w:hAnsi="Calibri"/>
          <w:sz w:val="20"/>
          <w:szCs w:val="20"/>
          <w:color w:val="auto"/>
        </w:rPr>
      </w:pPr>
      <w:r>
        <w:rPr>
          <w:rFonts w:ascii="Calibri" w:cs="Calibri" w:eastAsia="Calibri" w:hAnsi="Calibri"/>
          <w:sz w:val="20"/>
          <w:szCs w:val="20"/>
          <w:color w:val="auto"/>
        </w:rPr>
        <w:t>Subject to clauses (ii) and (iii) below, the Commitee may amend, modify or terminate any outstanding Award, including without limitaton changing the dates of vestng, exercise or setlement, causing the Award to be assumed by another entty, and substtutng therefor another Award of the</w:t>
      </w:r>
    </w:p>
    <w:p>
      <w:pPr>
        <w:spacing w:after="0" w:line="15" w:lineRule="exact"/>
        <w:rPr>
          <w:rFonts w:ascii="Calibri" w:cs="Calibri" w:eastAsia="Calibri" w:hAnsi="Calibri"/>
          <w:sz w:val="20"/>
          <w:szCs w:val="20"/>
          <w:color w:val="auto"/>
        </w:rPr>
      </w:pPr>
    </w:p>
    <w:p>
      <w:pPr>
        <w:ind w:left="200" w:right="37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same or a diferent type, provided that the Partcipant’s consent to such acton shall be required unless the terms of this Plan or the Award permit such acton, the Commitee determines that such acton is required by law or stock exchange rule, or the Commitee determines that the acton, taking into account any related acton, would not materially and adversely afect the Partcipant.</w:t>
      </w:r>
    </w:p>
    <w:p>
      <w:pPr>
        <w:spacing w:after="0" w:line="154" w:lineRule="exact"/>
        <w:rPr>
          <w:rFonts w:ascii="Calibri" w:cs="Calibri" w:eastAsia="Calibri" w:hAnsi="Calibri"/>
          <w:sz w:val="20"/>
          <w:szCs w:val="20"/>
          <w:color w:val="auto"/>
        </w:rPr>
      </w:pPr>
    </w:p>
    <w:p>
      <w:pPr>
        <w:ind w:left="200" w:right="339" w:firstLine="9"/>
        <w:spacing w:after="0" w:line="248" w:lineRule="auto"/>
        <w:tabs>
          <w:tab w:leader="none" w:pos="848" w:val="left"/>
        </w:tabs>
        <w:numPr>
          <w:ilvl w:val="0"/>
          <w:numId w:val="76"/>
        </w:numPr>
        <w:rPr>
          <w:rFonts w:ascii="Calibri" w:cs="Calibri" w:eastAsia="Calibri" w:hAnsi="Calibri"/>
          <w:sz w:val="20"/>
          <w:szCs w:val="20"/>
          <w:color w:val="auto"/>
        </w:rPr>
      </w:pPr>
      <w:r>
        <w:rPr>
          <w:rFonts w:ascii="Calibri" w:cs="Calibri" w:eastAsia="Calibri" w:hAnsi="Calibri"/>
          <w:sz w:val="20"/>
          <w:szCs w:val="20"/>
          <w:color w:val="auto"/>
        </w:rPr>
        <w:t>Notwithstanding the atainment of Performance Goals in the case of any Award intended to satsfy the requirements for “performance-based compensaton” within the meaning of Secton 162(m) of the Code, the Commitee may reduce (but not increase) the amount payable at a given level of performance to take into account additonal factors that the Commitee may deem relevant.</w:t>
      </w:r>
    </w:p>
    <w:p>
      <w:pPr>
        <w:spacing w:after="0" w:line="142" w:lineRule="exact"/>
        <w:rPr>
          <w:rFonts w:ascii="Calibri" w:cs="Calibri" w:eastAsia="Calibri" w:hAnsi="Calibri"/>
          <w:sz w:val="20"/>
          <w:szCs w:val="20"/>
          <w:color w:val="auto"/>
        </w:rPr>
      </w:pPr>
    </w:p>
    <w:p>
      <w:pPr>
        <w:ind w:left="860" w:hanging="651"/>
        <w:spacing w:after="0"/>
        <w:tabs>
          <w:tab w:leader="none" w:pos="860" w:val="left"/>
        </w:tabs>
        <w:numPr>
          <w:ilvl w:val="0"/>
          <w:numId w:val="76"/>
        </w:numPr>
        <w:rPr>
          <w:rFonts w:ascii="Calibri" w:cs="Calibri" w:eastAsia="Calibri" w:hAnsi="Calibri"/>
          <w:sz w:val="20"/>
          <w:szCs w:val="20"/>
          <w:color w:val="auto"/>
        </w:rPr>
      </w:pPr>
      <w:r>
        <w:rPr>
          <w:rFonts w:ascii="Calibri" w:cs="Calibri" w:eastAsia="Calibri" w:hAnsi="Calibri"/>
          <w:sz w:val="20"/>
          <w:szCs w:val="20"/>
          <w:color w:val="auto"/>
        </w:rPr>
        <w:t>The foregoing notwithstanding, without further approval of the stockholders of the Company,</w:t>
      </w:r>
    </w:p>
    <w:p>
      <w:pPr>
        <w:spacing w:after="0" w:line="12" w:lineRule="exact"/>
        <w:rPr>
          <w:rFonts w:ascii="Calibri" w:cs="Calibri" w:eastAsia="Calibri" w:hAnsi="Calibri"/>
          <w:sz w:val="20"/>
          <w:szCs w:val="20"/>
          <w:color w:val="auto"/>
        </w:rPr>
      </w:pPr>
    </w:p>
    <w:p>
      <w:pPr>
        <w:ind w:left="200"/>
        <w:spacing w:after="0"/>
        <w:rPr>
          <w:rFonts w:ascii="Calibri" w:cs="Calibri" w:eastAsia="Calibri" w:hAnsi="Calibri"/>
          <w:sz w:val="20"/>
          <w:szCs w:val="20"/>
          <w:color w:val="auto"/>
        </w:rPr>
      </w:pPr>
      <w:r>
        <w:rPr>
          <w:rFonts w:ascii="Calibri" w:cs="Calibri" w:eastAsia="Calibri" w:hAnsi="Calibri"/>
          <w:sz w:val="20"/>
          <w:szCs w:val="20"/>
          <w:color w:val="auto"/>
        </w:rPr>
        <w:t>(A) the Commitee shall not authorize the amendment of any outstanding Opton or Stock Appreciaton</w:t>
      </w:r>
    </w:p>
    <w:p>
      <w:pPr>
        <w:spacing w:after="0" w:line="22" w:lineRule="exact"/>
        <w:rPr>
          <w:rFonts w:ascii="Calibri" w:cs="Calibri" w:eastAsia="Calibri" w:hAnsi="Calibri"/>
          <w:sz w:val="20"/>
          <w:szCs w:val="20"/>
          <w:color w:val="auto"/>
        </w:rPr>
      </w:pPr>
    </w:p>
    <w:p>
      <w:pPr>
        <w:ind w:left="200" w:right="37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Right to reduce the exercise price, (B) no Opton or Stock Appreciaton Right shall be canceled and replaced with an Award exercisable for Common Stock at a lower exercise price, and (C) no Award shall be canceled in exchange for a cash payment from the Company to the Award owner, except under the limited circumstances described above in Secton 5(b)(viii) relatng to Transactons.</w:t>
      </w:r>
    </w:p>
    <w:p>
      <w:pPr>
        <w:spacing w:after="0" w:line="145" w:lineRule="exact"/>
        <w:rPr>
          <w:sz w:val="20"/>
          <w:szCs w:val="20"/>
          <w:color w:val="auto"/>
        </w:rPr>
      </w:pPr>
    </w:p>
    <w:p>
      <w:pPr>
        <w:ind w:left="860" w:hanging="651"/>
        <w:spacing w:after="0"/>
        <w:tabs>
          <w:tab w:leader="none" w:pos="860" w:val="left"/>
        </w:tabs>
        <w:numPr>
          <w:ilvl w:val="0"/>
          <w:numId w:val="77"/>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 xml:space="preserve">Certain Defnitons. </w:t>
      </w:r>
      <w:r>
        <w:rPr>
          <w:rFonts w:ascii="Calibri" w:cs="Calibri" w:eastAsia="Calibri" w:hAnsi="Calibri"/>
          <w:sz w:val="20"/>
          <w:szCs w:val="20"/>
          <w:color w:val="auto"/>
        </w:rPr>
        <w:t>As used in this Plan:</w:t>
      </w:r>
    </w:p>
    <w:p>
      <w:pPr>
        <w:spacing w:after="0" w:line="171" w:lineRule="exact"/>
        <w:rPr>
          <w:sz w:val="20"/>
          <w:szCs w:val="20"/>
          <w:color w:val="auto"/>
        </w:rPr>
      </w:pPr>
    </w:p>
    <w:p>
      <w:pPr>
        <w:ind w:left="200" w:right="459"/>
        <w:spacing w:after="0" w:line="234" w:lineRule="auto"/>
        <w:rPr>
          <w:sz w:val="20"/>
          <w:szCs w:val="20"/>
          <w:color w:val="auto"/>
        </w:rPr>
      </w:pPr>
      <w:r>
        <w:rPr>
          <w:rFonts w:ascii="Calibri" w:cs="Calibri" w:eastAsia="Calibri" w:hAnsi="Calibri"/>
          <w:sz w:val="20"/>
          <w:szCs w:val="20"/>
          <w:color w:val="auto"/>
        </w:rPr>
        <w:t>“Afliate” means any business entty in which the Company owns directly or indirectly 50% or more of the total votng power or has a signifcant fnancial interest as determined by the Commitee.</w:t>
      </w:r>
    </w:p>
    <w:p>
      <w:pPr>
        <w:spacing w:after="0" w:line="172" w:lineRule="exact"/>
        <w:rPr>
          <w:sz w:val="20"/>
          <w:szCs w:val="20"/>
          <w:color w:val="auto"/>
        </w:rPr>
      </w:pPr>
    </w:p>
    <w:p>
      <w:pPr>
        <w:ind w:left="200" w:right="799"/>
        <w:spacing w:after="0" w:line="234" w:lineRule="auto"/>
        <w:rPr>
          <w:sz w:val="20"/>
          <w:szCs w:val="20"/>
          <w:color w:val="auto"/>
        </w:rPr>
      </w:pPr>
      <w:r>
        <w:rPr>
          <w:rFonts w:ascii="Calibri" w:cs="Calibri" w:eastAsia="Calibri" w:hAnsi="Calibri"/>
          <w:sz w:val="20"/>
          <w:szCs w:val="20"/>
          <w:color w:val="auto"/>
        </w:rPr>
        <w:t>“Award” means any award of shares of Common Stock or right with respect to shares described in Secton 5(a).</w:t>
      </w:r>
    </w:p>
    <w:p>
      <w:pPr>
        <w:spacing w:after="0" w:line="162"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“Board” means the Board of Directors of the Company.</w:t>
      </w:r>
    </w:p>
    <w:p>
      <w:pPr>
        <w:spacing w:after="0" w:line="147"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“Code” means the Internal Revenue Code of 1986, as amended from tme to tme, or any successor law.</w:t>
      </w:r>
    </w:p>
    <w:p>
      <w:pPr>
        <w:spacing w:after="0" w:line="171" w:lineRule="exact"/>
        <w:rPr>
          <w:sz w:val="20"/>
          <w:szCs w:val="20"/>
          <w:color w:val="auto"/>
        </w:rPr>
      </w:pPr>
    </w:p>
    <w:p>
      <w:pPr>
        <w:ind w:left="200" w:right="319"/>
        <w:spacing w:after="0"/>
        <w:rPr>
          <w:sz w:val="20"/>
          <w:szCs w:val="20"/>
          <w:color w:val="auto"/>
        </w:rPr>
      </w:pPr>
      <w:r>
        <w:rPr>
          <w:rFonts w:ascii="Calibri" w:cs="Calibri" w:eastAsia="Calibri" w:hAnsi="Calibri"/>
          <w:sz w:val="20"/>
          <w:szCs w:val="20"/>
          <w:color w:val="auto"/>
        </w:rPr>
        <w:t>“Commitee” means one or more commitees appointed by the Board to administer the Plan or a specifed porton thereof. Each such commitee shall be comprised of not less than two members of the Board who shall meet such criteria as the Board may specify from tme to tme.</w:t>
      </w:r>
    </w:p>
    <w:p>
      <w:pPr>
        <w:spacing w:after="0" w:line="162"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“Common Stock” means the Common Stock, $0.001 par value of the Company.</w:t>
      </w:r>
    </w:p>
    <w:p>
      <w:pPr>
        <w:spacing w:after="0" w:line="147"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“Company” means Axcelis Technologies, Inc., a Delaware corporaton.</w:t>
      </w:r>
    </w:p>
    <w:p>
      <w:pPr>
        <w:spacing w:after="0" w:line="147"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“Covered Employee” means a “covered employee” within the meaning of Secton 162(m) of the Code.</w:t>
      </w:r>
    </w:p>
    <w:p>
      <w:pPr>
        <w:spacing w:after="0" w:line="171" w:lineRule="exact"/>
        <w:rPr>
          <w:sz w:val="20"/>
          <w:szCs w:val="20"/>
          <w:color w:val="auto"/>
        </w:rPr>
      </w:pPr>
    </w:p>
    <w:p>
      <w:pPr>
        <w:ind w:left="200" w:right="639"/>
        <w:spacing w:after="0" w:line="242" w:lineRule="auto"/>
        <w:rPr>
          <w:sz w:val="20"/>
          <w:szCs w:val="20"/>
          <w:color w:val="auto"/>
        </w:rPr>
      </w:pPr>
      <w:r>
        <w:rPr>
          <w:rFonts w:ascii="Calibri" w:cs="Calibri" w:eastAsia="Calibri" w:hAnsi="Calibri"/>
          <w:sz w:val="20"/>
          <w:szCs w:val="20"/>
          <w:color w:val="auto"/>
        </w:rPr>
        <w:t>“Date of Grant” means the date on which all requirements under applicable law and the Company’s certfcate of incorporaton and bylaws for the efectve grant of an Award have been satsfed.</w:t>
      </w:r>
    </w:p>
    <w:p>
      <w:pPr>
        <w:spacing w:after="0" w:line="156" w:lineRule="exact"/>
        <w:rPr>
          <w:sz w:val="20"/>
          <w:szCs w:val="20"/>
          <w:color w:val="auto"/>
        </w:rPr>
      </w:pPr>
    </w:p>
    <w:p>
      <w:pPr>
        <w:ind w:left="200" w:right="279"/>
        <w:spacing w:after="0" w:line="244" w:lineRule="auto"/>
        <w:rPr>
          <w:sz w:val="20"/>
          <w:szCs w:val="20"/>
          <w:color w:val="auto"/>
        </w:rPr>
      </w:pPr>
      <w:r>
        <w:rPr>
          <w:rFonts w:ascii="Calibri" w:cs="Calibri" w:eastAsia="Calibri" w:hAnsi="Calibri"/>
          <w:sz w:val="20"/>
          <w:szCs w:val="20"/>
          <w:color w:val="auto"/>
        </w:rPr>
        <w:t>“Designated Benefciary” means the benefciary designated by a Partcipant, in a manner determined by the Commitee, to receive amounts due or exercise rights of the Partcipant in the event of the Partcipant’s death. In the absence of an efectve designaton by a Partcipant, “Designated Benefciary” means the Partcipant’s legal representatve.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80" w:name="page81"/>
    <w:bookmarkEnd w:id="80"/>
    <w:p>
      <w:pPr>
        <w:jc w:val="both"/>
        <w:ind w:left="200" w:right="279"/>
        <w:spacing w:after="0" w:line="247" w:lineRule="auto"/>
        <w:rPr>
          <w:sz w:val="20"/>
          <w:szCs w:val="20"/>
          <w:color w:val="auto"/>
        </w:rPr>
      </w:pPr>
      <w:r>
        <w:rPr>
          <w:rFonts w:ascii="Calibri" w:cs="Calibri" w:eastAsia="Calibri" w:hAnsi="Calibri"/>
          <w:sz w:val="20"/>
          <w:szCs w:val="20"/>
          <w:color w:val="auto"/>
        </w:rPr>
        <w:t>“Efectve Date,” from tme to tme, means the most recent date that the Plan was adopted or, if earlier, that it was approved by the stockholders (including approval of the Plan as amended), as such terms are used in the regulatons under Secton 422 of the Code.</w:t>
      </w:r>
    </w:p>
    <w:p>
      <w:pPr>
        <w:spacing w:after="0" w:line="151" w:lineRule="exact"/>
        <w:rPr>
          <w:sz w:val="20"/>
          <w:szCs w:val="20"/>
          <w:color w:val="auto"/>
        </w:rPr>
      </w:pPr>
    </w:p>
    <w:p>
      <w:pPr>
        <w:ind w:left="200" w:right="779"/>
        <w:spacing w:after="0" w:line="242" w:lineRule="auto"/>
        <w:rPr>
          <w:sz w:val="20"/>
          <w:szCs w:val="20"/>
          <w:color w:val="auto"/>
        </w:rPr>
      </w:pPr>
      <w:r>
        <w:rPr>
          <w:rFonts w:ascii="Calibri" w:cs="Calibri" w:eastAsia="Calibri" w:hAnsi="Calibri"/>
          <w:sz w:val="20"/>
          <w:szCs w:val="20"/>
          <w:color w:val="auto"/>
        </w:rPr>
        <w:t>“Exchange Act” means the Securites Exchange Act of 1934, as amended from tme to tme, or any successor law.</w:t>
      </w:r>
    </w:p>
    <w:p>
      <w:pPr>
        <w:spacing w:after="0" w:line="169" w:lineRule="exact"/>
        <w:rPr>
          <w:sz w:val="20"/>
          <w:szCs w:val="20"/>
          <w:color w:val="auto"/>
        </w:rPr>
      </w:pPr>
    </w:p>
    <w:p>
      <w:pPr>
        <w:ind w:left="200" w:right="899"/>
        <w:spacing w:after="0" w:line="234" w:lineRule="auto"/>
        <w:rPr>
          <w:sz w:val="20"/>
          <w:szCs w:val="20"/>
          <w:color w:val="auto"/>
        </w:rPr>
      </w:pPr>
      <w:r>
        <w:rPr>
          <w:rFonts w:ascii="Calibri" w:cs="Calibri" w:eastAsia="Calibri" w:hAnsi="Calibri"/>
          <w:sz w:val="20"/>
          <w:szCs w:val="20"/>
          <w:color w:val="auto"/>
        </w:rPr>
        <w:t>“Executve Ofcer” has the meaning given in Rule 3b-7 under the Exchange Act, or any successor provision.</w:t>
      </w:r>
    </w:p>
    <w:p>
      <w:pPr>
        <w:spacing w:after="0" w:line="172" w:lineRule="exact"/>
        <w:rPr>
          <w:sz w:val="20"/>
          <w:szCs w:val="20"/>
          <w:color w:val="auto"/>
        </w:rPr>
      </w:pPr>
    </w:p>
    <w:p>
      <w:pPr>
        <w:ind w:left="200" w:right="299"/>
        <w:spacing w:after="0" w:line="247" w:lineRule="auto"/>
        <w:rPr>
          <w:sz w:val="20"/>
          <w:szCs w:val="20"/>
          <w:color w:val="auto"/>
        </w:rPr>
      </w:pPr>
      <w:r>
        <w:rPr>
          <w:rFonts w:ascii="Calibri" w:cs="Calibri" w:eastAsia="Calibri" w:hAnsi="Calibri"/>
          <w:sz w:val="20"/>
          <w:szCs w:val="20"/>
          <w:color w:val="auto"/>
        </w:rPr>
        <w:t>“Fair Market Value” with respect to the Common Stock or other property means the fair market value thereof determined by such methods as shall be established by the Commitee from tme to tme. Unless otherwise determined by the Commitee in good faith, the per share Fair Market Value of the Common Stock as of any date shall mean (a) if the Common Stock is then listed or admited to trading on a natonal securites exchange, (i) the last reported sale price on such date on the principal natonal securites exchange on which the Common Stock is then listed or admited to trading, (ii) if no such reported sale took place on such date, the average of the closing bid and asked prices on such exchange on such date, or (iii) if neither (i) nor (ii) applies, the last reported sale price on the next preceding date on which trading took place, or (b) if the Common Stock is then traded in the over-the-counter market, the average of the closing bid and asked prices on such date, as reported by The Wall Street Journal or other appropriate publicaton selected by the Commitee, for the over-the-counter market.</w:t>
      </w:r>
    </w:p>
    <w:p>
      <w:pPr>
        <w:spacing w:after="0" w:line="166" w:lineRule="exact"/>
        <w:rPr>
          <w:sz w:val="20"/>
          <w:szCs w:val="20"/>
          <w:color w:val="auto"/>
        </w:rPr>
      </w:pPr>
    </w:p>
    <w:p>
      <w:pPr>
        <w:ind w:left="200" w:right="339"/>
        <w:spacing w:after="0" w:line="234" w:lineRule="auto"/>
        <w:rPr>
          <w:sz w:val="20"/>
          <w:szCs w:val="20"/>
          <w:color w:val="auto"/>
        </w:rPr>
      </w:pPr>
      <w:r>
        <w:rPr>
          <w:rFonts w:ascii="Calibri" w:cs="Calibri" w:eastAsia="Calibri" w:hAnsi="Calibri"/>
          <w:sz w:val="20"/>
          <w:szCs w:val="20"/>
          <w:color w:val="auto"/>
        </w:rPr>
        <w:t>“Incentve Stock Opton” means an Opton complying with the requirements of Secton 422 of the Code or any successor provision and any regulatons thereunder.</w:t>
      </w:r>
    </w:p>
    <w:p>
      <w:pPr>
        <w:spacing w:after="0" w:line="172" w:lineRule="exact"/>
        <w:rPr>
          <w:sz w:val="20"/>
          <w:szCs w:val="20"/>
          <w:color w:val="auto"/>
        </w:rPr>
      </w:pPr>
    </w:p>
    <w:p>
      <w:pPr>
        <w:ind w:left="200" w:right="519"/>
        <w:spacing w:after="0" w:line="234" w:lineRule="auto"/>
        <w:rPr>
          <w:sz w:val="20"/>
          <w:szCs w:val="20"/>
          <w:color w:val="auto"/>
        </w:rPr>
      </w:pPr>
      <w:r>
        <w:rPr>
          <w:rFonts w:ascii="Calibri" w:cs="Calibri" w:eastAsia="Calibri" w:hAnsi="Calibri"/>
          <w:sz w:val="20"/>
          <w:szCs w:val="20"/>
          <w:color w:val="auto"/>
        </w:rPr>
        <w:t>“Opton” means a right to purchase shares of Common Stock and may be an Incentve Stock Opton if specifed by the Commitee.</w:t>
      </w:r>
    </w:p>
    <w:p>
      <w:pPr>
        <w:spacing w:after="0" w:line="162"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“Partcipant” means a person selected by the Commitee to receive an Award under the Plan.</w:t>
      </w:r>
    </w:p>
    <w:p>
      <w:pPr>
        <w:spacing w:after="0" w:line="157" w:lineRule="exact"/>
        <w:rPr>
          <w:sz w:val="20"/>
          <w:szCs w:val="20"/>
          <w:color w:val="auto"/>
        </w:rPr>
      </w:pPr>
    </w:p>
    <w:p>
      <w:pPr>
        <w:ind w:left="200" w:right="259"/>
        <w:spacing w:after="0" w:line="248" w:lineRule="auto"/>
        <w:rPr>
          <w:sz w:val="20"/>
          <w:szCs w:val="20"/>
          <w:color w:val="auto"/>
        </w:rPr>
      </w:pPr>
      <w:r>
        <w:rPr>
          <w:rFonts w:ascii="Calibri" w:cs="Calibri" w:eastAsia="Calibri" w:hAnsi="Calibri"/>
          <w:sz w:val="20"/>
          <w:szCs w:val="20"/>
          <w:color w:val="auto"/>
        </w:rPr>
        <w:t>“Performance Goals” means, in the case of Awards intended to satsfy the requirements for “performance-based compensaton” within the meaning of Secton 162(m) of the Code, one or more objectve performance goals established by the Commitee, based on one or more of the following criteria: revenue; revenue growth; sales; expenses; margins; net income; earnings or earnings per share; cash fow; stock price; shareholder return; return on investment; return on invested capital, assets, or equity; proft before or afer tax; operatng proft; operatng margin; return on research and development investment; market capitalizaton; quality improvements; market share; cycle tme reductons; customer satsfacton measures; strategic positoning or marketng programs; market penetraton or expansion; business / informaton systems improvements; expense management; infrastructure support programs; human resource programs; customer programs; technology development programs; goals relatng to acquisitons or divesttures, or any combinaton of the foregoing, including without limitaton goals based on any of such measures relatve to peer groups or market indices, and may be partcular to a Partcipant or may be based, in whole or in part, on the performance of the division, department, line of business, subsidiary, or other business unit, whether or not legally consttuted, in which the Partcipant works or on the performance of the Company generally.</w:t>
      </w:r>
    </w:p>
    <w:p>
      <w:pPr>
        <w:spacing w:after="0" w:line="158" w:lineRule="exact"/>
        <w:rPr>
          <w:sz w:val="20"/>
          <w:szCs w:val="20"/>
          <w:color w:val="auto"/>
        </w:rPr>
      </w:pPr>
    </w:p>
    <w:p>
      <w:pPr>
        <w:ind w:left="200" w:right="339"/>
        <w:spacing w:after="0" w:line="242" w:lineRule="auto"/>
        <w:rPr>
          <w:sz w:val="20"/>
          <w:szCs w:val="20"/>
          <w:color w:val="auto"/>
        </w:rPr>
      </w:pPr>
      <w:r>
        <w:rPr>
          <w:rFonts w:ascii="Calibri" w:cs="Calibri" w:eastAsia="Calibri" w:hAnsi="Calibri"/>
          <w:sz w:val="20"/>
          <w:szCs w:val="20"/>
          <w:color w:val="auto"/>
        </w:rPr>
        <w:t>“Performance Period” means any period of service of at least one year designated by the Commitee as applicable to an Award intended to satsfy the requirements for “performance-based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371475</wp:posOffset>
            </wp:positionV>
            <wp:extent cx="545211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81" w:name="page82"/>
    <w:bookmarkEnd w:id="81"/>
    <w:p>
      <w:pPr>
        <w:ind w:left="200"/>
        <w:spacing w:after="0"/>
        <w:rPr>
          <w:sz w:val="20"/>
          <w:szCs w:val="20"/>
          <w:color w:val="auto"/>
        </w:rPr>
      </w:pPr>
      <w:r>
        <w:rPr>
          <w:rFonts w:ascii="Calibri" w:cs="Calibri" w:eastAsia="Calibri" w:hAnsi="Calibri"/>
          <w:sz w:val="20"/>
          <w:szCs w:val="20"/>
          <w:color w:val="auto"/>
        </w:rPr>
        <w:t>“Reportng Person” means a person subject to Secton 16 of the Exchange Act.</w:t>
      </w:r>
    </w:p>
    <w:p>
      <w:pPr>
        <w:spacing w:after="0" w:line="171" w:lineRule="exact"/>
        <w:rPr>
          <w:sz w:val="20"/>
          <w:szCs w:val="20"/>
          <w:color w:val="auto"/>
        </w:rPr>
      </w:pPr>
    </w:p>
    <w:p>
      <w:pPr>
        <w:ind w:left="200" w:right="239"/>
        <w:spacing w:after="0" w:line="242" w:lineRule="auto"/>
        <w:rPr>
          <w:sz w:val="20"/>
          <w:szCs w:val="20"/>
          <w:color w:val="auto"/>
        </w:rPr>
      </w:pPr>
      <w:r>
        <w:rPr>
          <w:rFonts w:ascii="Calibri" w:cs="Calibri" w:eastAsia="Calibri" w:hAnsi="Calibri"/>
          <w:sz w:val="20"/>
          <w:szCs w:val="20"/>
          <w:color w:val="auto"/>
        </w:rPr>
        <w:t>“Restricted Period” means any period during which an Award or any part thereof may be forfeited to the Company.</w:t>
      </w:r>
    </w:p>
    <w:p>
      <w:pPr>
        <w:spacing w:after="0" w:line="146"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“Restricted Stock” means shares of Common Stock that are subject to forfeiture to the Company.</w:t>
      </w:r>
    </w:p>
    <w:p>
      <w:pPr>
        <w:spacing w:after="0" w:line="157" w:lineRule="exact"/>
        <w:rPr>
          <w:sz w:val="20"/>
          <w:szCs w:val="20"/>
          <w:color w:val="auto"/>
        </w:rPr>
      </w:pPr>
    </w:p>
    <w:p>
      <w:pPr>
        <w:ind w:left="200" w:right="259"/>
        <w:spacing w:after="0" w:line="247" w:lineRule="auto"/>
        <w:rPr>
          <w:sz w:val="20"/>
          <w:szCs w:val="20"/>
          <w:color w:val="auto"/>
        </w:rPr>
      </w:pPr>
      <w:r>
        <w:rPr>
          <w:rFonts w:ascii="Calibri" w:cs="Calibri" w:eastAsia="Calibri" w:hAnsi="Calibri"/>
          <w:sz w:val="20"/>
          <w:szCs w:val="20"/>
          <w:color w:val="auto"/>
        </w:rPr>
        <w:t>“Restricted Stock Unit” means the right, subject to forfeiture, to receive the value of a share of Common Stock in the future, payable in the form of cash, Common Stock or other securites of the Company, Awards or other property, and is an unfunded and unsecured obligaton of the Company.</w:t>
      </w:r>
    </w:p>
    <w:p>
      <w:pPr>
        <w:spacing w:after="0" w:line="151" w:lineRule="exact"/>
        <w:rPr>
          <w:sz w:val="20"/>
          <w:szCs w:val="20"/>
          <w:color w:val="auto"/>
        </w:rPr>
      </w:pPr>
    </w:p>
    <w:p>
      <w:pPr>
        <w:ind w:left="200" w:right="539"/>
        <w:spacing w:after="0" w:line="242" w:lineRule="auto"/>
        <w:rPr>
          <w:sz w:val="20"/>
          <w:szCs w:val="20"/>
          <w:color w:val="auto"/>
        </w:rPr>
      </w:pPr>
      <w:r>
        <w:rPr>
          <w:rFonts w:ascii="Calibri" w:cs="Calibri" w:eastAsia="Calibri" w:hAnsi="Calibri"/>
          <w:sz w:val="20"/>
          <w:szCs w:val="20"/>
          <w:color w:val="auto"/>
        </w:rPr>
        <w:t>“Stock Appreciaton Right” means the right to receive any excess in value of shares of Common Stock over the exercise price of such right.</w:t>
      </w:r>
    </w:p>
    <w:p>
      <w:pPr>
        <w:spacing w:after="0" w:line="156" w:lineRule="exact"/>
        <w:rPr>
          <w:sz w:val="20"/>
          <w:szCs w:val="20"/>
          <w:color w:val="auto"/>
        </w:rPr>
      </w:pPr>
    </w:p>
    <w:p>
      <w:pPr>
        <w:ind w:left="200" w:right="379"/>
        <w:spacing w:after="0" w:line="248" w:lineRule="auto"/>
        <w:rPr>
          <w:sz w:val="20"/>
          <w:szCs w:val="20"/>
          <w:color w:val="auto"/>
        </w:rPr>
      </w:pPr>
      <w:r>
        <w:rPr>
          <w:rFonts w:ascii="Calibri" w:cs="Calibri" w:eastAsia="Calibri" w:hAnsi="Calibri"/>
          <w:sz w:val="20"/>
          <w:szCs w:val="20"/>
          <w:color w:val="auto"/>
        </w:rPr>
        <w:t>“Stock Equivalent” means the right to receive payment from the Company based in whole or in part on the value of the Common Stock, payable in the form of cash, Common Stock or other securites of the Company, Awards or other property, and may include without limitaton phantom stock, performance units, and Stock Appreciaton Rights.</w:t>
      </w:r>
    </w:p>
    <w:p>
      <w:pPr>
        <w:spacing w:after="0" w:line="152" w:lineRule="exact"/>
        <w:rPr>
          <w:sz w:val="20"/>
          <w:szCs w:val="20"/>
          <w:color w:val="auto"/>
        </w:rPr>
      </w:pPr>
    </w:p>
    <w:p>
      <w:pPr>
        <w:ind w:left="200" w:right="219"/>
        <w:spacing w:after="0" w:line="248" w:lineRule="auto"/>
        <w:rPr>
          <w:sz w:val="20"/>
          <w:szCs w:val="20"/>
          <w:color w:val="auto"/>
        </w:rPr>
      </w:pPr>
      <w:r>
        <w:rPr>
          <w:rFonts w:ascii="Calibri" w:cs="Calibri" w:eastAsia="Calibri" w:hAnsi="Calibri"/>
          <w:sz w:val="20"/>
          <w:szCs w:val="20"/>
          <w:color w:val="auto"/>
        </w:rPr>
        <w:t>“Terminaton of employment or other service of a Partcipant” means the voluntary or involuntary terminaton of a Partcipant’s employment with the Company or an Afliate for any reason, including death, disability, retrement or as the result of the divestture of the Partcipant’s employer or any similar transacton in which the Partcipant’s employer ceases to be the Company or one of its Afliates. Whether entering military or other government service shall consttute “terminaton of employment or other service,” or whether a “terminaton of employment or other service” shall occur as a result of disability, shall be determined in each case by the Commitee in its sole discreton before or afer the grant of the respectve Award. In the case of a member of the Board or consultant who is not an employee of the Company or an Afliate, “terminaton of employment or other service” shall mean the voluntary or involuntary terminaton of Board service or the consultng relatonship, as the case may be, for any reason.</w:t>
      </w:r>
    </w:p>
    <w:p>
      <w:pPr>
        <w:spacing w:after="0" w:line="200" w:lineRule="exact"/>
        <w:rPr>
          <w:sz w:val="20"/>
          <w:szCs w:val="20"/>
          <w:color w:val="auto"/>
        </w:rPr>
      </w:pPr>
    </w:p>
    <w:p>
      <w:pPr>
        <w:spacing w:after="0" w:line="207" w:lineRule="exact"/>
        <w:rPr>
          <w:sz w:val="20"/>
          <w:szCs w:val="20"/>
          <w:color w:val="auto"/>
        </w:rPr>
      </w:pPr>
    </w:p>
    <w:p>
      <w:pPr>
        <w:ind w:left="200" w:right="479"/>
        <w:spacing w:after="0" w:line="247" w:lineRule="auto"/>
        <w:rPr>
          <w:sz w:val="20"/>
          <w:szCs w:val="20"/>
          <w:color w:val="auto"/>
        </w:rPr>
      </w:pPr>
      <w:r>
        <w:rPr>
          <w:rFonts w:ascii="Calibri" w:cs="Calibri" w:eastAsia="Calibri" w:hAnsi="Calibri"/>
          <w:sz w:val="20"/>
          <w:szCs w:val="20"/>
          <w:color w:val="auto"/>
        </w:rPr>
        <w:t>“Transferable for value” means a transfer on terms that would prevent the Company from relying on Securites and Exchange Commission Form S-8 (or any successor form) with respect to the issuance of the Common Stock underlying the respectve Award.</w:t>
      </w:r>
    </w:p>
    <w:p>
      <w:pPr>
        <w:spacing w:after="0" w:line="141" w:lineRule="exact"/>
        <w:rPr>
          <w:sz w:val="20"/>
          <w:szCs w:val="20"/>
          <w:color w:val="auto"/>
        </w:rPr>
      </w:pPr>
    </w:p>
    <w:p>
      <w:pPr>
        <w:ind w:left="860" w:hanging="651"/>
        <w:spacing w:after="0"/>
        <w:tabs>
          <w:tab w:leader="none" w:pos="860" w:val="left"/>
        </w:tabs>
        <w:numPr>
          <w:ilvl w:val="0"/>
          <w:numId w:val="78"/>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Miscellaneous</w:t>
      </w:r>
      <w:r>
        <w:rPr>
          <w:rFonts w:ascii="Calibri" w:cs="Calibri" w:eastAsia="Calibri" w:hAnsi="Calibri"/>
          <w:sz w:val="20"/>
          <w:szCs w:val="20"/>
          <w:color w:val="auto"/>
        </w:rPr>
        <w:t>.</w:t>
      </w:r>
    </w:p>
    <w:p>
      <w:pPr>
        <w:spacing w:after="0" w:line="157" w:lineRule="exact"/>
        <w:rPr>
          <w:sz w:val="20"/>
          <w:szCs w:val="20"/>
          <w:color w:val="auto"/>
        </w:rPr>
      </w:pPr>
    </w:p>
    <w:p>
      <w:pPr>
        <w:jc w:val="both"/>
        <w:ind w:left="200" w:right="339" w:firstLine="9"/>
        <w:spacing w:after="0" w:line="247" w:lineRule="auto"/>
        <w:tabs>
          <w:tab w:leader="none" w:pos="511" w:val="left"/>
        </w:tabs>
        <w:numPr>
          <w:ilvl w:val="0"/>
          <w:numId w:val="79"/>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No Rights with Respect to Service. </w:t>
      </w:r>
      <w:r>
        <w:rPr>
          <w:rFonts w:ascii="Calibri" w:cs="Calibri" w:eastAsia="Calibri" w:hAnsi="Calibri"/>
          <w:sz w:val="20"/>
          <w:szCs w:val="20"/>
          <w:color w:val="auto"/>
        </w:rPr>
        <w:t>No person shall have any claim or right hereunder to be granted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an Award. Neither the adopton, maintenance, or operaton of the Plan nor any Award hereunder shall confer upon any person any right with respect to the contnuance of his or her employment by or other</w:t>
      </w:r>
    </w:p>
    <w:p>
      <w:pPr>
        <w:spacing w:after="0" w:line="15" w:lineRule="exact"/>
        <w:rPr>
          <w:rFonts w:ascii="Calibri" w:cs="Calibri" w:eastAsia="Calibri" w:hAnsi="Calibri"/>
          <w:sz w:val="20"/>
          <w:szCs w:val="20"/>
          <w:color w:val="auto"/>
        </w:rPr>
      </w:pPr>
    </w:p>
    <w:p>
      <w:pPr>
        <w:ind w:left="2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service with the Company or any Afliate nor shall they interfere with the rights of the Company or any Afliate to terminate or otherwise change the terms of such service at any tme, including, without limitaton, the right to promote, demote or otherwise re-assign any person from one positon to another within the Company or any Afliate. Unless the Commitee otherwise provides in any case, the service of</w:t>
      </w:r>
    </w:p>
    <w:p>
      <w:pPr>
        <w:spacing w:after="0" w:line="19" w:lineRule="exact"/>
        <w:rPr>
          <w:rFonts w:ascii="Calibri" w:cs="Calibri" w:eastAsia="Calibri" w:hAnsi="Calibri"/>
          <w:sz w:val="20"/>
          <w:szCs w:val="20"/>
          <w:color w:val="auto"/>
        </w:rPr>
      </w:pPr>
    </w:p>
    <w:p>
      <w:pPr>
        <w:ind w:left="200" w:right="33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a Partcipant with an Afliate shall be deemed to terminate for purposes of the Plan when such Afliate ceases to be an Afliate of the Company.</w:t>
      </w:r>
    </w:p>
    <w:p>
      <w:pPr>
        <w:spacing w:after="0" w:line="171" w:lineRule="exact"/>
        <w:rPr>
          <w:rFonts w:ascii="Calibri" w:cs="Calibri" w:eastAsia="Calibri" w:hAnsi="Calibri"/>
          <w:sz w:val="20"/>
          <w:szCs w:val="20"/>
          <w:color w:val="auto"/>
        </w:rPr>
      </w:pPr>
    </w:p>
    <w:p>
      <w:pPr>
        <w:ind w:left="200" w:right="639" w:firstLine="9"/>
        <w:spacing w:after="0" w:line="242" w:lineRule="auto"/>
        <w:tabs>
          <w:tab w:leader="none" w:pos="521" w:val="left"/>
        </w:tabs>
        <w:numPr>
          <w:ilvl w:val="0"/>
          <w:numId w:val="79"/>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No Rights as Stockholder. </w:t>
      </w:r>
      <w:r>
        <w:rPr>
          <w:rFonts w:ascii="Calibri" w:cs="Calibri" w:eastAsia="Calibri" w:hAnsi="Calibri"/>
          <w:sz w:val="20"/>
          <w:szCs w:val="20"/>
          <w:color w:val="auto"/>
        </w:rPr>
        <w:t>Subject to the provisions of the applicable Award, no Partcipant or</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Designated Benefciary shall have any rights as a stockholder with respect to any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82" w:name="page83"/>
    <w:bookmarkEnd w:id="82"/>
    <w:p>
      <w:pPr>
        <w:ind w:left="200" w:right="579"/>
        <w:spacing w:after="0" w:line="247" w:lineRule="auto"/>
        <w:rPr>
          <w:sz w:val="20"/>
          <w:szCs w:val="20"/>
          <w:color w:val="auto"/>
        </w:rPr>
      </w:pPr>
      <w:r>
        <w:rPr>
          <w:rFonts w:ascii="Calibri" w:cs="Calibri" w:eastAsia="Calibri" w:hAnsi="Calibri"/>
          <w:sz w:val="20"/>
          <w:szCs w:val="20"/>
          <w:color w:val="auto"/>
        </w:rPr>
        <w:t>Stock to be issued under the Plan untl he or she becomes the holder thereof. A Partcipant to whom Common Stock is awarded will be considered the holder of such Common Stock at the tme of the Award, except as otherwise provided in the applicable Award.</w:t>
      </w:r>
    </w:p>
    <w:p>
      <w:pPr>
        <w:spacing w:after="0" w:line="151" w:lineRule="exact"/>
        <w:rPr>
          <w:sz w:val="20"/>
          <w:szCs w:val="20"/>
          <w:color w:val="auto"/>
        </w:rPr>
      </w:pPr>
    </w:p>
    <w:p>
      <w:pPr>
        <w:ind w:left="200" w:right="279" w:firstLine="9"/>
        <w:spacing w:after="0" w:line="247" w:lineRule="auto"/>
        <w:tabs>
          <w:tab w:leader="none" w:pos="500" w:val="left"/>
        </w:tabs>
        <w:numPr>
          <w:ilvl w:val="0"/>
          <w:numId w:val="80"/>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Amendment of Plan. </w:t>
      </w:r>
      <w:r>
        <w:rPr>
          <w:rFonts w:ascii="Calibri" w:cs="Calibri" w:eastAsia="Calibri" w:hAnsi="Calibri"/>
          <w:sz w:val="20"/>
          <w:szCs w:val="20"/>
          <w:color w:val="auto"/>
        </w:rPr>
        <w:t>The Board may amend, supplement via a sub-plan adopted under Secton 6(c),</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suspend or terminate the Plan or any porton thereof at any tme, subject to such stockholder approval as the Board determines to be necessary or advisable to comply with any tax or regulatory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368300</wp:posOffset>
            </wp:positionV>
            <wp:extent cx="545211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83" w:name="page84"/>
    <w:bookmarkEnd w:id="8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Named Executive Officer Base Compensation at February 15, 2025</w:t>
      </w:r>
    </w:p>
    <w:p>
      <w:pPr>
        <w:spacing w:after="0" w:line="193" w:lineRule="exact"/>
        <w:rPr>
          <w:sz w:val="20"/>
          <w:szCs w:val="20"/>
          <w:color w:val="auto"/>
        </w:rPr>
      </w:pPr>
    </w:p>
    <w:p>
      <w:pPr>
        <w:ind w:left="200" w:right="859" w:firstLine="648"/>
        <w:spacing w:after="0" w:line="282" w:lineRule="auto"/>
        <w:rPr>
          <w:sz w:val="20"/>
          <w:szCs w:val="20"/>
          <w:color w:val="auto"/>
        </w:rPr>
      </w:pPr>
      <w:r>
        <w:rPr>
          <w:rFonts w:ascii="Times New Roman" w:cs="Times New Roman" w:eastAsia="Times New Roman" w:hAnsi="Times New Roman"/>
          <w:sz w:val="18"/>
          <w:szCs w:val="18"/>
          <w:color w:val="auto"/>
        </w:rPr>
        <w:t>This Exhibit discloses the current understandings with respect to base compensation between Axcelis Technologies, Inc. (the “Company”) and each of:</w:t>
      </w:r>
    </w:p>
    <w:p>
      <w:pPr>
        <w:spacing w:after="0" w:line="162" w:lineRule="exact"/>
        <w:rPr>
          <w:sz w:val="20"/>
          <w:szCs w:val="20"/>
          <w:color w:val="auto"/>
        </w:rPr>
      </w:pPr>
    </w:p>
    <w:p>
      <w:pPr>
        <w:ind w:left="1140" w:hanging="283"/>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principal executive officer (Russell J. Low),</w:t>
      </w:r>
    </w:p>
    <w:p>
      <w:pPr>
        <w:spacing w:after="0" w:line="225"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principal financial officer (James G. Coogan), and</w:t>
      </w:r>
    </w:p>
    <w:p>
      <w:pPr>
        <w:spacing w:after="0" w:line="212" w:lineRule="exact"/>
        <w:rPr>
          <w:sz w:val="20"/>
          <w:szCs w:val="20"/>
          <w:color w:val="auto"/>
        </w:rPr>
      </w:pPr>
    </w:p>
    <w:p>
      <w:pPr>
        <w:ind w:left="1200" w:right="239" w:hanging="343"/>
        <w:spacing w:after="0" w:line="282" w:lineRule="auto"/>
        <w:tabs>
          <w:tab w:leader="none" w:pos="12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most highly compensated other executive officers serving as executive officers at December 31, 2024, who are still serving as executive officers as of the filing date of this Form 10-K.</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These executive officers are referred to herein as “named executive officers” or “NEOs.”</w:t>
      </w:r>
    </w:p>
    <w:p>
      <w:pPr>
        <w:spacing w:after="0" w:line="225" w:lineRule="exact"/>
        <w:rPr>
          <w:sz w:val="20"/>
          <w:szCs w:val="20"/>
          <w:color w:val="auto"/>
        </w:rPr>
      </w:pPr>
    </w:p>
    <w:p>
      <w:pPr>
        <w:ind w:left="200" w:right="239" w:firstLine="648"/>
        <w:spacing w:after="0" w:line="254" w:lineRule="auto"/>
        <w:rPr>
          <w:sz w:val="20"/>
          <w:szCs w:val="20"/>
          <w:color w:val="auto"/>
        </w:rPr>
      </w:pPr>
      <w:r>
        <w:rPr>
          <w:rFonts w:ascii="Times New Roman" w:cs="Times New Roman" w:eastAsia="Times New Roman" w:hAnsi="Times New Roman"/>
          <w:sz w:val="18"/>
          <w:szCs w:val="18"/>
          <w:color w:val="auto"/>
        </w:rPr>
        <w:t>Russell J. Low entered into a written agreement with the Company addressing a minimum level of base salary due to the executive. This employment agreement is listed as an Exhibit to this Form 10-K. Each of the other NEOs and the Company have entered into an Executive Separation Pay Agreement in which a termination without cause will entitle the executive to one year of separation pay. The form of Executive Separation Pay Agreement is listed as an Exhibit to this Form 10-K.</w:t>
      </w:r>
    </w:p>
    <w:p>
      <w:pPr>
        <w:spacing w:after="0" w:line="187" w:lineRule="exact"/>
        <w:rPr>
          <w:sz w:val="20"/>
          <w:szCs w:val="20"/>
          <w:color w:val="auto"/>
        </w:rPr>
      </w:pPr>
    </w:p>
    <w:p>
      <w:pPr>
        <w:ind w:left="200" w:right="239"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that all executive officers, other than Dr. Low, are employees at will and that the Company has no obligation to continue their employment, other than in cases where such obligation arises under either a Change of Control Agreement or an Executive Separation Pay Agreement as described in our Proxy Statement and as filed as Exhibits to this Form 10-K.</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Rate of Base Pay</w:t>
      </w:r>
    </w:p>
    <w:p>
      <w:pPr>
        <w:spacing w:after="0" w:line="229" w:lineRule="exact"/>
        <w:rPr>
          <w:sz w:val="20"/>
          <w:szCs w:val="20"/>
          <w:color w:val="auto"/>
        </w:rPr>
      </w:pPr>
    </w:p>
    <w:p>
      <w:pPr>
        <w:ind w:left="200" w:right="419" w:firstLine="648"/>
        <w:spacing w:after="0" w:line="253" w:lineRule="auto"/>
        <w:rPr>
          <w:sz w:val="20"/>
          <w:szCs w:val="20"/>
          <w:color w:val="auto"/>
        </w:rPr>
      </w:pPr>
      <w:r>
        <w:rPr>
          <w:rFonts w:ascii="Times New Roman" w:cs="Times New Roman" w:eastAsia="Times New Roman" w:hAnsi="Times New Roman"/>
          <w:sz w:val="18"/>
          <w:szCs w:val="18"/>
          <w:color w:val="auto"/>
        </w:rPr>
        <w:t>In the course of the employment relationship with each NEO, the Company communicates to the named executive officer the amount of base salary approved by the Compensation Committee of the Board of Directors, which compensation is subject to change in the discretion of the Compensation Committee of the Board of Directors (provided Dr. Low’s employment agreements set a minimum base pay amount). The following table sets forth the annual base salary as communicated to the named executive officers of the Company as in effect on February 15, 2025:</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2300" w:type="dxa"/>
            <w:vAlign w:val="bottom"/>
            <w:tcBorders>
              <w:top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20" w:type="dxa"/>
            <w:vAlign w:val="bottom"/>
            <w:tcBorders>
              <w:top w:val="single" w:sz="8" w:color="8FAADC"/>
              <w:right w:val="single" w:sz="8" w:color="8FAADC"/>
            </w:tcBorders>
            <w:shd w:val="clear" w:color="auto" w:fill="DAE3F3"/>
          </w:tcPr>
          <w:p>
            <w:pPr>
              <w:spacing w:after="0"/>
              <w:rPr>
                <w:sz w:val="15"/>
                <w:szCs w:val="15"/>
                <w:color w:val="auto"/>
              </w:rPr>
            </w:pPr>
          </w:p>
        </w:tc>
        <w:tc>
          <w:tcPr>
            <w:tcW w:w="4200" w:type="dxa"/>
            <w:vAlign w:val="bottom"/>
            <w:tcBorders>
              <w:top w:val="single" w:sz="8" w:color="8FAADC"/>
              <w:right w:val="single" w:sz="8" w:color="8FAADC"/>
            </w:tcBorders>
            <w:shd w:val="clear" w:color="auto" w:fill="DAE3F3"/>
          </w:tcPr>
          <w:p>
            <w:pPr>
              <w:ind w:left="1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0" w:type="dxa"/>
            <w:vAlign w:val="bottom"/>
            <w:tcBorders>
              <w:top w:val="single" w:sz="8" w:color="8FAADC"/>
              <w:right w:val="single" w:sz="8" w:color="8FAADC"/>
            </w:tcBorders>
            <w:shd w:val="clear" w:color="auto" w:fill="DAE3F3"/>
          </w:tcPr>
          <w:p>
            <w:pPr>
              <w:spacing w:after="0"/>
              <w:rPr>
                <w:sz w:val="15"/>
                <w:szCs w:val="15"/>
                <w:color w:val="auto"/>
              </w:rPr>
            </w:pPr>
          </w:p>
        </w:tc>
        <w:tc>
          <w:tcPr>
            <w:tcW w:w="180" w:type="dxa"/>
            <w:vAlign w:val="bottom"/>
            <w:tcBorders>
              <w:top w:val="single" w:sz="8" w:color="8FAADC"/>
            </w:tcBorders>
            <w:shd w:val="clear" w:color="auto" w:fill="DAE3F3"/>
          </w:tcPr>
          <w:p>
            <w:pPr>
              <w:spacing w:after="0"/>
              <w:rPr>
                <w:sz w:val="15"/>
                <w:szCs w:val="15"/>
                <w:color w:val="auto"/>
              </w:rPr>
            </w:pPr>
          </w:p>
        </w:tc>
        <w:tc>
          <w:tcPr>
            <w:tcW w:w="1140" w:type="dxa"/>
            <w:vAlign w:val="bottom"/>
            <w:tcBorders>
              <w:top w:val="single" w:sz="8" w:color="8FAADC"/>
              <w:right w:val="single" w:sz="8" w:color="8FAADC"/>
            </w:tcBorders>
            <w:gridSpan w:val="2"/>
            <w:shd w:val="clear" w:color="auto" w:fill="DAE3F3"/>
          </w:tcPr>
          <w:p>
            <w:pPr>
              <w:spacing w:after="0"/>
              <w:rPr>
                <w:sz w:val="20"/>
                <w:szCs w:val="20"/>
                <w:color w:val="auto"/>
              </w:rPr>
            </w:pPr>
            <w:r>
              <w:rPr>
                <w:rFonts w:ascii="Times New Roman" w:cs="Times New Roman" w:eastAsia="Times New Roman" w:hAnsi="Times New Roman"/>
                <w:sz w:val="14"/>
                <w:szCs w:val="14"/>
                <w:b w:val="1"/>
                <w:bCs w:val="1"/>
                <w:color w:val="auto"/>
              </w:rPr>
              <w:t>Rate of Annual</w:t>
            </w:r>
          </w:p>
        </w:tc>
        <w:tc>
          <w:tcPr>
            <w:tcW w:w="180" w:type="dxa"/>
            <w:vAlign w:val="bottom"/>
            <w:tcBorders>
              <w:top w:val="single" w:sz="8" w:color="8FAADC"/>
            </w:tcBorders>
            <w:shd w:val="clear" w:color="auto" w:fill="DAE3F3"/>
          </w:tcPr>
          <w:p>
            <w:pPr>
              <w:spacing w:after="0"/>
              <w:rPr>
                <w:sz w:val="15"/>
                <w:szCs w:val="15"/>
                <w:color w:val="auto"/>
              </w:rPr>
            </w:pPr>
          </w:p>
        </w:tc>
        <w:tc>
          <w:tcPr>
            <w:tcW w:w="80" w:type="dxa"/>
            <w:vAlign w:val="bottom"/>
            <w:tcBorders>
              <w:top w:val="single" w:sz="8" w:color="8FAADC"/>
            </w:tcBorders>
            <w:shd w:val="clear" w:color="auto" w:fill="DAE3F3"/>
          </w:tcPr>
          <w:p>
            <w:pPr>
              <w:spacing w:after="0"/>
              <w:rPr>
                <w:sz w:val="15"/>
                <w:szCs w:val="15"/>
                <w:color w:val="auto"/>
              </w:rPr>
            </w:pPr>
          </w:p>
        </w:tc>
      </w:tr>
      <w:tr>
        <w:trPr>
          <w:trHeight w:val="187"/>
        </w:trPr>
        <w:tc>
          <w:tcPr>
            <w:tcW w:w="2300" w:type="dxa"/>
            <w:vAlign w:val="bottom"/>
            <w:tcBorders>
              <w:bottom w:val="single" w:sz="8" w:color="8FAADC"/>
              <w:right w:val="single" w:sz="8" w:color="8FAADC"/>
            </w:tcBorders>
            <w:shd w:val="clear" w:color="auto" w:fill="DAE3F3"/>
          </w:tcPr>
          <w:p>
            <w:pPr>
              <w:spacing w:after="0"/>
              <w:rPr>
                <w:sz w:val="16"/>
                <w:szCs w:val="16"/>
                <w:color w:val="auto"/>
              </w:rPr>
            </w:pPr>
          </w:p>
        </w:tc>
        <w:tc>
          <w:tcPr>
            <w:tcW w:w="320" w:type="dxa"/>
            <w:vAlign w:val="bottom"/>
            <w:tcBorders>
              <w:bottom w:val="single" w:sz="8" w:color="8FAADC"/>
              <w:right w:val="single" w:sz="8" w:color="8FAADC"/>
            </w:tcBorders>
            <w:shd w:val="clear" w:color="auto" w:fill="DAE3F3"/>
          </w:tcPr>
          <w:p>
            <w:pPr>
              <w:spacing w:after="0"/>
              <w:rPr>
                <w:sz w:val="16"/>
                <w:szCs w:val="16"/>
                <w:color w:val="auto"/>
              </w:rPr>
            </w:pPr>
          </w:p>
        </w:tc>
        <w:tc>
          <w:tcPr>
            <w:tcW w:w="4200" w:type="dxa"/>
            <w:vAlign w:val="bottom"/>
            <w:tcBorders>
              <w:bottom w:val="single" w:sz="8" w:color="8FAADC"/>
              <w:right w:val="single" w:sz="8" w:color="8FAADC"/>
            </w:tcBorders>
            <w:shd w:val="clear" w:color="auto" w:fill="DAE3F3"/>
          </w:tcPr>
          <w:p>
            <w:pPr>
              <w:spacing w:after="0"/>
              <w:rPr>
                <w:sz w:val="16"/>
                <w:szCs w:val="16"/>
                <w:color w:val="auto"/>
              </w:rPr>
            </w:pPr>
          </w:p>
        </w:tc>
        <w:tc>
          <w:tcPr>
            <w:tcW w:w="260" w:type="dxa"/>
            <w:vAlign w:val="bottom"/>
            <w:tcBorders>
              <w:bottom w:val="single" w:sz="8" w:color="8FAADC"/>
              <w:right w:val="single" w:sz="8" w:color="8FAADC"/>
            </w:tcBorders>
            <w:shd w:val="clear" w:color="auto" w:fill="DAE3F3"/>
          </w:tcPr>
          <w:p>
            <w:pPr>
              <w:spacing w:after="0"/>
              <w:rPr>
                <w:sz w:val="16"/>
                <w:szCs w:val="16"/>
                <w:color w:val="auto"/>
              </w:rPr>
            </w:pPr>
          </w:p>
        </w:tc>
        <w:tc>
          <w:tcPr>
            <w:tcW w:w="180" w:type="dxa"/>
            <w:vAlign w:val="bottom"/>
            <w:tcBorders>
              <w:bottom w:val="single" w:sz="8" w:color="8FAADC"/>
            </w:tcBorders>
            <w:shd w:val="clear" w:color="auto" w:fill="DAE3F3"/>
          </w:tcPr>
          <w:p>
            <w:pPr>
              <w:spacing w:after="0"/>
              <w:rPr>
                <w:sz w:val="16"/>
                <w:szCs w:val="16"/>
                <w:color w:val="auto"/>
              </w:rPr>
            </w:pPr>
          </w:p>
        </w:tc>
        <w:tc>
          <w:tcPr>
            <w:tcW w:w="120" w:type="dxa"/>
            <w:vAlign w:val="bottom"/>
            <w:tcBorders>
              <w:bottom w:val="single" w:sz="8" w:color="8FAADC"/>
              <w:right w:val="single" w:sz="8" w:color="DAE3F3"/>
            </w:tcBorders>
            <w:shd w:val="clear" w:color="auto" w:fill="DAE3F3"/>
          </w:tcPr>
          <w:p>
            <w:pPr>
              <w:spacing w:after="0"/>
              <w:rPr>
                <w:sz w:val="16"/>
                <w:szCs w:val="16"/>
                <w:color w:val="auto"/>
              </w:rPr>
            </w:pPr>
          </w:p>
        </w:tc>
        <w:tc>
          <w:tcPr>
            <w:tcW w:w="102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4"/>
                <w:szCs w:val="14"/>
                <w:b w:val="1"/>
                <w:bCs w:val="1"/>
                <w:color w:val="auto"/>
              </w:rPr>
              <w:t>Base Pay</w:t>
            </w:r>
          </w:p>
        </w:tc>
        <w:tc>
          <w:tcPr>
            <w:tcW w:w="180" w:type="dxa"/>
            <w:vAlign w:val="bottom"/>
            <w:tcBorders>
              <w:bottom w:val="single" w:sz="8" w:color="8FAADC"/>
            </w:tcBorders>
            <w:shd w:val="clear" w:color="auto" w:fill="DAE3F3"/>
          </w:tcPr>
          <w:p>
            <w:pPr>
              <w:spacing w:after="0"/>
              <w:rPr>
                <w:sz w:val="16"/>
                <w:szCs w:val="16"/>
                <w:color w:val="auto"/>
              </w:rPr>
            </w:pPr>
          </w:p>
        </w:tc>
        <w:tc>
          <w:tcPr>
            <w:tcW w:w="80" w:type="dxa"/>
            <w:vAlign w:val="bottom"/>
            <w:tcBorders>
              <w:bottom w:val="single" w:sz="8" w:color="8FAADC"/>
            </w:tcBorders>
            <w:shd w:val="clear" w:color="auto" w:fill="DAE3F3"/>
          </w:tcPr>
          <w:p>
            <w:pPr>
              <w:spacing w:after="0"/>
              <w:rPr>
                <w:sz w:val="16"/>
                <w:szCs w:val="16"/>
                <w:color w:val="auto"/>
              </w:rPr>
            </w:pPr>
          </w:p>
        </w:tc>
      </w:tr>
      <w:tr>
        <w:trPr>
          <w:trHeight w:val="210"/>
        </w:trPr>
        <w:tc>
          <w:tcPr>
            <w:tcW w:w="230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Russell J. Low, Ph.D.</w:t>
            </w:r>
          </w:p>
        </w:tc>
        <w:tc>
          <w:tcPr>
            <w:tcW w:w="320" w:type="dxa"/>
            <w:vAlign w:val="bottom"/>
            <w:tcBorders>
              <w:bottom w:val="single" w:sz="8" w:color="8FAADC"/>
              <w:right w:val="single" w:sz="8" w:color="8FAADC"/>
            </w:tcBorders>
          </w:tcPr>
          <w:p>
            <w:pPr>
              <w:spacing w:after="0"/>
              <w:rPr>
                <w:sz w:val="18"/>
                <w:szCs w:val="18"/>
                <w:color w:val="auto"/>
              </w:rPr>
            </w:pPr>
          </w:p>
        </w:tc>
        <w:tc>
          <w:tcPr>
            <w:tcW w:w="4200" w:type="dxa"/>
            <w:vAlign w:val="bottom"/>
            <w:tcBorders>
              <w:bottom w:val="single" w:sz="8" w:color="8FAADC"/>
              <w:right w:val="single" w:sz="8" w:color="8FAADC"/>
            </w:tcBorders>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0" w:type="dxa"/>
            <w:vAlign w:val="bottom"/>
            <w:tcBorders>
              <w:bottom w:val="single" w:sz="8" w:color="8FAADC"/>
              <w:right w:val="single" w:sz="8" w:color="8FAADC"/>
            </w:tcBorders>
          </w:tcPr>
          <w:p>
            <w:pPr>
              <w:spacing w:after="0"/>
              <w:rPr>
                <w:sz w:val="18"/>
                <w:szCs w:val="18"/>
                <w:color w:val="auto"/>
              </w:rPr>
            </w:pPr>
          </w:p>
        </w:tc>
        <w:tc>
          <w:tcPr>
            <w:tcW w:w="180" w:type="dxa"/>
            <w:vAlign w:val="bottom"/>
            <w:tcBorders>
              <w:bottom w:val="single" w:sz="8" w:color="8FAAD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8FAADC"/>
              <w:right w:val="single" w:sz="8" w:color="8FAADC"/>
            </w:tcBorders>
          </w:tcPr>
          <w:p>
            <w:pPr>
              <w:spacing w:after="0"/>
              <w:rPr>
                <w:sz w:val="18"/>
                <w:szCs w:val="18"/>
                <w:color w:val="auto"/>
              </w:rPr>
            </w:pPr>
          </w:p>
        </w:tc>
        <w:tc>
          <w:tcPr>
            <w:tcW w:w="102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633,000</w:t>
            </w:r>
          </w:p>
        </w:tc>
        <w:tc>
          <w:tcPr>
            <w:tcW w:w="180" w:type="dxa"/>
            <w:vAlign w:val="bottom"/>
            <w:tcBorders>
              <w:bottom w:val="single" w:sz="8" w:color="8FAADC"/>
            </w:tcBorders>
          </w:tcPr>
          <w:p>
            <w:pPr>
              <w:spacing w:after="0"/>
              <w:rPr>
                <w:sz w:val="18"/>
                <w:szCs w:val="18"/>
                <w:color w:val="auto"/>
              </w:rPr>
            </w:pPr>
          </w:p>
        </w:tc>
        <w:tc>
          <w:tcPr>
            <w:tcW w:w="80" w:type="dxa"/>
            <w:vAlign w:val="bottom"/>
            <w:tcBorders>
              <w:bottom w:val="single" w:sz="8" w:color="8FAADC"/>
            </w:tcBorders>
          </w:tcPr>
          <w:p>
            <w:pPr>
              <w:spacing w:after="0"/>
              <w:rPr>
                <w:sz w:val="18"/>
                <w:szCs w:val="18"/>
                <w:color w:val="auto"/>
              </w:rPr>
            </w:pPr>
          </w:p>
        </w:tc>
      </w:tr>
      <w:tr>
        <w:trPr>
          <w:trHeight w:val="210"/>
        </w:trPr>
        <w:tc>
          <w:tcPr>
            <w:tcW w:w="230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8"/>
                <w:szCs w:val="18"/>
                <w:color w:val="auto"/>
              </w:rPr>
              <w:t>James G. Coogan</w:t>
            </w:r>
          </w:p>
        </w:tc>
        <w:tc>
          <w:tcPr>
            <w:tcW w:w="320" w:type="dxa"/>
            <w:vAlign w:val="bottom"/>
            <w:tcBorders>
              <w:bottom w:val="single" w:sz="8" w:color="8FAADC"/>
              <w:right w:val="single" w:sz="8" w:color="8FAADC"/>
            </w:tcBorders>
            <w:shd w:val="clear" w:color="auto" w:fill="DAE3F3"/>
          </w:tcPr>
          <w:p>
            <w:pPr>
              <w:spacing w:after="0"/>
              <w:rPr>
                <w:sz w:val="18"/>
                <w:szCs w:val="18"/>
                <w:color w:val="auto"/>
              </w:rPr>
            </w:pPr>
          </w:p>
        </w:tc>
        <w:tc>
          <w:tcPr>
            <w:tcW w:w="4200" w:type="dxa"/>
            <w:vAlign w:val="bottom"/>
            <w:tcBorders>
              <w:bottom w:val="single" w:sz="8" w:color="8FAADC"/>
              <w:right w:val="single" w:sz="8" w:color="8FAADC"/>
            </w:tcBorders>
            <w:shd w:val="clear" w:color="auto" w:fill="DAE3F3"/>
          </w:tcPr>
          <w:p>
            <w:pPr>
              <w:ind w:left="100"/>
              <w:spacing w:after="0"/>
              <w:rPr>
                <w:sz w:val="20"/>
                <w:szCs w:val="20"/>
                <w:color w:val="auto"/>
              </w:rPr>
            </w:pPr>
            <w:r>
              <w:rPr>
                <w:rFonts w:ascii="Times New Roman" w:cs="Times New Roman" w:eastAsia="Times New Roman" w:hAnsi="Times New Roman"/>
                <w:sz w:val="18"/>
                <w:szCs w:val="18"/>
                <w:color w:val="auto"/>
              </w:rPr>
              <w:t>Executive VP and Chief Financial Officer</w:t>
            </w:r>
          </w:p>
        </w:tc>
        <w:tc>
          <w:tcPr>
            <w:tcW w:w="260" w:type="dxa"/>
            <w:vAlign w:val="bottom"/>
            <w:tcBorders>
              <w:bottom w:val="single" w:sz="8" w:color="8FAADC"/>
              <w:right w:val="single" w:sz="8" w:color="8FAADC"/>
            </w:tcBorders>
            <w:shd w:val="clear" w:color="auto" w:fill="DAE3F3"/>
          </w:tcPr>
          <w:p>
            <w:pPr>
              <w:spacing w:after="0"/>
              <w:rPr>
                <w:sz w:val="18"/>
                <w:szCs w:val="18"/>
                <w:color w:val="auto"/>
              </w:rPr>
            </w:pPr>
          </w:p>
        </w:tc>
        <w:tc>
          <w:tcPr>
            <w:tcW w:w="180" w:type="dxa"/>
            <w:vAlign w:val="bottom"/>
            <w:tcBorders>
              <w:bottom w:val="single" w:sz="8" w:color="8FAADC"/>
            </w:tcBorders>
            <w:shd w:val="clear" w:color="auto" w:fill="DAE3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8FAADC"/>
              <w:right w:val="single" w:sz="8" w:color="8FAADC"/>
            </w:tcBorders>
            <w:shd w:val="clear" w:color="auto" w:fill="DAE3F3"/>
          </w:tcPr>
          <w:p>
            <w:pPr>
              <w:spacing w:after="0"/>
              <w:rPr>
                <w:sz w:val="18"/>
                <w:szCs w:val="18"/>
                <w:color w:val="auto"/>
              </w:rPr>
            </w:pPr>
          </w:p>
        </w:tc>
        <w:tc>
          <w:tcPr>
            <w:tcW w:w="102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8"/>
                <w:szCs w:val="18"/>
                <w:color w:val="auto"/>
              </w:rPr>
              <w:t>485,000</w:t>
            </w:r>
          </w:p>
        </w:tc>
        <w:tc>
          <w:tcPr>
            <w:tcW w:w="180" w:type="dxa"/>
            <w:vAlign w:val="bottom"/>
            <w:tcBorders>
              <w:bottom w:val="single" w:sz="8" w:color="8FAADC"/>
            </w:tcBorders>
            <w:shd w:val="clear" w:color="auto" w:fill="DAE3F3"/>
          </w:tcPr>
          <w:p>
            <w:pPr>
              <w:spacing w:after="0"/>
              <w:rPr>
                <w:sz w:val="18"/>
                <w:szCs w:val="18"/>
                <w:color w:val="auto"/>
              </w:rPr>
            </w:pPr>
          </w:p>
        </w:tc>
        <w:tc>
          <w:tcPr>
            <w:tcW w:w="80" w:type="dxa"/>
            <w:vAlign w:val="bottom"/>
            <w:tcBorders>
              <w:bottom w:val="single" w:sz="8" w:color="8FAADC"/>
            </w:tcBorders>
            <w:shd w:val="clear" w:color="auto" w:fill="DAE3F3"/>
          </w:tcPr>
          <w:p>
            <w:pPr>
              <w:spacing w:after="0"/>
              <w:rPr>
                <w:sz w:val="18"/>
                <w:szCs w:val="18"/>
                <w:color w:val="auto"/>
              </w:rPr>
            </w:pPr>
          </w:p>
        </w:tc>
      </w:tr>
      <w:tr>
        <w:trPr>
          <w:trHeight w:val="210"/>
        </w:trPr>
        <w:tc>
          <w:tcPr>
            <w:tcW w:w="230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Gregory F. Redinbo, Ph.D.</w:t>
            </w:r>
          </w:p>
        </w:tc>
        <w:tc>
          <w:tcPr>
            <w:tcW w:w="320" w:type="dxa"/>
            <w:vAlign w:val="bottom"/>
            <w:tcBorders>
              <w:bottom w:val="single" w:sz="8" w:color="8FAADC"/>
              <w:right w:val="single" w:sz="8" w:color="8FAADC"/>
            </w:tcBorders>
          </w:tcPr>
          <w:p>
            <w:pPr>
              <w:spacing w:after="0"/>
              <w:rPr>
                <w:sz w:val="18"/>
                <w:szCs w:val="18"/>
                <w:color w:val="auto"/>
              </w:rPr>
            </w:pPr>
          </w:p>
        </w:tc>
        <w:tc>
          <w:tcPr>
            <w:tcW w:w="4200" w:type="dxa"/>
            <w:vAlign w:val="bottom"/>
            <w:tcBorders>
              <w:bottom w:val="single" w:sz="8" w:color="8FAADC"/>
              <w:right w:val="single" w:sz="8" w:color="8FAADC"/>
            </w:tcBorders>
          </w:tcPr>
          <w:p>
            <w:pPr>
              <w:ind w:left="100"/>
              <w:spacing w:after="0"/>
              <w:rPr>
                <w:sz w:val="20"/>
                <w:szCs w:val="20"/>
                <w:color w:val="auto"/>
              </w:rPr>
            </w:pPr>
            <w:r>
              <w:rPr>
                <w:rFonts w:ascii="Times New Roman" w:cs="Times New Roman" w:eastAsia="Times New Roman" w:hAnsi="Times New Roman"/>
                <w:sz w:val="18"/>
                <w:szCs w:val="18"/>
                <w:color w:val="auto"/>
              </w:rPr>
              <w:t>Executive VP, Marketing and Applications</w:t>
            </w:r>
          </w:p>
        </w:tc>
        <w:tc>
          <w:tcPr>
            <w:tcW w:w="260" w:type="dxa"/>
            <w:vAlign w:val="bottom"/>
            <w:tcBorders>
              <w:bottom w:val="single" w:sz="8" w:color="8FAADC"/>
              <w:right w:val="single" w:sz="8" w:color="8FAADC"/>
            </w:tcBorders>
          </w:tcPr>
          <w:p>
            <w:pPr>
              <w:spacing w:after="0"/>
              <w:rPr>
                <w:sz w:val="18"/>
                <w:szCs w:val="18"/>
                <w:color w:val="auto"/>
              </w:rPr>
            </w:pPr>
          </w:p>
        </w:tc>
        <w:tc>
          <w:tcPr>
            <w:tcW w:w="180" w:type="dxa"/>
            <w:vAlign w:val="bottom"/>
            <w:tcBorders>
              <w:bottom w:val="single" w:sz="8" w:color="8FAAD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8FAADC"/>
              <w:right w:val="single" w:sz="8" w:color="8FAADC"/>
            </w:tcBorders>
          </w:tcPr>
          <w:p>
            <w:pPr>
              <w:spacing w:after="0"/>
              <w:rPr>
                <w:sz w:val="18"/>
                <w:szCs w:val="18"/>
                <w:color w:val="auto"/>
              </w:rPr>
            </w:pPr>
          </w:p>
        </w:tc>
        <w:tc>
          <w:tcPr>
            <w:tcW w:w="102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325,000</w:t>
            </w:r>
          </w:p>
        </w:tc>
        <w:tc>
          <w:tcPr>
            <w:tcW w:w="180" w:type="dxa"/>
            <w:vAlign w:val="bottom"/>
            <w:tcBorders>
              <w:bottom w:val="single" w:sz="8" w:color="8FAADC"/>
            </w:tcBorders>
          </w:tcPr>
          <w:p>
            <w:pPr>
              <w:spacing w:after="0"/>
              <w:rPr>
                <w:sz w:val="18"/>
                <w:szCs w:val="18"/>
                <w:color w:val="auto"/>
              </w:rPr>
            </w:pPr>
          </w:p>
        </w:tc>
        <w:tc>
          <w:tcPr>
            <w:tcW w:w="80" w:type="dxa"/>
            <w:vAlign w:val="bottom"/>
            <w:tcBorders>
              <w:bottom w:val="single" w:sz="8" w:color="8FAADC"/>
            </w:tcBorders>
          </w:tcPr>
          <w:p>
            <w:pPr>
              <w:spacing w:after="0"/>
              <w:rPr>
                <w:sz w:val="18"/>
                <w:szCs w:val="18"/>
                <w:color w:val="auto"/>
              </w:rPr>
            </w:pPr>
          </w:p>
        </w:tc>
      </w:tr>
      <w:tr>
        <w:trPr>
          <w:trHeight w:val="209"/>
        </w:trPr>
        <w:tc>
          <w:tcPr>
            <w:tcW w:w="230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8"/>
                <w:szCs w:val="18"/>
                <w:color w:val="auto"/>
              </w:rPr>
              <w:t>Christopher J. Tatnall</w:t>
            </w:r>
          </w:p>
        </w:tc>
        <w:tc>
          <w:tcPr>
            <w:tcW w:w="320" w:type="dxa"/>
            <w:vAlign w:val="bottom"/>
            <w:tcBorders>
              <w:bottom w:val="single" w:sz="8" w:color="8FAADC"/>
              <w:right w:val="single" w:sz="8" w:color="8FAADC"/>
            </w:tcBorders>
            <w:shd w:val="clear" w:color="auto" w:fill="DAE3F3"/>
          </w:tcPr>
          <w:p>
            <w:pPr>
              <w:spacing w:after="0"/>
              <w:rPr>
                <w:sz w:val="18"/>
                <w:szCs w:val="18"/>
                <w:color w:val="auto"/>
              </w:rPr>
            </w:pPr>
          </w:p>
        </w:tc>
        <w:tc>
          <w:tcPr>
            <w:tcW w:w="4200" w:type="dxa"/>
            <w:vAlign w:val="bottom"/>
            <w:tcBorders>
              <w:bottom w:val="single" w:sz="8" w:color="8FAADC"/>
              <w:right w:val="single" w:sz="8" w:color="8FAADC"/>
            </w:tcBorders>
            <w:shd w:val="clear" w:color="auto" w:fill="DAE3F3"/>
          </w:tcPr>
          <w:p>
            <w:pPr>
              <w:ind w:left="100"/>
              <w:spacing w:after="0"/>
              <w:rPr>
                <w:sz w:val="20"/>
                <w:szCs w:val="20"/>
                <w:color w:val="auto"/>
              </w:rPr>
            </w:pPr>
            <w:r>
              <w:rPr>
                <w:rFonts w:ascii="Times New Roman" w:cs="Times New Roman" w:eastAsia="Times New Roman" w:hAnsi="Times New Roman"/>
                <w:sz w:val="18"/>
                <w:szCs w:val="18"/>
                <w:color w:val="auto"/>
              </w:rPr>
              <w:t>Executive VP, Global Customer Operations</w:t>
            </w:r>
          </w:p>
        </w:tc>
        <w:tc>
          <w:tcPr>
            <w:tcW w:w="260" w:type="dxa"/>
            <w:vAlign w:val="bottom"/>
            <w:tcBorders>
              <w:bottom w:val="single" w:sz="8" w:color="8FAADC"/>
              <w:right w:val="single" w:sz="8" w:color="8FAADC"/>
            </w:tcBorders>
            <w:shd w:val="clear" w:color="auto" w:fill="DAE3F3"/>
          </w:tcPr>
          <w:p>
            <w:pPr>
              <w:spacing w:after="0"/>
              <w:rPr>
                <w:sz w:val="18"/>
                <w:szCs w:val="18"/>
                <w:color w:val="auto"/>
              </w:rPr>
            </w:pPr>
          </w:p>
        </w:tc>
        <w:tc>
          <w:tcPr>
            <w:tcW w:w="180" w:type="dxa"/>
            <w:vAlign w:val="bottom"/>
            <w:tcBorders>
              <w:bottom w:val="single" w:sz="8" w:color="8FAADC"/>
            </w:tcBorders>
            <w:shd w:val="clear" w:color="auto" w:fill="DAE3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8FAADC"/>
              <w:right w:val="single" w:sz="8" w:color="8FAADC"/>
            </w:tcBorders>
            <w:shd w:val="clear" w:color="auto" w:fill="DAE3F3"/>
          </w:tcPr>
          <w:p>
            <w:pPr>
              <w:spacing w:after="0"/>
              <w:rPr>
                <w:sz w:val="18"/>
                <w:szCs w:val="18"/>
                <w:color w:val="auto"/>
              </w:rPr>
            </w:pPr>
          </w:p>
        </w:tc>
        <w:tc>
          <w:tcPr>
            <w:tcW w:w="1020" w:type="dxa"/>
            <w:vAlign w:val="bottom"/>
            <w:tcBorders>
              <w:bottom w:val="single" w:sz="8" w:color="8FAADC"/>
              <w:right w:val="single" w:sz="8" w:color="8FAADC"/>
            </w:tcBorders>
            <w:shd w:val="clear" w:color="auto" w:fill="DAE3F3"/>
          </w:tcPr>
          <w:p>
            <w:pPr>
              <w:ind w:left="80"/>
              <w:spacing w:after="0"/>
              <w:rPr>
                <w:sz w:val="20"/>
                <w:szCs w:val="20"/>
                <w:color w:val="auto"/>
              </w:rPr>
            </w:pPr>
            <w:r>
              <w:rPr>
                <w:rFonts w:ascii="Times New Roman" w:cs="Times New Roman" w:eastAsia="Times New Roman" w:hAnsi="Times New Roman"/>
                <w:sz w:val="18"/>
                <w:szCs w:val="18"/>
                <w:color w:val="auto"/>
              </w:rPr>
              <w:t>325,000</w:t>
            </w:r>
          </w:p>
        </w:tc>
        <w:tc>
          <w:tcPr>
            <w:tcW w:w="180" w:type="dxa"/>
            <w:vAlign w:val="bottom"/>
            <w:tcBorders>
              <w:bottom w:val="single" w:sz="8" w:color="8FAADC"/>
            </w:tcBorders>
            <w:shd w:val="clear" w:color="auto" w:fill="DAE3F3"/>
          </w:tcPr>
          <w:p>
            <w:pPr>
              <w:spacing w:after="0"/>
              <w:rPr>
                <w:sz w:val="18"/>
                <w:szCs w:val="18"/>
                <w:color w:val="auto"/>
              </w:rPr>
            </w:pPr>
          </w:p>
        </w:tc>
        <w:tc>
          <w:tcPr>
            <w:tcW w:w="80" w:type="dxa"/>
            <w:vAlign w:val="bottom"/>
            <w:tcBorders>
              <w:bottom w:val="single" w:sz="8" w:color="8FAADC"/>
            </w:tcBorders>
            <w:shd w:val="clear" w:color="auto" w:fill="DAE3F3"/>
          </w:tcPr>
          <w:p>
            <w:pPr>
              <w:spacing w:after="0"/>
              <w:rPr>
                <w:sz w:val="18"/>
                <w:szCs w:val="18"/>
                <w:color w:val="auto"/>
              </w:rPr>
            </w:pPr>
          </w:p>
        </w:tc>
      </w:tr>
      <w:tr>
        <w:trPr>
          <w:trHeight w:val="210"/>
        </w:trPr>
        <w:tc>
          <w:tcPr>
            <w:tcW w:w="230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Gerald M. Blumenstock</w:t>
            </w:r>
          </w:p>
        </w:tc>
        <w:tc>
          <w:tcPr>
            <w:tcW w:w="320" w:type="dxa"/>
            <w:vAlign w:val="bottom"/>
            <w:tcBorders>
              <w:bottom w:val="single" w:sz="8" w:color="8FAADC"/>
              <w:right w:val="single" w:sz="8" w:color="8FAADC"/>
            </w:tcBorders>
          </w:tcPr>
          <w:p>
            <w:pPr>
              <w:spacing w:after="0"/>
              <w:rPr>
                <w:sz w:val="18"/>
                <w:szCs w:val="18"/>
                <w:color w:val="auto"/>
              </w:rPr>
            </w:pPr>
          </w:p>
        </w:tc>
        <w:tc>
          <w:tcPr>
            <w:tcW w:w="4200" w:type="dxa"/>
            <w:vAlign w:val="bottom"/>
            <w:tcBorders>
              <w:bottom w:val="single" w:sz="8" w:color="8FAADC"/>
              <w:right w:val="single" w:sz="8" w:color="8FAADC"/>
            </w:tcBorders>
          </w:tcPr>
          <w:p>
            <w:pPr>
              <w:ind w:left="100"/>
              <w:spacing w:after="0"/>
              <w:rPr>
                <w:sz w:val="20"/>
                <w:szCs w:val="20"/>
                <w:color w:val="auto"/>
              </w:rPr>
            </w:pPr>
            <w:r>
              <w:rPr>
                <w:rFonts w:ascii="Times New Roman" w:cs="Times New Roman" w:eastAsia="Times New Roman" w:hAnsi="Times New Roman"/>
                <w:sz w:val="18"/>
                <w:szCs w:val="18"/>
                <w:color w:val="auto"/>
              </w:rPr>
              <w:t>Executive VP, Research, Development &amp; Engineering</w:t>
            </w:r>
          </w:p>
        </w:tc>
        <w:tc>
          <w:tcPr>
            <w:tcW w:w="260" w:type="dxa"/>
            <w:vAlign w:val="bottom"/>
            <w:tcBorders>
              <w:bottom w:val="single" w:sz="8" w:color="8FAADC"/>
              <w:right w:val="single" w:sz="8" w:color="8FAADC"/>
            </w:tcBorders>
          </w:tcPr>
          <w:p>
            <w:pPr>
              <w:spacing w:after="0"/>
              <w:rPr>
                <w:sz w:val="18"/>
                <w:szCs w:val="18"/>
                <w:color w:val="auto"/>
              </w:rPr>
            </w:pPr>
          </w:p>
        </w:tc>
        <w:tc>
          <w:tcPr>
            <w:tcW w:w="180" w:type="dxa"/>
            <w:vAlign w:val="bottom"/>
            <w:tcBorders>
              <w:bottom w:val="single" w:sz="8" w:color="8FAAD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8FAADC"/>
              <w:right w:val="single" w:sz="8" w:color="8FAADC"/>
            </w:tcBorders>
          </w:tcPr>
          <w:p>
            <w:pPr>
              <w:spacing w:after="0"/>
              <w:rPr>
                <w:sz w:val="18"/>
                <w:szCs w:val="18"/>
                <w:color w:val="auto"/>
              </w:rPr>
            </w:pPr>
          </w:p>
        </w:tc>
        <w:tc>
          <w:tcPr>
            <w:tcW w:w="1020" w:type="dxa"/>
            <w:vAlign w:val="bottom"/>
            <w:tcBorders>
              <w:bottom w:val="single" w:sz="8" w:color="8FAADC"/>
              <w:right w:val="single" w:sz="8" w:color="8FAADC"/>
            </w:tcBorders>
          </w:tcPr>
          <w:p>
            <w:pPr>
              <w:ind w:left="80"/>
              <w:spacing w:after="0"/>
              <w:rPr>
                <w:sz w:val="20"/>
                <w:szCs w:val="20"/>
                <w:color w:val="auto"/>
              </w:rPr>
            </w:pPr>
            <w:r>
              <w:rPr>
                <w:rFonts w:ascii="Times New Roman" w:cs="Times New Roman" w:eastAsia="Times New Roman" w:hAnsi="Times New Roman"/>
                <w:sz w:val="18"/>
                <w:szCs w:val="18"/>
                <w:color w:val="auto"/>
              </w:rPr>
              <w:t>325,000</w:t>
            </w:r>
          </w:p>
        </w:tc>
        <w:tc>
          <w:tcPr>
            <w:tcW w:w="180" w:type="dxa"/>
            <w:vAlign w:val="bottom"/>
            <w:tcBorders>
              <w:bottom w:val="single" w:sz="8" w:color="8FAADC"/>
            </w:tcBorders>
          </w:tcPr>
          <w:p>
            <w:pPr>
              <w:spacing w:after="0"/>
              <w:rPr>
                <w:sz w:val="18"/>
                <w:szCs w:val="18"/>
                <w:color w:val="auto"/>
              </w:rPr>
            </w:pPr>
          </w:p>
        </w:tc>
        <w:tc>
          <w:tcPr>
            <w:tcW w:w="80" w:type="dxa"/>
            <w:vAlign w:val="bottom"/>
            <w:tcBorders>
              <w:bottom w:val="single" w:sz="8" w:color="8FAADC"/>
            </w:tcBorders>
          </w:tcPr>
          <w:p>
            <w:pPr>
              <w:spacing w:after="0"/>
              <w:rPr>
                <w:sz w:val="18"/>
                <w:szCs w:val="18"/>
                <w:color w:val="auto"/>
              </w:rPr>
            </w:pPr>
          </w:p>
        </w:tc>
      </w:tr>
      <w:tr>
        <w:trPr>
          <w:trHeight w:val="770"/>
        </w:trPr>
        <w:tc>
          <w:tcPr>
            <w:tcW w:w="2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4" w:name="page85"/>
    <w:bookmarkEnd w:id="84"/>
    <w:p>
      <w:pPr>
        <w:ind w:left="7860"/>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Non-Employee Director Cash Compensation at February 15, 2025</w:t>
      </w:r>
    </w:p>
    <w:p>
      <w:pPr>
        <w:spacing w:after="0" w:line="207" w:lineRule="exact"/>
        <w:rPr>
          <w:sz w:val="20"/>
          <w:szCs w:val="20"/>
          <w:color w:val="auto"/>
        </w:rPr>
      </w:pPr>
    </w:p>
    <w:p>
      <w:pPr>
        <w:ind w:left="200" w:right="440" w:firstLine="648"/>
        <w:spacing w:after="0" w:line="258" w:lineRule="auto"/>
        <w:rPr>
          <w:sz w:val="20"/>
          <w:szCs w:val="20"/>
          <w:color w:val="auto"/>
        </w:rPr>
      </w:pPr>
      <w:r>
        <w:rPr>
          <w:rFonts w:ascii="Times New Roman" w:cs="Times New Roman" w:eastAsia="Times New Roman" w:hAnsi="Times New Roman"/>
          <w:sz w:val="18"/>
          <w:szCs w:val="18"/>
          <w:color w:val="auto"/>
        </w:rPr>
        <w:t>This Exhibit discloses the current understandings with respect to cash compensation between Axcelis Technologies, Inc. (the “Company”) and each of its non-employee directors. Axcelis provides cash retainers to its non-employee directors, as follows:</w:t>
      </w:r>
    </w:p>
    <w:p>
      <w:pPr>
        <w:spacing w:after="0" w:line="189" w:lineRule="exact"/>
        <w:rPr>
          <w:sz w:val="20"/>
          <w:szCs w:val="20"/>
          <w:color w:val="auto"/>
        </w:rPr>
      </w:pPr>
    </w:p>
    <w:tbl>
      <w:tblPr>
        <w:tblLayout w:type="fixed"/>
        <w:tblInd w:w="230" w:type="dxa"/>
        <w:tblCellMar>
          <w:top w:w="0" w:type="dxa"/>
          <w:left w:w="0" w:type="dxa"/>
          <w:bottom w:w="0" w:type="dxa"/>
          <w:right w:w="0" w:type="dxa"/>
        </w:tblCellMar>
      </w:tblPr>
      <w:tr>
        <w:trPr>
          <w:trHeight w:val="220"/>
        </w:trPr>
        <w:tc>
          <w:tcPr>
            <w:tcW w:w="5380" w:type="dxa"/>
            <w:vAlign w:val="bottom"/>
            <w:tcBorders>
              <w:left w:val="single" w:sz="8" w:color="4472C4"/>
              <w:right w:val="single" w:sz="8" w:color="4472C4"/>
            </w:tcBorders>
            <w:shd w:val="clear" w:color="auto" w:fill="4472C4"/>
          </w:tcPr>
          <w:p>
            <w:pPr>
              <w:ind w:left="100"/>
              <w:spacing w:after="0"/>
              <w:rPr>
                <w:sz w:val="20"/>
                <w:szCs w:val="20"/>
                <w:color w:val="auto"/>
              </w:rPr>
            </w:pPr>
            <w:r>
              <w:rPr>
                <w:rFonts w:ascii="Calibri" w:cs="Calibri" w:eastAsia="Calibri" w:hAnsi="Calibri"/>
                <w:sz w:val="18"/>
                <w:szCs w:val="18"/>
                <w:b w:val="1"/>
                <w:bCs w:val="1"/>
                <w:color w:val="FFFFFF"/>
              </w:rPr>
              <w:t>Role</w:t>
            </w:r>
          </w:p>
        </w:tc>
        <w:tc>
          <w:tcPr>
            <w:tcW w:w="3600" w:type="dxa"/>
            <w:vAlign w:val="bottom"/>
            <w:tcBorders>
              <w:right w:val="single" w:sz="8" w:color="4472C4"/>
            </w:tcBorders>
            <w:shd w:val="clear" w:color="auto" w:fill="4472C4"/>
          </w:tcPr>
          <w:p>
            <w:pPr>
              <w:jc w:val="center"/>
              <w:spacing w:after="0"/>
              <w:rPr>
                <w:sz w:val="20"/>
                <w:szCs w:val="20"/>
                <w:color w:val="auto"/>
              </w:rPr>
            </w:pPr>
            <w:r>
              <w:rPr>
                <w:rFonts w:ascii="Calibri" w:cs="Calibri" w:eastAsia="Calibri" w:hAnsi="Calibri"/>
                <w:sz w:val="18"/>
                <w:szCs w:val="18"/>
                <w:b w:val="1"/>
                <w:bCs w:val="1"/>
                <w:color w:val="FFFFFF"/>
                <w:w w:val="98"/>
              </w:rPr>
              <w:t>Annual Retainers in Efect as of July 1, 2024 to</w:t>
            </w:r>
          </w:p>
        </w:tc>
      </w:tr>
      <w:tr>
        <w:trPr>
          <w:trHeight w:val="215"/>
        </w:trPr>
        <w:tc>
          <w:tcPr>
            <w:tcW w:w="5380" w:type="dxa"/>
            <w:vAlign w:val="bottom"/>
            <w:tcBorders>
              <w:left w:val="single" w:sz="8" w:color="4472C4"/>
              <w:right w:val="single" w:sz="8" w:color="4472C4"/>
            </w:tcBorders>
            <w:shd w:val="clear" w:color="auto" w:fill="4472C4"/>
          </w:tcPr>
          <w:p>
            <w:pPr>
              <w:spacing w:after="0"/>
              <w:rPr>
                <w:sz w:val="18"/>
                <w:szCs w:val="18"/>
                <w:color w:val="auto"/>
              </w:rPr>
            </w:pPr>
          </w:p>
        </w:tc>
        <w:tc>
          <w:tcPr>
            <w:tcW w:w="3600" w:type="dxa"/>
            <w:vAlign w:val="bottom"/>
            <w:tcBorders>
              <w:right w:val="single" w:sz="8" w:color="4472C4"/>
            </w:tcBorders>
            <w:shd w:val="clear" w:color="auto" w:fill="4472C4"/>
          </w:tcPr>
          <w:p>
            <w:pPr>
              <w:jc w:val="center"/>
              <w:spacing w:after="0" w:line="215" w:lineRule="exact"/>
              <w:rPr>
                <w:sz w:val="20"/>
                <w:szCs w:val="20"/>
                <w:color w:val="auto"/>
              </w:rPr>
            </w:pPr>
            <w:r>
              <w:rPr>
                <w:rFonts w:ascii="Calibri" w:cs="Calibri" w:eastAsia="Calibri" w:hAnsi="Calibri"/>
                <w:sz w:val="18"/>
                <w:szCs w:val="18"/>
                <w:b w:val="1"/>
                <w:bCs w:val="1"/>
                <w:color w:val="FFFFFF"/>
                <w:w w:val="99"/>
              </w:rPr>
              <w:t>date, paid quarterly in advance</w:t>
            </w:r>
          </w:p>
        </w:tc>
      </w:tr>
      <w:tr>
        <w:trPr>
          <w:trHeight w:val="23"/>
        </w:trPr>
        <w:tc>
          <w:tcPr>
            <w:tcW w:w="5380" w:type="dxa"/>
            <w:vAlign w:val="bottom"/>
            <w:tcBorders>
              <w:left w:val="single" w:sz="8" w:color="4472C4"/>
              <w:bottom w:val="single" w:sz="8" w:color="4472C4"/>
              <w:right w:val="single" w:sz="8" w:color="4472C4"/>
            </w:tcBorders>
            <w:shd w:val="clear" w:color="auto" w:fill="4472C4"/>
          </w:tcPr>
          <w:p>
            <w:pPr>
              <w:spacing w:after="0"/>
              <w:rPr>
                <w:sz w:val="2"/>
                <w:szCs w:val="2"/>
                <w:color w:val="auto"/>
              </w:rPr>
            </w:pPr>
          </w:p>
        </w:tc>
        <w:tc>
          <w:tcPr>
            <w:tcW w:w="3600" w:type="dxa"/>
            <w:vAlign w:val="bottom"/>
            <w:tcBorders>
              <w:bottom w:val="single" w:sz="8" w:color="4472C4"/>
              <w:right w:val="single" w:sz="8" w:color="4472C4"/>
            </w:tcBorders>
            <w:shd w:val="clear" w:color="auto" w:fill="4472C4"/>
          </w:tcPr>
          <w:p>
            <w:pPr>
              <w:spacing w:after="0"/>
              <w:rPr>
                <w:sz w:val="2"/>
                <w:szCs w:val="2"/>
                <w:color w:val="auto"/>
              </w:rPr>
            </w:pPr>
          </w:p>
        </w:tc>
      </w:tr>
      <w:tr>
        <w:trPr>
          <w:trHeight w:val="208"/>
        </w:trPr>
        <w:tc>
          <w:tcPr>
            <w:tcW w:w="5380" w:type="dxa"/>
            <w:vAlign w:val="bottom"/>
            <w:tcBorders>
              <w:left w:val="single" w:sz="8" w:color="8FAADC"/>
              <w:right w:val="single" w:sz="8" w:color="8FAADC"/>
            </w:tcBorders>
            <w:shd w:val="clear" w:color="auto" w:fill="DAE3F3"/>
          </w:tcPr>
          <w:p>
            <w:pPr>
              <w:ind w:left="100"/>
              <w:spacing w:after="0" w:line="208" w:lineRule="exact"/>
              <w:rPr>
                <w:sz w:val="20"/>
                <w:szCs w:val="20"/>
                <w:color w:val="auto"/>
              </w:rPr>
            </w:pPr>
            <w:r>
              <w:rPr>
                <w:rFonts w:ascii="Calibri" w:cs="Calibri" w:eastAsia="Calibri" w:hAnsi="Calibri"/>
                <w:sz w:val="18"/>
                <w:szCs w:val="18"/>
                <w:b w:val="1"/>
                <w:bCs w:val="1"/>
                <w:color w:val="auto"/>
              </w:rPr>
              <w:t>Board Member</w:t>
            </w:r>
          </w:p>
        </w:tc>
        <w:tc>
          <w:tcPr>
            <w:tcW w:w="3600" w:type="dxa"/>
            <w:vAlign w:val="bottom"/>
            <w:tcBorders>
              <w:right w:val="single" w:sz="8" w:color="8FAADC"/>
            </w:tcBorders>
            <w:shd w:val="clear" w:color="auto" w:fill="DAE3F3"/>
          </w:tcPr>
          <w:p>
            <w:pPr>
              <w:jc w:val="center"/>
              <w:spacing w:after="0" w:line="208" w:lineRule="exact"/>
              <w:rPr>
                <w:sz w:val="20"/>
                <w:szCs w:val="20"/>
                <w:color w:val="auto"/>
              </w:rPr>
            </w:pPr>
            <w:r>
              <w:rPr>
                <w:rFonts w:ascii="Calibri" w:cs="Calibri" w:eastAsia="Calibri" w:hAnsi="Calibri"/>
                <w:sz w:val="18"/>
                <w:szCs w:val="18"/>
                <w:color w:val="auto"/>
                <w:w w:val="97"/>
              </w:rPr>
              <w:t>$65,000</w:t>
            </w:r>
          </w:p>
        </w:tc>
      </w:tr>
      <w:tr>
        <w:trPr>
          <w:trHeight w:val="69"/>
        </w:trPr>
        <w:tc>
          <w:tcPr>
            <w:tcW w:w="5380" w:type="dxa"/>
            <w:vAlign w:val="bottom"/>
            <w:tcBorders>
              <w:left w:val="single" w:sz="8" w:color="8FAADC"/>
              <w:bottom w:val="single" w:sz="8" w:color="8FAADC"/>
              <w:right w:val="single" w:sz="8" w:color="8FAADC"/>
            </w:tcBorders>
            <w:shd w:val="clear" w:color="auto" w:fill="DAE3F3"/>
          </w:tcPr>
          <w:p>
            <w:pPr>
              <w:spacing w:after="0"/>
              <w:rPr>
                <w:sz w:val="5"/>
                <w:szCs w:val="5"/>
                <w:color w:val="auto"/>
              </w:rPr>
            </w:pPr>
          </w:p>
        </w:tc>
        <w:tc>
          <w:tcPr>
            <w:tcW w:w="3600" w:type="dxa"/>
            <w:vAlign w:val="bottom"/>
            <w:tcBorders>
              <w:bottom w:val="single" w:sz="8" w:color="8FAADC"/>
              <w:right w:val="single" w:sz="8" w:color="8FAADC"/>
            </w:tcBorders>
            <w:shd w:val="clear" w:color="auto" w:fill="DAE3F3"/>
          </w:tcPr>
          <w:p>
            <w:pPr>
              <w:spacing w:after="0"/>
              <w:rPr>
                <w:sz w:val="5"/>
                <w:szCs w:val="5"/>
                <w:color w:val="auto"/>
              </w:rPr>
            </w:pPr>
          </w:p>
        </w:tc>
      </w:tr>
      <w:tr>
        <w:trPr>
          <w:trHeight w:val="208"/>
        </w:trPr>
        <w:tc>
          <w:tcPr>
            <w:tcW w:w="5380" w:type="dxa"/>
            <w:vAlign w:val="bottom"/>
            <w:tcBorders>
              <w:left w:val="single" w:sz="8" w:color="8FAADC"/>
              <w:right w:val="single" w:sz="8" w:color="8FAADC"/>
            </w:tcBorders>
          </w:tcPr>
          <w:p>
            <w:pPr>
              <w:ind w:left="100"/>
              <w:spacing w:after="0" w:line="208" w:lineRule="exact"/>
              <w:rPr>
                <w:sz w:val="20"/>
                <w:szCs w:val="20"/>
                <w:color w:val="auto"/>
              </w:rPr>
            </w:pPr>
            <w:r>
              <w:rPr>
                <w:rFonts w:ascii="Calibri" w:cs="Calibri" w:eastAsia="Calibri" w:hAnsi="Calibri"/>
                <w:sz w:val="18"/>
                <w:szCs w:val="18"/>
                <w:b w:val="1"/>
                <w:bCs w:val="1"/>
                <w:color w:val="auto"/>
              </w:rPr>
              <w:t>Audit Commitee Chair</w:t>
            </w:r>
          </w:p>
        </w:tc>
        <w:tc>
          <w:tcPr>
            <w:tcW w:w="3600" w:type="dxa"/>
            <w:vAlign w:val="bottom"/>
            <w:tcBorders>
              <w:right w:val="single" w:sz="8" w:color="8FAADC"/>
            </w:tcBorders>
          </w:tcPr>
          <w:p>
            <w:pPr>
              <w:jc w:val="center"/>
              <w:spacing w:after="0" w:line="208" w:lineRule="exact"/>
              <w:rPr>
                <w:sz w:val="20"/>
                <w:szCs w:val="20"/>
                <w:color w:val="auto"/>
              </w:rPr>
            </w:pPr>
            <w:r>
              <w:rPr>
                <w:rFonts w:ascii="Calibri" w:cs="Calibri" w:eastAsia="Calibri" w:hAnsi="Calibri"/>
                <w:sz w:val="18"/>
                <w:szCs w:val="18"/>
                <w:color w:val="auto"/>
                <w:w w:val="97"/>
              </w:rPr>
              <w:t>$25,000</w:t>
            </w:r>
          </w:p>
        </w:tc>
      </w:tr>
      <w:tr>
        <w:trPr>
          <w:trHeight w:val="69"/>
        </w:trPr>
        <w:tc>
          <w:tcPr>
            <w:tcW w:w="5380" w:type="dxa"/>
            <w:vAlign w:val="bottom"/>
            <w:tcBorders>
              <w:left w:val="single" w:sz="8" w:color="8FAADC"/>
              <w:bottom w:val="single" w:sz="8" w:color="8FAADC"/>
              <w:right w:val="single" w:sz="8" w:color="8FAADC"/>
            </w:tcBorders>
          </w:tcPr>
          <w:p>
            <w:pPr>
              <w:spacing w:after="0"/>
              <w:rPr>
                <w:sz w:val="5"/>
                <w:szCs w:val="5"/>
                <w:color w:val="auto"/>
              </w:rPr>
            </w:pPr>
          </w:p>
        </w:tc>
        <w:tc>
          <w:tcPr>
            <w:tcW w:w="3600" w:type="dxa"/>
            <w:vAlign w:val="bottom"/>
            <w:tcBorders>
              <w:bottom w:val="single" w:sz="8" w:color="8FAADC"/>
              <w:right w:val="single" w:sz="8" w:color="8FAADC"/>
            </w:tcBorders>
          </w:tcPr>
          <w:p>
            <w:pPr>
              <w:spacing w:after="0"/>
              <w:rPr>
                <w:sz w:val="5"/>
                <w:szCs w:val="5"/>
                <w:color w:val="auto"/>
              </w:rPr>
            </w:pPr>
          </w:p>
        </w:tc>
      </w:tr>
      <w:tr>
        <w:trPr>
          <w:trHeight w:val="208"/>
        </w:trPr>
        <w:tc>
          <w:tcPr>
            <w:tcW w:w="5380" w:type="dxa"/>
            <w:vAlign w:val="bottom"/>
            <w:tcBorders>
              <w:left w:val="single" w:sz="8" w:color="8FAADC"/>
              <w:right w:val="single" w:sz="8" w:color="8FAADC"/>
            </w:tcBorders>
            <w:shd w:val="clear" w:color="auto" w:fill="DAE3F3"/>
          </w:tcPr>
          <w:p>
            <w:pPr>
              <w:ind w:left="100"/>
              <w:spacing w:after="0" w:line="208" w:lineRule="exact"/>
              <w:rPr>
                <w:sz w:val="20"/>
                <w:szCs w:val="20"/>
                <w:color w:val="auto"/>
              </w:rPr>
            </w:pPr>
            <w:r>
              <w:rPr>
                <w:rFonts w:ascii="Calibri" w:cs="Calibri" w:eastAsia="Calibri" w:hAnsi="Calibri"/>
                <w:sz w:val="18"/>
                <w:szCs w:val="18"/>
                <w:b w:val="1"/>
                <w:bCs w:val="1"/>
                <w:color w:val="auto"/>
              </w:rPr>
              <w:t>Compensaton Commitee Chair</w:t>
            </w:r>
          </w:p>
        </w:tc>
        <w:tc>
          <w:tcPr>
            <w:tcW w:w="3600" w:type="dxa"/>
            <w:vAlign w:val="bottom"/>
            <w:tcBorders>
              <w:right w:val="single" w:sz="8" w:color="8FAADC"/>
            </w:tcBorders>
            <w:shd w:val="clear" w:color="auto" w:fill="DAE3F3"/>
          </w:tcPr>
          <w:p>
            <w:pPr>
              <w:jc w:val="center"/>
              <w:spacing w:after="0" w:line="208" w:lineRule="exact"/>
              <w:rPr>
                <w:sz w:val="20"/>
                <w:szCs w:val="20"/>
                <w:color w:val="auto"/>
              </w:rPr>
            </w:pPr>
            <w:r>
              <w:rPr>
                <w:rFonts w:ascii="Calibri" w:cs="Calibri" w:eastAsia="Calibri" w:hAnsi="Calibri"/>
                <w:sz w:val="18"/>
                <w:szCs w:val="18"/>
                <w:color w:val="auto"/>
                <w:w w:val="97"/>
              </w:rPr>
              <w:t>$20,000</w:t>
            </w:r>
          </w:p>
        </w:tc>
      </w:tr>
      <w:tr>
        <w:trPr>
          <w:trHeight w:val="69"/>
        </w:trPr>
        <w:tc>
          <w:tcPr>
            <w:tcW w:w="5380" w:type="dxa"/>
            <w:vAlign w:val="bottom"/>
            <w:tcBorders>
              <w:left w:val="single" w:sz="8" w:color="8FAADC"/>
              <w:bottom w:val="single" w:sz="8" w:color="8FAADC"/>
              <w:right w:val="single" w:sz="8" w:color="8FAADC"/>
            </w:tcBorders>
            <w:shd w:val="clear" w:color="auto" w:fill="DAE3F3"/>
          </w:tcPr>
          <w:p>
            <w:pPr>
              <w:spacing w:after="0"/>
              <w:rPr>
                <w:sz w:val="5"/>
                <w:szCs w:val="5"/>
                <w:color w:val="auto"/>
              </w:rPr>
            </w:pPr>
          </w:p>
        </w:tc>
        <w:tc>
          <w:tcPr>
            <w:tcW w:w="3600" w:type="dxa"/>
            <w:vAlign w:val="bottom"/>
            <w:tcBorders>
              <w:bottom w:val="single" w:sz="8" w:color="8FAADC"/>
              <w:right w:val="single" w:sz="8" w:color="8FAADC"/>
            </w:tcBorders>
            <w:shd w:val="clear" w:color="auto" w:fill="DAE3F3"/>
          </w:tcPr>
          <w:p>
            <w:pPr>
              <w:spacing w:after="0"/>
              <w:rPr>
                <w:sz w:val="5"/>
                <w:szCs w:val="5"/>
                <w:color w:val="auto"/>
              </w:rPr>
            </w:pPr>
          </w:p>
        </w:tc>
      </w:tr>
      <w:tr>
        <w:trPr>
          <w:trHeight w:val="208"/>
        </w:trPr>
        <w:tc>
          <w:tcPr>
            <w:tcW w:w="5380" w:type="dxa"/>
            <w:vAlign w:val="bottom"/>
            <w:tcBorders>
              <w:left w:val="single" w:sz="8" w:color="8FAADC"/>
              <w:right w:val="single" w:sz="8" w:color="8FAADC"/>
            </w:tcBorders>
          </w:tcPr>
          <w:p>
            <w:pPr>
              <w:ind w:left="100"/>
              <w:spacing w:after="0" w:line="208" w:lineRule="exact"/>
              <w:rPr>
                <w:sz w:val="20"/>
                <w:szCs w:val="20"/>
                <w:color w:val="auto"/>
              </w:rPr>
            </w:pPr>
            <w:r>
              <w:rPr>
                <w:rFonts w:ascii="Calibri" w:cs="Calibri" w:eastAsia="Calibri" w:hAnsi="Calibri"/>
                <w:sz w:val="18"/>
                <w:szCs w:val="18"/>
                <w:b w:val="1"/>
                <w:bCs w:val="1"/>
                <w:color w:val="auto"/>
              </w:rPr>
              <w:t>Nominatng and Governance Commitee Chair</w:t>
            </w:r>
          </w:p>
        </w:tc>
        <w:tc>
          <w:tcPr>
            <w:tcW w:w="3600" w:type="dxa"/>
            <w:vAlign w:val="bottom"/>
            <w:tcBorders>
              <w:right w:val="single" w:sz="8" w:color="8FAADC"/>
            </w:tcBorders>
          </w:tcPr>
          <w:p>
            <w:pPr>
              <w:jc w:val="center"/>
              <w:spacing w:after="0" w:line="208" w:lineRule="exact"/>
              <w:rPr>
                <w:sz w:val="20"/>
                <w:szCs w:val="20"/>
                <w:color w:val="auto"/>
              </w:rPr>
            </w:pPr>
            <w:r>
              <w:rPr>
                <w:rFonts w:ascii="Calibri" w:cs="Calibri" w:eastAsia="Calibri" w:hAnsi="Calibri"/>
                <w:sz w:val="18"/>
                <w:szCs w:val="18"/>
                <w:color w:val="auto"/>
                <w:w w:val="97"/>
              </w:rPr>
              <w:t>$10,000</w:t>
            </w:r>
          </w:p>
        </w:tc>
      </w:tr>
      <w:tr>
        <w:trPr>
          <w:trHeight w:val="69"/>
        </w:trPr>
        <w:tc>
          <w:tcPr>
            <w:tcW w:w="5380" w:type="dxa"/>
            <w:vAlign w:val="bottom"/>
            <w:tcBorders>
              <w:left w:val="single" w:sz="8" w:color="8FAADC"/>
              <w:bottom w:val="single" w:sz="8" w:color="8FAADC"/>
              <w:right w:val="single" w:sz="8" w:color="8FAADC"/>
            </w:tcBorders>
          </w:tcPr>
          <w:p>
            <w:pPr>
              <w:spacing w:after="0"/>
              <w:rPr>
                <w:sz w:val="5"/>
                <w:szCs w:val="5"/>
                <w:color w:val="auto"/>
              </w:rPr>
            </w:pPr>
          </w:p>
        </w:tc>
        <w:tc>
          <w:tcPr>
            <w:tcW w:w="3600" w:type="dxa"/>
            <w:vAlign w:val="bottom"/>
            <w:tcBorders>
              <w:bottom w:val="single" w:sz="8" w:color="8FAADC"/>
              <w:right w:val="single" w:sz="8" w:color="8FAADC"/>
            </w:tcBorders>
          </w:tcPr>
          <w:p>
            <w:pPr>
              <w:spacing w:after="0"/>
              <w:rPr>
                <w:sz w:val="5"/>
                <w:szCs w:val="5"/>
                <w:color w:val="auto"/>
              </w:rPr>
            </w:pPr>
          </w:p>
        </w:tc>
      </w:tr>
      <w:tr>
        <w:trPr>
          <w:trHeight w:val="208"/>
        </w:trPr>
        <w:tc>
          <w:tcPr>
            <w:tcW w:w="5380" w:type="dxa"/>
            <w:vAlign w:val="bottom"/>
            <w:tcBorders>
              <w:left w:val="single" w:sz="8" w:color="8FAADC"/>
              <w:right w:val="single" w:sz="8" w:color="8FAADC"/>
            </w:tcBorders>
            <w:shd w:val="clear" w:color="auto" w:fill="DAE3F3"/>
          </w:tcPr>
          <w:p>
            <w:pPr>
              <w:ind w:left="100"/>
              <w:spacing w:after="0" w:line="208" w:lineRule="exact"/>
              <w:rPr>
                <w:sz w:val="20"/>
                <w:szCs w:val="20"/>
                <w:color w:val="auto"/>
              </w:rPr>
            </w:pPr>
            <w:r>
              <w:rPr>
                <w:rFonts w:ascii="Calibri" w:cs="Calibri" w:eastAsia="Calibri" w:hAnsi="Calibri"/>
                <w:sz w:val="18"/>
                <w:szCs w:val="18"/>
                <w:b w:val="1"/>
                <w:bCs w:val="1"/>
                <w:color w:val="auto"/>
              </w:rPr>
              <w:t>Technology and New Product Development Commitee Chair</w:t>
            </w:r>
          </w:p>
        </w:tc>
        <w:tc>
          <w:tcPr>
            <w:tcW w:w="3600" w:type="dxa"/>
            <w:vAlign w:val="bottom"/>
            <w:tcBorders>
              <w:right w:val="single" w:sz="8" w:color="8FAADC"/>
            </w:tcBorders>
            <w:shd w:val="clear" w:color="auto" w:fill="DAE3F3"/>
          </w:tcPr>
          <w:p>
            <w:pPr>
              <w:jc w:val="center"/>
              <w:spacing w:after="0" w:line="208" w:lineRule="exact"/>
              <w:rPr>
                <w:sz w:val="20"/>
                <w:szCs w:val="20"/>
                <w:color w:val="auto"/>
              </w:rPr>
            </w:pPr>
            <w:r>
              <w:rPr>
                <w:rFonts w:ascii="Calibri" w:cs="Calibri" w:eastAsia="Calibri" w:hAnsi="Calibri"/>
                <w:sz w:val="18"/>
                <w:szCs w:val="18"/>
                <w:color w:val="auto"/>
                <w:w w:val="97"/>
              </w:rPr>
              <w:t>$10,000</w:t>
            </w:r>
          </w:p>
        </w:tc>
      </w:tr>
      <w:tr>
        <w:trPr>
          <w:trHeight w:val="69"/>
        </w:trPr>
        <w:tc>
          <w:tcPr>
            <w:tcW w:w="5380" w:type="dxa"/>
            <w:vAlign w:val="bottom"/>
            <w:tcBorders>
              <w:left w:val="single" w:sz="8" w:color="8FAADC"/>
              <w:bottom w:val="single" w:sz="8" w:color="8FAADC"/>
              <w:right w:val="single" w:sz="8" w:color="8FAADC"/>
            </w:tcBorders>
            <w:shd w:val="clear" w:color="auto" w:fill="DAE3F3"/>
          </w:tcPr>
          <w:p>
            <w:pPr>
              <w:spacing w:after="0"/>
              <w:rPr>
                <w:sz w:val="5"/>
                <w:szCs w:val="5"/>
                <w:color w:val="auto"/>
              </w:rPr>
            </w:pPr>
          </w:p>
        </w:tc>
        <w:tc>
          <w:tcPr>
            <w:tcW w:w="3600" w:type="dxa"/>
            <w:vAlign w:val="bottom"/>
            <w:tcBorders>
              <w:bottom w:val="single" w:sz="8" w:color="8FAADC"/>
              <w:right w:val="single" w:sz="8" w:color="8FAADC"/>
            </w:tcBorders>
            <w:shd w:val="clear" w:color="auto" w:fill="DAE3F3"/>
          </w:tcPr>
          <w:p>
            <w:pPr>
              <w:spacing w:after="0"/>
              <w:rPr>
                <w:sz w:val="5"/>
                <w:szCs w:val="5"/>
                <w:color w:val="auto"/>
              </w:rPr>
            </w:pPr>
          </w:p>
        </w:tc>
      </w:tr>
      <w:tr>
        <w:trPr>
          <w:trHeight w:val="208"/>
        </w:trPr>
        <w:tc>
          <w:tcPr>
            <w:tcW w:w="5380" w:type="dxa"/>
            <w:vAlign w:val="bottom"/>
            <w:tcBorders>
              <w:left w:val="single" w:sz="8" w:color="8FAADC"/>
              <w:right w:val="single" w:sz="8" w:color="8FAADC"/>
            </w:tcBorders>
          </w:tcPr>
          <w:p>
            <w:pPr>
              <w:ind w:left="100"/>
              <w:spacing w:after="0" w:line="208" w:lineRule="exact"/>
              <w:rPr>
                <w:sz w:val="20"/>
                <w:szCs w:val="20"/>
                <w:color w:val="auto"/>
              </w:rPr>
            </w:pPr>
            <w:r>
              <w:rPr>
                <w:rFonts w:ascii="Calibri" w:cs="Calibri" w:eastAsia="Calibri" w:hAnsi="Calibri"/>
                <w:sz w:val="18"/>
                <w:szCs w:val="18"/>
                <w:b w:val="1"/>
                <w:bCs w:val="1"/>
                <w:color w:val="auto"/>
              </w:rPr>
              <w:t>Audit Commitee Member</w:t>
            </w:r>
          </w:p>
        </w:tc>
        <w:tc>
          <w:tcPr>
            <w:tcW w:w="3600" w:type="dxa"/>
            <w:vAlign w:val="bottom"/>
            <w:tcBorders>
              <w:right w:val="single" w:sz="8" w:color="8FAADC"/>
            </w:tcBorders>
          </w:tcPr>
          <w:p>
            <w:pPr>
              <w:jc w:val="center"/>
              <w:spacing w:after="0" w:line="208" w:lineRule="exact"/>
              <w:rPr>
                <w:sz w:val="20"/>
                <w:szCs w:val="20"/>
                <w:color w:val="auto"/>
              </w:rPr>
            </w:pPr>
            <w:r>
              <w:rPr>
                <w:rFonts w:ascii="Calibri" w:cs="Calibri" w:eastAsia="Calibri" w:hAnsi="Calibri"/>
                <w:sz w:val="18"/>
                <w:szCs w:val="18"/>
                <w:color w:val="auto"/>
                <w:w w:val="97"/>
              </w:rPr>
              <w:t>$12,500</w:t>
            </w:r>
          </w:p>
        </w:tc>
      </w:tr>
      <w:tr>
        <w:trPr>
          <w:trHeight w:val="69"/>
        </w:trPr>
        <w:tc>
          <w:tcPr>
            <w:tcW w:w="5380" w:type="dxa"/>
            <w:vAlign w:val="bottom"/>
            <w:tcBorders>
              <w:left w:val="single" w:sz="8" w:color="8FAADC"/>
              <w:bottom w:val="single" w:sz="8" w:color="8FAADC"/>
              <w:right w:val="single" w:sz="8" w:color="8FAADC"/>
            </w:tcBorders>
          </w:tcPr>
          <w:p>
            <w:pPr>
              <w:spacing w:after="0"/>
              <w:rPr>
                <w:sz w:val="5"/>
                <w:szCs w:val="5"/>
                <w:color w:val="auto"/>
              </w:rPr>
            </w:pPr>
          </w:p>
        </w:tc>
        <w:tc>
          <w:tcPr>
            <w:tcW w:w="3600" w:type="dxa"/>
            <w:vAlign w:val="bottom"/>
            <w:tcBorders>
              <w:bottom w:val="single" w:sz="8" w:color="8FAADC"/>
              <w:right w:val="single" w:sz="8" w:color="8FAADC"/>
            </w:tcBorders>
          </w:tcPr>
          <w:p>
            <w:pPr>
              <w:spacing w:after="0"/>
              <w:rPr>
                <w:sz w:val="5"/>
                <w:szCs w:val="5"/>
                <w:color w:val="auto"/>
              </w:rPr>
            </w:pPr>
          </w:p>
        </w:tc>
      </w:tr>
      <w:tr>
        <w:trPr>
          <w:trHeight w:val="208"/>
        </w:trPr>
        <w:tc>
          <w:tcPr>
            <w:tcW w:w="5380" w:type="dxa"/>
            <w:vAlign w:val="bottom"/>
            <w:tcBorders>
              <w:left w:val="single" w:sz="8" w:color="8FAADC"/>
              <w:right w:val="single" w:sz="8" w:color="8FAADC"/>
            </w:tcBorders>
            <w:shd w:val="clear" w:color="auto" w:fill="DAE3F3"/>
          </w:tcPr>
          <w:p>
            <w:pPr>
              <w:ind w:left="100"/>
              <w:spacing w:after="0" w:line="208" w:lineRule="exact"/>
              <w:rPr>
                <w:sz w:val="20"/>
                <w:szCs w:val="20"/>
                <w:color w:val="auto"/>
              </w:rPr>
            </w:pPr>
            <w:r>
              <w:rPr>
                <w:rFonts w:ascii="Calibri" w:cs="Calibri" w:eastAsia="Calibri" w:hAnsi="Calibri"/>
                <w:sz w:val="18"/>
                <w:szCs w:val="18"/>
                <w:b w:val="1"/>
                <w:bCs w:val="1"/>
                <w:color w:val="auto"/>
              </w:rPr>
              <w:t>Compensaton Commitee Member</w:t>
            </w:r>
          </w:p>
        </w:tc>
        <w:tc>
          <w:tcPr>
            <w:tcW w:w="3600" w:type="dxa"/>
            <w:vAlign w:val="bottom"/>
            <w:tcBorders>
              <w:right w:val="single" w:sz="8" w:color="8FAADC"/>
            </w:tcBorders>
            <w:shd w:val="clear" w:color="auto" w:fill="DAE3F3"/>
          </w:tcPr>
          <w:p>
            <w:pPr>
              <w:jc w:val="center"/>
              <w:spacing w:after="0" w:line="208" w:lineRule="exact"/>
              <w:rPr>
                <w:sz w:val="20"/>
                <w:szCs w:val="20"/>
                <w:color w:val="auto"/>
              </w:rPr>
            </w:pPr>
            <w:r>
              <w:rPr>
                <w:rFonts w:ascii="Calibri" w:cs="Calibri" w:eastAsia="Calibri" w:hAnsi="Calibri"/>
                <w:sz w:val="18"/>
                <w:szCs w:val="18"/>
                <w:color w:val="auto"/>
                <w:w w:val="97"/>
              </w:rPr>
              <w:t>$10,000</w:t>
            </w:r>
          </w:p>
        </w:tc>
      </w:tr>
      <w:tr>
        <w:trPr>
          <w:trHeight w:val="69"/>
        </w:trPr>
        <w:tc>
          <w:tcPr>
            <w:tcW w:w="5380" w:type="dxa"/>
            <w:vAlign w:val="bottom"/>
            <w:tcBorders>
              <w:left w:val="single" w:sz="8" w:color="8FAADC"/>
              <w:bottom w:val="single" w:sz="8" w:color="8FAADC"/>
              <w:right w:val="single" w:sz="8" w:color="8FAADC"/>
            </w:tcBorders>
            <w:shd w:val="clear" w:color="auto" w:fill="DAE3F3"/>
          </w:tcPr>
          <w:p>
            <w:pPr>
              <w:spacing w:after="0"/>
              <w:rPr>
                <w:sz w:val="5"/>
                <w:szCs w:val="5"/>
                <w:color w:val="auto"/>
              </w:rPr>
            </w:pPr>
          </w:p>
        </w:tc>
        <w:tc>
          <w:tcPr>
            <w:tcW w:w="3600" w:type="dxa"/>
            <w:vAlign w:val="bottom"/>
            <w:tcBorders>
              <w:bottom w:val="single" w:sz="8" w:color="8FAADC"/>
              <w:right w:val="single" w:sz="8" w:color="8FAADC"/>
            </w:tcBorders>
            <w:shd w:val="clear" w:color="auto" w:fill="DAE3F3"/>
          </w:tcPr>
          <w:p>
            <w:pPr>
              <w:spacing w:after="0"/>
              <w:rPr>
                <w:sz w:val="5"/>
                <w:szCs w:val="5"/>
                <w:color w:val="auto"/>
              </w:rPr>
            </w:pPr>
          </w:p>
        </w:tc>
      </w:tr>
      <w:tr>
        <w:trPr>
          <w:trHeight w:val="208"/>
        </w:trPr>
        <w:tc>
          <w:tcPr>
            <w:tcW w:w="5380" w:type="dxa"/>
            <w:vAlign w:val="bottom"/>
            <w:tcBorders>
              <w:left w:val="single" w:sz="8" w:color="8FAADC"/>
              <w:right w:val="single" w:sz="8" w:color="8FAADC"/>
            </w:tcBorders>
          </w:tcPr>
          <w:p>
            <w:pPr>
              <w:ind w:left="100"/>
              <w:spacing w:after="0" w:line="208" w:lineRule="exact"/>
              <w:rPr>
                <w:sz w:val="20"/>
                <w:szCs w:val="20"/>
                <w:color w:val="auto"/>
              </w:rPr>
            </w:pPr>
            <w:r>
              <w:rPr>
                <w:rFonts w:ascii="Calibri" w:cs="Calibri" w:eastAsia="Calibri" w:hAnsi="Calibri"/>
                <w:sz w:val="18"/>
                <w:szCs w:val="18"/>
                <w:b w:val="1"/>
                <w:bCs w:val="1"/>
                <w:color w:val="auto"/>
              </w:rPr>
              <w:t>Nominatng and Governance Commitee Member</w:t>
            </w:r>
          </w:p>
        </w:tc>
        <w:tc>
          <w:tcPr>
            <w:tcW w:w="3600" w:type="dxa"/>
            <w:vAlign w:val="bottom"/>
            <w:tcBorders>
              <w:right w:val="single" w:sz="8" w:color="8FAADC"/>
            </w:tcBorders>
          </w:tcPr>
          <w:p>
            <w:pPr>
              <w:jc w:val="center"/>
              <w:spacing w:after="0" w:line="208" w:lineRule="exact"/>
              <w:rPr>
                <w:sz w:val="20"/>
                <w:szCs w:val="20"/>
                <w:color w:val="auto"/>
              </w:rPr>
            </w:pPr>
            <w:r>
              <w:rPr>
                <w:rFonts w:ascii="Calibri" w:cs="Calibri" w:eastAsia="Calibri" w:hAnsi="Calibri"/>
                <w:sz w:val="18"/>
                <w:szCs w:val="18"/>
                <w:color w:val="auto"/>
                <w:w w:val="99"/>
              </w:rPr>
              <w:t>$5,000</w:t>
            </w:r>
          </w:p>
        </w:tc>
      </w:tr>
      <w:tr>
        <w:trPr>
          <w:trHeight w:val="96"/>
        </w:trPr>
        <w:tc>
          <w:tcPr>
            <w:tcW w:w="5380" w:type="dxa"/>
            <w:vAlign w:val="bottom"/>
            <w:tcBorders>
              <w:left w:val="single" w:sz="8" w:color="8FAADC"/>
              <w:bottom w:val="single" w:sz="8" w:color="8FAADC"/>
              <w:right w:val="single" w:sz="8" w:color="8FAADC"/>
            </w:tcBorders>
          </w:tcPr>
          <w:p>
            <w:pPr>
              <w:spacing w:after="0"/>
              <w:rPr>
                <w:sz w:val="8"/>
                <w:szCs w:val="8"/>
                <w:color w:val="auto"/>
              </w:rPr>
            </w:pPr>
          </w:p>
        </w:tc>
        <w:tc>
          <w:tcPr>
            <w:tcW w:w="3600" w:type="dxa"/>
            <w:vAlign w:val="bottom"/>
            <w:tcBorders>
              <w:bottom w:val="single" w:sz="8" w:color="8FAADC"/>
              <w:right w:val="single" w:sz="8" w:color="8FAADC"/>
            </w:tcBorders>
          </w:tcPr>
          <w:p>
            <w:pPr>
              <w:spacing w:after="0"/>
              <w:rPr>
                <w:sz w:val="8"/>
                <w:szCs w:val="8"/>
                <w:color w:val="auto"/>
              </w:rPr>
            </w:pPr>
          </w:p>
        </w:tc>
      </w:tr>
      <w:tr>
        <w:trPr>
          <w:trHeight w:val="209"/>
        </w:trPr>
        <w:tc>
          <w:tcPr>
            <w:tcW w:w="5380" w:type="dxa"/>
            <w:vAlign w:val="bottom"/>
            <w:tcBorders>
              <w:left w:val="single" w:sz="8" w:color="8FAADC"/>
              <w:bottom w:val="single" w:sz="8" w:color="8FAADC"/>
              <w:right w:val="single" w:sz="8" w:color="8FAADC"/>
            </w:tcBorders>
            <w:shd w:val="clear" w:color="auto" w:fill="DAE3F3"/>
          </w:tcPr>
          <w:p>
            <w:pPr>
              <w:ind w:left="100"/>
              <w:spacing w:after="0" w:line="209" w:lineRule="exact"/>
              <w:rPr>
                <w:sz w:val="20"/>
                <w:szCs w:val="20"/>
                <w:color w:val="auto"/>
              </w:rPr>
            </w:pPr>
            <w:r>
              <w:rPr>
                <w:rFonts w:ascii="Calibri" w:cs="Calibri" w:eastAsia="Calibri" w:hAnsi="Calibri"/>
                <w:sz w:val="18"/>
                <w:szCs w:val="18"/>
                <w:b w:val="1"/>
                <w:bCs w:val="1"/>
                <w:color w:val="auto"/>
              </w:rPr>
              <w:t>Technology and New Product Development Commitee Member</w:t>
            </w:r>
          </w:p>
        </w:tc>
        <w:tc>
          <w:tcPr>
            <w:tcW w:w="3600" w:type="dxa"/>
            <w:vAlign w:val="bottom"/>
            <w:tcBorders>
              <w:bottom w:val="single" w:sz="8" w:color="8FAADC"/>
              <w:right w:val="single" w:sz="8" w:color="8FAADC"/>
            </w:tcBorders>
            <w:shd w:val="clear" w:color="auto" w:fill="DAE3F3"/>
          </w:tcPr>
          <w:p>
            <w:pPr>
              <w:jc w:val="center"/>
              <w:spacing w:after="0" w:line="209" w:lineRule="exact"/>
              <w:rPr>
                <w:sz w:val="20"/>
                <w:szCs w:val="20"/>
                <w:color w:val="auto"/>
              </w:rPr>
            </w:pPr>
            <w:r>
              <w:rPr>
                <w:rFonts w:ascii="Calibri" w:cs="Calibri" w:eastAsia="Calibri" w:hAnsi="Calibri"/>
                <w:sz w:val="18"/>
                <w:szCs w:val="18"/>
                <w:color w:val="auto"/>
                <w:w w:val="99"/>
              </w:rPr>
              <w:t>$5,000</w:t>
            </w:r>
          </w:p>
        </w:tc>
      </w:tr>
      <w:tr>
        <w:trPr>
          <w:trHeight w:val="209"/>
        </w:trPr>
        <w:tc>
          <w:tcPr>
            <w:tcW w:w="5380" w:type="dxa"/>
            <w:vAlign w:val="bottom"/>
            <w:tcBorders>
              <w:left w:val="single" w:sz="8" w:color="8FAADC"/>
              <w:right w:val="single" w:sz="8" w:color="8FAADC"/>
            </w:tcBorders>
          </w:tcPr>
          <w:p>
            <w:pPr>
              <w:ind w:left="100"/>
              <w:spacing w:after="0" w:line="209" w:lineRule="exact"/>
              <w:rPr>
                <w:sz w:val="20"/>
                <w:szCs w:val="20"/>
                <w:color w:val="auto"/>
              </w:rPr>
            </w:pPr>
            <w:r>
              <w:rPr>
                <w:rFonts w:ascii="Calibri" w:cs="Calibri" w:eastAsia="Calibri" w:hAnsi="Calibri"/>
                <w:sz w:val="18"/>
                <w:szCs w:val="18"/>
                <w:b w:val="1"/>
                <w:bCs w:val="1"/>
                <w:color w:val="auto"/>
              </w:rPr>
              <w:t>Chairperson/Lead Director of the Board Premium</w:t>
            </w:r>
          </w:p>
        </w:tc>
        <w:tc>
          <w:tcPr>
            <w:tcW w:w="3600" w:type="dxa"/>
            <w:vAlign w:val="bottom"/>
            <w:tcBorders>
              <w:right w:val="single" w:sz="8" w:color="8FAADC"/>
            </w:tcBorders>
          </w:tcPr>
          <w:p>
            <w:pPr>
              <w:jc w:val="center"/>
              <w:spacing w:after="0" w:line="209" w:lineRule="exact"/>
              <w:rPr>
                <w:sz w:val="20"/>
                <w:szCs w:val="20"/>
                <w:color w:val="auto"/>
              </w:rPr>
            </w:pPr>
            <w:r>
              <w:rPr>
                <w:rFonts w:ascii="Calibri" w:cs="Calibri" w:eastAsia="Calibri" w:hAnsi="Calibri"/>
                <w:sz w:val="18"/>
                <w:szCs w:val="18"/>
                <w:color w:val="auto"/>
                <w:w w:val="97"/>
              </w:rPr>
              <w:t>$60,000</w:t>
            </w:r>
          </w:p>
        </w:tc>
      </w:tr>
      <w:tr>
        <w:trPr>
          <w:trHeight w:val="123"/>
        </w:trPr>
        <w:tc>
          <w:tcPr>
            <w:tcW w:w="5380" w:type="dxa"/>
            <w:vAlign w:val="bottom"/>
            <w:tcBorders>
              <w:left w:val="single" w:sz="8" w:color="8FAADC"/>
              <w:bottom w:val="single" w:sz="8" w:color="8FAADC"/>
              <w:right w:val="single" w:sz="8" w:color="8FAADC"/>
            </w:tcBorders>
          </w:tcPr>
          <w:p>
            <w:pPr>
              <w:spacing w:after="0"/>
              <w:rPr>
                <w:sz w:val="10"/>
                <w:szCs w:val="10"/>
                <w:color w:val="auto"/>
              </w:rPr>
            </w:pPr>
          </w:p>
        </w:tc>
        <w:tc>
          <w:tcPr>
            <w:tcW w:w="3600" w:type="dxa"/>
            <w:vAlign w:val="bottom"/>
            <w:tcBorders>
              <w:bottom w:val="single" w:sz="8" w:color="8FAADC"/>
              <w:right w:val="single" w:sz="8" w:color="8FAADC"/>
            </w:tcBorders>
          </w:tcPr>
          <w:p>
            <w:pPr>
              <w:spacing w:after="0"/>
              <w:rPr>
                <w:sz w:val="10"/>
                <w:szCs w:val="10"/>
                <w:color w:val="auto"/>
              </w:rPr>
            </w:pPr>
          </w:p>
        </w:tc>
      </w:tr>
    </w:tbl>
    <w:p>
      <w:pPr>
        <w:spacing w:after="0" w:line="200" w:lineRule="exact"/>
        <w:rPr>
          <w:sz w:val="20"/>
          <w:szCs w:val="20"/>
          <w:color w:val="auto"/>
        </w:rPr>
      </w:pPr>
    </w:p>
    <w:p>
      <w:pPr>
        <w:spacing w:after="0" w:line="214" w:lineRule="exact"/>
        <w:rPr>
          <w:sz w:val="20"/>
          <w:szCs w:val="20"/>
          <w:color w:val="auto"/>
        </w:rPr>
      </w:pPr>
    </w:p>
    <w:p>
      <w:pPr>
        <w:ind w:left="200" w:right="640" w:firstLine="648"/>
        <w:spacing w:after="0" w:line="282" w:lineRule="auto"/>
        <w:rPr>
          <w:sz w:val="20"/>
          <w:szCs w:val="20"/>
          <w:color w:val="auto"/>
        </w:rPr>
      </w:pPr>
      <w:r>
        <w:rPr>
          <w:rFonts w:ascii="Times New Roman" w:cs="Times New Roman" w:eastAsia="Times New Roman" w:hAnsi="Times New Roman"/>
          <w:sz w:val="18"/>
          <w:szCs w:val="18"/>
          <w:color w:val="auto"/>
        </w:rPr>
        <w:t>Non-employee directors also receive reimbursement of out-of-pocket expenses incurred in attending Board and committee meetings. Non-employee directors do not receive any Company-paid perquisites.</w:t>
      </w:r>
    </w:p>
    <w:p>
      <w:pPr>
        <w:spacing w:after="0" w:line="162" w:lineRule="exact"/>
        <w:rPr>
          <w:sz w:val="20"/>
          <w:szCs w:val="20"/>
          <w:color w:val="auto"/>
        </w:rPr>
      </w:pPr>
    </w:p>
    <w:p>
      <w:pPr>
        <w:ind w:left="200" w:right="480"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may, from time to time, form committees in addition to the Audit, Compensation, Nominating and Governance and Technology and Product Development Committees and set compensation for service on such additional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200"/>
          </w:cols>
          <w:pgMar w:left="1440" w:top="117" w:right="1259" w:bottom="1440" w:gutter="0" w:footer="0" w:header="0"/>
        </w:sectPr>
      </w:pPr>
    </w:p>
    <w:bookmarkStart w:id="85" w:name="page86"/>
    <w:bookmarkEnd w:id="8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Exhibit 21.1 to Form 10-K for the year ended December 31, 2024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5"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list of all direct and indirect wholly-owned subsidiaries of Axcelis Technologies, Inc. as of the date hereof:</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229" w:lineRule="exact"/>
        <w:rPr>
          <w:sz w:val="20"/>
          <w:szCs w:val="20"/>
          <w:color w:val="auto"/>
        </w:rPr>
      </w:pPr>
    </w:p>
    <w:p>
      <w:pPr>
        <w:ind w:left="700" w:hanging="656"/>
        <w:spacing w:after="0"/>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(Israel) Inc., a Delaware corporation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European Subsidiaries</w:t>
      </w:r>
    </w:p>
    <w:p>
      <w:pPr>
        <w:spacing w:after="0" w:line="229" w:lineRule="exact"/>
        <w:rPr>
          <w:sz w:val="20"/>
          <w:szCs w:val="20"/>
          <w:color w:val="auto"/>
        </w:rPr>
      </w:pPr>
    </w:p>
    <w:p>
      <w:pPr>
        <w:ind w:left="700" w:hanging="656"/>
        <w:spacing w:after="0"/>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GmbH (Germany)</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Srl (Italy)</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Sarl (France)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Asian Subsidiaries</w:t>
      </w:r>
    </w:p>
    <w:p>
      <w:pPr>
        <w:spacing w:after="0" w:line="229" w:lineRule="exact"/>
        <w:rPr>
          <w:sz w:val="20"/>
          <w:szCs w:val="20"/>
          <w:color w:val="auto"/>
        </w:rPr>
      </w:pPr>
    </w:p>
    <w:p>
      <w:pPr>
        <w:ind w:left="700" w:hanging="656"/>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KK (Japan)</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Limited (Korea)</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Ltd. (Taiwan)</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Pte. Ltd. (Singapore)</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Semiconductor Trading (Shanghai) Co., Ltd.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6" w:name="page87"/>
    <w:bookmarkEnd w:id="8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2" w:lineRule="exact"/>
        <w:rPr>
          <w:sz w:val="20"/>
          <w:szCs w:val="20"/>
          <w:color w:val="auto"/>
        </w:rPr>
      </w:pPr>
    </w:p>
    <w:p>
      <w:pPr>
        <w:ind w:left="1020" w:right="319" w:hanging="652"/>
        <w:spacing w:after="0" w:line="312" w:lineRule="auto"/>
        <w:tabs>
          <w:tab w:leader="none" w:pos="10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Nos. 333-181750, 333-188967, 333-196157, 333-204544, 333-211673, 333-218225 and 333-231634) pertaining to the 2012 Equity Incentive Plan of Axcelis Technologies, Inc.,</w:t>
      </w:r>
    </w:p>
    <w:p>
      <w:pPr>
        <w:spacing w:after="0" w:line="139" w:lineRule="exact"/>
        <w:rPr>
          <w:rFonts w:ascii="Times New Roman" w:cs="Times New Roman" w:eastAsia="Times New Roman" w:hAnsi="Times New Roman"/>
          <w:sz w:val="17"/>
          <w:szCs w:val="17"/>
          <w:color w:val="auto"/>
        </w:rPr>
      </w:pPr>
    </w:p>
    <w:p>
      <w:pPr>
        <w:ind w:left="1020" w:right="179" w:hanging="652"/>
        <w:spacing w:after="0" w:line="282"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333-238770) pertaining to the 2020 Employee Stock Purchase Plan of Axcelis Technologies, Inc.,</w:t>
      </w:r>
    </w:p>
    <w:p>
      <w:pPr>
        <w:spacing w:after="0" w:line="161" w:lineRule="exact"/>
        <w:rPr>
          <w:rFonts w:ascii="Times New Roman" w:cs="Times New Roman" w:eastAsia="Times New Roman" w:hAnsi="Times New Roman"/>
          <w:sz w:val="18"/>
          <w:szCs w:val="18"/>
          <w:color w:val="auto"/>
        </w:rPr>
      </w:pPr>
    </w:p>
    <w:p>
      <w:pPr>
        <w:ind w:left="1020" w:right="599" w:hanging="652"/>
        <w:spacing w:after="0" w:line="282"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333-120356) pertaining to the 2000 Stock Plan and 2012 Equity Incentive Plan, and</w:t>
      </w:r>
    </w:p>
    <w:p>
      <w:pPr>
        <w:spacing w:after="0" w:line="161" w:lineRule="exact"/>
        <w:rPr>
          <w:rFonts w:ascii="Times New Roman" w:cs="Times New Roman" w:eastAsia="Times New Roman" w:hAnsi="Times New Roman"/>
          <w:sz w:val="18"/>
          <w:szCs w:val="18"/>
          <w:color w:val="auto"/>
        </w:rPr>
      </w:pPr>
    </w:p>
    <w:p>
      <w:pPr>
        <w:ind w:left="1020" w:right="219" w:hanging="652"/>
        <w:spacing w:after="0" w:line="282"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333-273639) and related Prospectus of Axcelis Technologies, Inc. for the registration of common stock, preferred stock, warrants, debt securities and units;</w:t>
      </w:r>
    </w:p>
    <w:p>
      <w:pPr>
        <w:spacing w:after="0" w:line="162"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of our reports dated February 27, 2025, with respect to the consolidated financial statements and schedule of Axcelis Technologies, Inc. and the effectiveness of internal control over financial reporting of Axcelis Technologies, Inc. included in this Annual Report (Form 10-K) of Axcelis Technologies, Inc. for the year ended December 31, 2024.</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7" w:name="page88"/>
    <w:bookmarkEnd w:id="8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Russell J. Low, certify that:</w:t>
      </w:r>
    </w:p>
    <w:p>
      <w:pPr>
        <w:spacing w:after="0" w:line="171" w:lineRule="exact"/>
        <w:rPr>
          <w:sz w:val="20"/>
          <w:szCs w:val="20"/>
          <w:color w:val="auto"/>
        </w:rPr>
      </w:pPr>
    </w:p>
    <w:p>
      <w:pPr>
        <w:ind w:left="700" w:hanging="656"/>
        <w:spacing w:after="0"/>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Axcelis Technologies, Inc.;</w:t>
      </w:r>
    </w:p>
    <w:p>
      <w:pPr>
        <w:spacing w:after="0" w:line="171"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00" w:right="219" w:hanging="656"/>
        <w:spacing w:after="0" w:line="266" w:lineRule="auto"/>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700" w:right="379" w:hanging="656"/>
        <w:spacing w:after="0" w:line="289" w:lineRule="auto"/>
        <w:tabs>
          <w:tab w:leader="none" w:pos="7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3" w:lineRule="exact"/>
        <w:rPr>
          <w:rFonts w:ascii="Times New Roman" w:cs="Times New Roman" w:eastAsia="Times New Roman" w:hAnsi="Times New Roman"/>
          <w:sz w:val="17"/>
          <w:szCs w:val="17"/>
          <w:color w:val="auto"/>
        </w:rPr>
      </w:pPr>
    </w:p>
    <w:p>
      <w:pPr>
        <w:ind w:left="1340" w:right="119" w:hanging="648"/>
        <w:spacing w:after="0" w:line="261" w:lineRule="auto"/>
        <w:tabs>
          <w:tab w:leader="none" w:pos="13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40" w:right="139" w:hanging="648"/>
        <w:spacing w:after="0" w:line="261" w:lineRule="auto"/>
        <w:tabs>
          <w:tab w:leader="none" w:pos="13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12" w:lineRule="exact"/>
        <w:rPr>
          <w:rFonts w:ascii="Times New Roman" w:cs="Times New Roman" w:eastAsia="Times New Roman" w:hAnsi="Times New Roman"/>
          <w:sz w:val="18"/>
          <w:szCs w:val="18"/>
          <w:color w:val="auto"/>
        </w:rPr>
      </w:pPr>
    </w:p>
    <w:p>
      <w:pPr>
        <w:jc w:val="both"/>
        <w:ind w:left="700" w:right="379" w:hanging="656"/>
        <w:spacing w:after="0" w:line="266" w:lineRule="auto"/>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February 27, 2025</w:t>
            </w:r>
          </w:p>
        </w:tc>
        <w:tc>
          <w:tcPr>
            <w:tcW w:w="1340" w:type="dxa"/>
            <w:vAlign w:val="bottom"/>
          </w:tcPr>
          <w:p>
            <w:pPr>
              <w:spacing w:after="0"/>
              <w:rPr>
                <w:sz w:val="20"/>
                <w:szCs w:val="20"/>
                <w:color w:val="auto"/>
              </w:rPr>
            </w:pPr>
          </w:p>
        </w:tc>
        <w:tc>
          <w:tcPr>
            <w:tcW w:w="4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ussell</w:t>
            </w:r>
            <w:r>
              <w:rPr>
                <w:rFonts w:ascii="Times New Roman" w:cs="Times New Roman" w:eastAsia="Times New Roman" w:hAnsi="Times New Roman"/>
                <w:sz w:val="18"/>
                <w:szCs w:val="18"/>
                <w:color w:val="auto"/>
              </w:rPr>
              <w:t xml:space="preserve"> J. L</w:t>
            </w:r>
            <w:r>
              <w:rPr>
                <w:rFonts w:ascii="Times New Roman" w:cs="Times New Roman" w:eastAsia="Times New Roman" w:hAnsi="Times New Roman"/>
                <w:sz w:val="12"/>
                <w:szCs w:val="12"/>
                <w:color w:val="auto"/>
              </w:rPr>
              <w:t>ow</w:t>
            </w:r>
          </w:p>
        </w:tc>
      </w:tr>
      <w:tr>
        <w:trPr>
          <w:trHeight w:val="209"/>
        </w:trPr>
        <w:tc>
          <w:tcPr>
            <w:tcW w:w="3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Russell J. Low,</w:t>
            </w:r>
          </w:p>
        </w:tc>
      </w:tr>
      <w:tr>
        <w:trPr>
          <w:trHeight w:val="236"/>
        </w:trPr>
        <w:tc>
          <w:tcPr>
            <w:tcW w:w="3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r>
      <w:tr>
        <w:trPr>
          <w:trHeight w:val="877"/>
        </w:trPr>
        <w:tc>
          <w:tcPr>
            <w:tcW w:w="3120" w:type="dxa"/>
            <w:vAlign w:val="bottom"/>
          </w:tcPr>
          <w:p>
            <w:pPr>
              <w:spacing w:after="0"/>
              <w:rPr>
                <w:sz w:val="24"/>
                <w:szCs w:val="24"/>
                <w:color w:val="auto"/>
              </w:rPr>
            </w:pPr>
          </w:p>
        </w:tc>
        <w:tc>
          <w:tcPr>
            <w:tcW w:w="5800" w:type="dxa"/>
            <w:vAlign w:val="bottom"/>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1</w:t>
            </w:r>
          </w:p>
        </w:tc>
      </w:tr>
      <w:tr>
        <w:trPr>
          <w:trHeight w:val="561"/>
        </w:trPr>
        <w:tc>
          <w:tcPr>
            <w:tcW w:w="3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8" w:name="page89"/>
    <w:bookmarkEnd w:id="8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James G. Coogan, certify that:</w:t>
      </w:r>
    </w:p>
    <w:p>
      <w:pPr>
        <w:spacing w:after="0" w:line="171" w:lineRule="exact"/>
        <w:rPr>
          <w:sz w:val="20"/>
          <w:szCs w:val="20"/>
          <w:color w:val="auto"/>
        </w:rPr>
      </w:pPr>
    </w:p>
    <w:p>
      <w:pPr>
        <w:ind w:left="700" w:hanging="65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Axcelis Technologies, Inc.;</w:t>
      </w:r>
    </w:p>
    <w:p>
      <w:pPr>
        <w:spacing w:after="0" w:line="171"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00" w:right="219" w:hanging="656"/>
        <w:spacing w:after="0" w:line="266" w:lineRule="auto"/>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700" w:right="379" w:hanging="656"/>
        <w:spacing w:after="0" w:line="289" w:lineRule="auto"/>
        <w:tabs>
          <w:tab w:leader="none" w:pos="7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3" w:lineRule="exact"/>
        <w:rPr>
          <w:rFonts w:ascii="Times New Roman" w:cs="Times New Roman" w:eastAsia="Times New Roman" w:hAnsi="Times New Roman"/>
          <w:sz w:val="17"/>
          <w:szCs w:val="17"/>
          <w:color w:val="auto"/>
        </w:rPr>
      </w:pPr>
    </w:p>
    <w:p>
      <w:pPr>
        <w:ind w:left="1340" w:right="119" w:hanging="648"/>
        <w:spacing w:after="0" w:line="261" w:lineRule="auto"/>
        <w:tabs>
          <w:tab w:leader="none" w:pos="13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40" w:right="139" w:hanging="648"/>
        <w:spacing w:after="0" w:line="261" w:lineRule="auto"/>
        <w:tabs>
          <w:tab w:leader="none" w:pos="13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12" w:lineRule="exact"/>
        <w:rPr>
          <w:rFonts w:ascii="Times New Roman" w:cs="Times New Roman" w:eastAsia="Times New Roman" w:hAnsi="Times New Roman"/>
          <w:sz w:val="18"/>
          <w:szCs w:val="18"/>
          <w:color w:val="auto"/>
        </w:rPr>
      </w:pPr>
    </w:p>
    <w:p>
      <w:pPr>
        <w:jc w:val="both"/>
        <w:ind w:left="700" w:right="379" w:hanging="656"/>
        <w:spacing w:after="0" w:line="266" w:lineRule="auto"/>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1700" w:type="dxa"/>
            <w:vAlign w:val="bottom"/>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G. C</w:t>
            </w:r>
            <w:r>
              <w:rPr>
                <w:rFonts w:ascii="Times New Roman" w:cs="Times New Roman" w:eastAsia="Times New Roman" w:hAnsi="Times New Roman"/>
                <w:sz w:val="12"/>
                <w:szCs w:val="12"/>
                <w:color w:val="auto"/>
              </w:rPr>
              <w:t>oogan</w:t>
            </w:r>
          </w:p>
        </w:tc>
      </w:tr>
      <w:tr>
        <w:trPr>
          <w:trHeight w:val="209"/>
        </w:trPr>
        <w:tc>
          <w:tcPr>
            <w:tcW w:w="3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James G. Coogan,</w:t>
            </w:r>
          </w:p>
        </w:tc>
      </w:tr>
      <w:tr>
        <w:trPr>
          <w:trHeight w:val="236"/>
        </w:trPr>
        <w:tc>
          <w:tcPr>
            <w:tcW w:w="3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877"/>
        </w:trPr>
        <w:tc>
          <w:tcPr>
            <w:tcW w:w="3100" w:type="dxa"/>
            <w:vAlign w:val="bottom"/>
          </w:tcPr>
          <w:p>
            <w:pPr>
              <w:spacing w:after="0"/>
              <w:rPr>
                <w:sz w:val="24"/>
                <w:szCs w:val="24"/>
                <w:color w:val="auto"/>
              </w:rPr>
            </w:pP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spacing w:after="0"/>
              <w:rPr>
                <w:sz w:val="24"/>
                <w:szCs w:val="24"/>
                <w:color w:val="auto"/>
              </w:rPr>
            </w:pPr>
          </w:p>
        </w:tc>
      </w:tr>
      <w:tr>
        <w:trPr>
          <w:trHeight w:val="561"/>
        </w:trPr>
        <w:tc>
          <w:tcPr>
            <w:tcW w:w="3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9" w:name="page90"/>
    <w:bookmarkEnd w:id="8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5" w:lineRule="exact"/>
        <w:rPr>
          <w:sz w:val="20"/>
          <w:szCs w:val="20"/>
          <w:color w:val="auto"/>
        </w:rPr>
      </w:pPr>
    </w:p>
    <w:p>
      <w:pPr>
        <w:jc w:val="both"/>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76" w:lineRule="exact"/>
        <w:rPr>
          <w:sz w:val="20"/>
          <w:szCs w:val="20"/>
          <w:color w:val="auto"/>
        </w:rPr>
      </w:pPr>
    </w:p>
    <w:p>
      <w:pPr>
        <w:jc w:val="both"/>
        <w:ind w:left="40" w:right="439" w:firstLine="648"/>
        <w:spacing w:after="0" w:line="266" w:lineRule="auto"/>
        <w:rPr>
          <w:sz w:val="20"/>
          <w:szCs w:val="20"/>
          <w:color w:val="auto"/>
        </w:rPr>
      </w:pPr>
      <w:r>
        <w:rPr>
          <w:rFonts w:ascii="Times New Roman" w:cs="Times New Roman" w:eastAsia="Times New Roman" w:hAnsi="Times New Roman"/>
          <w:sz w:val="18"/>
          <w:szCs w:val="18"/>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27, 2025.</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ussell</w:t>
      </w:r>
      <w:r>
        <w:rPr>
          <w:rFonts w:ascii="Times New Roman" w:cs="Times New Roman" w:eastAsia="Times New Roman" w:hAnsi="Times New Roman"/>
          <w:sz w:val="18"/>
          <w:szCs w:val="18"/>
          <w:color w:val="auto"/>
        </w:rPr>
        <w:t xml:space="preserve"> J. </w:t>
      </w:r>
      <w:r>
        <w:rPr>
          <w:rFonts w:ascii="Times New Roman" w:cs="Times New Roman" w:eastAsia="Times New Roman" w:hAnsi="Times New Roman"/>
          <w:sz w:val="12"/>
          <w:szCs w:val="12"/>
          <w:color w:val="auto"/>
        </w:rPr>
        <w:t>low</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8289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 of Axcelis</w:t>
      </w:r>
    </w:p>
    <w:p>
      <w:pPr>
        <w:spacing w:after="0" w:line="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0" w:name="page91"/>
    <w:bookmarkEnd w:id="9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5" w:lineRule="exact"/>
        <w:rPr>
          <w:sz w:val="20"/>
          <w:szCs w:val="20"/>
          <w:color w:val="auto"/>
        </w:rPr>
      </w:pPr>
    </w:p>
    <w:p>
      <w:pPr>
        <w:jc w:val="both"/>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76" w:lineRule="exact"/>
        <w:rPr>
          <w:sz w:val="20"/>
          <w:szCs w:val="20"/>
          <w:color w:val="auto"/>
        </w:rPr>
      </w:pPr>
    </w:p>
    <w:p>
      <w:pPr>
        <w:jc w:val="both"/>
        <w:ind w:left="40" w:right="439" w:firstLine="648"/>
        <w:spacing w:after="0" w:line="266" w:lineRule="auto"/>
        <w:rPr>
          <w:sz w:val="20"/>
          <w:szCs w:val="20"/>
          <w:color w:val="auto"/>
        </w:rPr>
      </w:pPr>
      <w:r>
        <w:rPr>
          <w:rFonts w:ascii="Times New Roman" w:cs="Times New Roman" w:eastAsia="Times New Roman" w:hAnsi="Times New Roman"/>
          <w:sz w:val="18"/>
          <w:szCs w:val="18"/>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27, 2025.</w:t>
      </w:r>
    </w:p>
    <w:p>
      <w:pPr>
        <w:spacing w:after="0" w:line="2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G. C</w:t>
      </w:r>
      <w:r>
        <w:rPr>
          <w:rFonts w:ascii="Times New Roman" w:cs="Times New Roman" w:eastAsia="Times New Roman" w:hAnsi="Times New Roman"/>
          <w:sz w:val="12"/>
          <w:szCs w:val="12"/>
          <w:color w:val="auto"/>
        </w:rPr>
        <w:t>oogan</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-127635</wp:posOffset>
            </wp:positionV>
            <wp:extent cx="26314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lvl w:ilvl="1">
      <w:lvlJc w:val="left"/>
      <w:lvlText w:val="o"/>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lowerRoman"/>
      <w:start w:val="5"/>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lvl w:ilvl="1">
      <w:lvlJc w:val="left"/>
      <w:lvlText w:val="%2."/>
      <w:numFmt w:val="upperLetter"/>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lowerLetter"/>
      <w:start w:val="1"/>
    </w:lvl>
    <w:lvl w:ilvl="1">
      <w:lvlJc w:val="left"/>
      <w:lvlText w:val="%2)"/>
      <w:numFmt w:val="decimal"/>
      <w:start w:val="1"/>
    </w:lvl>
  </w:abstractNum>
  <w:abstractNum w:abstractNumId="20">
    <w:nsid w:val="4F4EF005"/>
    <w:multiLevelType w:val="hybridMultilevel"/>
    <w:lvl w:ilvl="0">
      <w:lvlJc w:val="left"/>
      <w:lvlText w:val="%1)"/>
      <w:numFmt w:val="decimal"/>
      <w:start w:val="3"/>
    </w:lvl>
  </w:abstractNum>
  <w:abstractNum w:abstractNumId="21">
    <w:nsid w:val="23F9C13C"/>
    <w:multiLevelType w:val="hybridMultilevel"/>
    <w:lvl w:ilvl="0">
      <w:lvlJc w:val="left"/>
      <w:lvlText w:val="(%1)"/>
      <w:numFmt w:val="lowerLetter"/>
      <w:start w:val="1"/>
    </w:lvl>
  </w:abstractNum>
  <w:abstractNum w:abstractNumId="22">
    <w:nsid w:val="649BB77C"/>
    <w:multiLevelType w:val="hybridMultilevel"/>
    <w:lvl w:ilvl="0">
      <w:lvlJc w:val="left"/>
      <w:lvlText w:val="(%1)"/>
      <w:numFmt w:val="lowerLetter"/>
      <w:start w:val="2"/>
    </w:lvl>
  </w:abstractNum>
  <w:abstractNum w:abstractNumId="23">
    <w:nsid w:val="275AC794"/>
    <w:multiLevelType w:val="hybridMultilevel"/>
    <w:lvl w:ilvl="0">
      <w:lvlJc w:val="left"/>
      <w:lvlText w:val="(%1)"/>
      <w:numFmt w:val="lowerLetter"/>
      <w:start w:val="3"/>
    </w:lvl>
  </w:abstractNum>
  <w:abstractNum w:abstractNumId="24">
    <w:nsid w:val="39386575"/>
    <w:multiLevelType w:val="hybridMultilevel"/>
    <w:lvl w:ilvl="0">
      <w:lvlJc w:val="left"/>
      <w:lvlText w:val="(%1)"/>
      <w:numFmt w:val="lowerLetter"/>
      <w:start w:val="4"/>
    </w:lvl>
  </w:abstractNum>
  <w:abstractNum w:abstractNumId="25">
    <w:nsid w:val="1CF10FD8"/>
    <w:multiLevelType w:val="hybridMultilevel"/>
    <w:lvl w:ilvl="0">
      <w:lvlJc w:val="left"/>
      <w:lvlText w:val="(%1)"/>
      <w:numFmt w:val="lowerLetter"/>
      <w:start w:val="5"/>
    </w:lvl>
  </w:abstractNum>
  <w:abstractNum w:abstractNumId="26">
    <w:nsid w:val="180115BE"/>
    <w:multiLevelType w:val="hybridMultilevel"/>
    <w:lvl w:ilvl="0">
      <w:lvlJc w:val="left"/>
      <w:lvlText w:val="(%1)"/>
      <w:numFmt w:val="lowerLetter"/>
      <w:start w:val="6"/>
    </w:lvl>
  </w:abstractNum>
  <w:abstractNum w:abstractNumId="27">
    <w:nsid w:val="235BA861"/>
    <w:multiLevelType w:val="hybridMultilevel"/>
    <w:lvl w:ilvl="0">
      <w:lvlJc w:val="left"/>
      <w:lvlText w:val="(%1)"/>
      <w:numFmt w:val="lowerLetter"/>
      <w:start w:val="7"/>
    </w:lvl>
  </w:abstractNum>
  <w:abstractNum w:abstractNumId="28">
    <w:nsid w:val="47398C89"/>
    <w:multiLevelType w:val="hybridMultilevel"/>
    <w:lvl w:ilvl="0">
      <w:lvlJc w:val="left"/>
      <w:lvlText w:val="(%1)"/>
      <w:numFmt w:val="lowerLetter"/>
      <w:start w:val="8"/>
    </w:lvl>
  </w:abstractNum>
  <w:abstractNum w:abstractNumId="29">
    <w:nsid w:val="354FE9F9"/>
    <w:multiLevelType w:val="hybridMultilevel"/>
    <w:lvl w:ilvl="0">
      <w:lvlJc w:val="left"/>
      <w:lvlText w:val="(%1)"/>
      <w:numFmt w:val="lowerRoman"/>
      <w:start w:val="1"/>
    </w:lvl>
  </w:abstractNum>
  <w:abstractNum w:abstractNumId="30">
    <w:nsid w:val="15B5AF5C"/>
    <w:multiLevelType w:val="hybridMultilevel"/>
    <w:lvl w:ilvl="0">
      <w:lvlJc w:val="left"/>
      <w:lvlText w:val="(%1)"/>
      <w:numFmt w:val="lowerLetter"/>
      <w:start w:val="10"/>
    </w:lvl>
  </w:abstractNum>
  <w:abstractNum w:abstractNumId="31">
    <w:nsid w:val="741226BB"/>
    <w:multiLevelType w:val="hybridMultilevel"/>
    <w:lvl w:ilvl="0">
      <w:lvlJc w:val="left"/>
      <w:lvlText w:val="(%1)"/>
      <w:numFmt w:val="lowerLetter"/>
      <w:start w:val="11"/>
    </w:lvl>
  </w:abstractNum>
  <w:abstractNum w:abstractNumId="32">
    <w:nsid w:val="D34B6A8"/>
    <w:multiLevelType w:val="hybridMultilevel"/>
    <w:lvl w:ilvl="0">
      <w:lvlJc w:val="left"/>
      <w:lvlText w:val="(%1)"/>
      <w:numFmt w:val="lowerLetter"/>
      <w:start w:val="12"/>
    </w:lvl>
  </w:abstractNum>
  <w:abstractNum w:abstractNumId="33">
    <w:nsid w:val="10233C99"/>
    <w:multiLevelType w:val="hybridMultilevel"/>
    <w:lvl w:ilvl="0">
      <w:lvlJc w:val="left"/>
      <w:lvlText w:val="(%1)"/>
      <w:numFmt w:val="lowerLetter"/>
      <w:start w:val="13"/>
    </w:lvl>
  </w:abstractNum>
  <w:abstractNum w:abstractNumId="34">
    <w:nsid w:val="3F6AB60F"/>
    <w:multiLevelType w:val="hybridMultilevel"/>
    <w:lvl w:ilvl="0">
      <w:lvlJc w:val="left"/>
      <w:lvlText w:val="(%1)"/>
      <w:numFmt w:val="lowerLetter"/>
      <w:start w:val="14"/>
    </w:lvl>
  </w:abstractNum>
  <w:abstractNum w:abstractNumId="35">
    <w:nsid w:val="61574095"/>
    <w:multiLevelType w:val="hybridMultilevel"/>
    <w:lvl w:ilvl="0">
      <w:lvlJc w:val="left"/>
      <w:lvlText w:val="(%1)"/>
      <w:numFmt w:val="lowerLetter"/>
      <w:start w:val="15"/>
    </w:lvl>
  </w:abstractNum>
  <w:abstractNum w:abstractNumId="36">
    <w:nsid w:val="7E0C57B1"/>
    <w:multiLevelType w:val="hybridMultilevel"/>
    <w:lvl w:ilvl="0">
      <w:lvlJc w:val="left"/>
      <w:lvlText w:val="(%1)"/>
      <w:numFmt w:val="lowerLetter"/>
      <w:start w:val="16"/>
    </w:lvl>
  </w:abstractNum>
  <w:abstractNum w:abstractNumId="37">
    <w:nsid w:val="77AE35EB"/>
    <w:multiLevelType w:val="hybridMultilevel"/>
    <w:lvl w:ilvl="0">
      <w:lvlJc w:val="left"/>
      <w:lvlText w:val="(%1)"/>
      <w:numFmt w:val="lowerLetter"/>
      <w:start w:val="17"/>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lowerLetter"/>
      <w:start w:val="1"/>
    </w:lvl>
  </w:abstractNum>
  <w:abstractNum w:abstractNumId="40">
    <w:nsid w:val="5FF87E05"/>
    <w:multiLevelType w:val="hybridMultilevel"/>
    <w:lvl w:ilvl="0">
      <w:lvlJc w:val="left"/>
      <w:lvlText w:val="(%1)"/>
      <w:numFmt w:val="lowerLetter"/>
      <w:start w:val="2"/>
    </w:lvl>
  </w:abstractNum>
  <w:abstractNum w:abstractNumId="41">
    <w:nsid w:val="2F305DEF"/>
    <w:multiLevelType w:val="hybridMultilevel"/>
    <w:lvl w:ilvl="0">
      <w:lvlJc w:val="left"/>
      <w:lvlText w:val="(%1)"/>
      <w:numFmt w:val="lowerLetter"/>
      <w:start w:val="1"/>
    </w:lvl>
  </w:abstractNum>
  <w:abstractNum w:abstractNumId="42">
    <w:nsid w:val="25A70BF7"/>
    <w:multiLevelType w:val="hybridMultilevel"/>
    <w:lvl w:ilvl="0">
      <w:lvlJc w:val="left"/>
      <w:lvlText w:val="(%1)"/>
      <w:numFmt w:val="lowerLetter"/>
      <w:start w:val="2"/>
    </w:lvl>
  </w:abstractNum>
  <w:abstractNum w:abstractNumId="43">
    <w:nsid w:val="1DBABF00"/>
    <w:multiLevelType w:val="hybridMultilevel"/>
    <w:lvl w:ilvl="0">
      <w:lvlJc w:val="left"/>
      <w:lvlText w:val="(%1)"/>
      <w:numFmt w:val="lowerLetter"/>
      <w:start w:val="3"/>
    </w:lvl>
  </w:abstractNum>
  <w:abstractNum w:abstractNumId="44">
    <w:nsid w:val="4AD084E9"/>
    <w:multiLevelType w:val="hybridMultilevel"/>
    <w:lvl w:ilvl="0">
      <w:lvlJc w:val="left"/>
      <w:lvlText w:val="(%1)"/>
      <w:numFmt w:val="lowerLetter"/>
      <w:start w:val="4"/>
    </w:lvl>
  </w:abstractNum>
  <w:abstractNum w:abstractNumId="45">
    <w:nsid w:val="1F48EAA1"/>
    <w:multiLevelType w:val="hybridMultilevel"/>
    <w:lvl w:ilvl="0">
      <w:lvlJc w:val="left"/>
      <w:lvlText w:val="(%1)"/>
      <w:numFmt w:val="lowerLetter"/>
      <w:start w:val="5"/>
    </w:lvl>
  </w:abstractNum>
  <w:abstractNum w:abstractNumId="46">
    <w:nsid w:val="1381823A"/>
    <w:multiLevelType w:val="hybridMultilevel"/>
    <w:lvl w:ilvl="0">
      <w:lvlJc w:val="left"/>
      <w:lvlText w:val="(%1)"/>
      <w:numFmt w:val="lowerLetter"/>
      <w:start w:val="1"/>
    </w:lvl>
  </w:abstractNum>
  <w:abstractNum w:abstractNumId="47">
    <w:nsid w:val="5DB70AE5"/>
    <w:multiLevelType w:val="hybridMultilevel"/>
    <w:lvl w:ilvl="0">
      <w:lvlJc w:val="left"/>
      <w:lvlText w:val="(%1)"/>
      <w:numFmt w:val="lowerLetter"/>
      <w:start w:val="2"/>
    </w:lvl>
  </w:abstractNum>
  <w:abstractNum w:abstractNumId="48">
    <w:nsid w:val="100F8FCA"/>
    <w:multiLevelType w:val="hybridMultilevel"/>
    <w:lvl w:ilvl="0">
      <w:lvlJc w:val="left"/>
      <w:lvlText w:val="(%1)"/>
      <w:numFmt w:val="lowerLetter"/>
      <w:start w:val="3"/>
    </w:lvl>
  </w:abstractNum>
  <w:abstractNum w:abstractNumId="49">
    <w:nsid w:val="6590700B"/>
    <w:multiLevelType w:val="hybridMultilevel"/>
    <w:lvl w:ilvl="0">
      <w:lvlJc w:val="left"/>
      <w:lvlText w:val="(%1)"/>
      <w:numFmt w:val="lowerLetter"/>
      <w:start w:val="1"/>
    </w:lvl>
  </w:abstractNum>
  <w:abstractNum w:abstractNumId="50">
    <w:nsid w:val="15014ACB"/>
    <w:multiLevelType w:val="hybridMultilevel"/>
    <w:lvl w:ilvl="0">
      <w:lvlJc w:val="left"/>
      <w:lvlText w:val="(%1)"/>
      <w:numFmt w:val="lowerLetter"/>
      <w:start w:val="2"/>
    </w:lvl>
  </w:abstractNum>
  <w:abstractNum w:abstractNumId="51">
    <w:nsid w:val="5F5E7FD0"/>
    <w:multiLevelType w:val="hybridMultilevel"/>
    <w:lvl w:ilvl="0">
      <w:lvlJc w:val="left"/>
      <w:lvlText w:val="(%1)"/>
      <w:numFmt w:val="lowerLetter"/>
      <w:start w:val="3"/>
    </w:lvl>
  </w:abstractNum>
  <w:abstractNum w:abstractNumId="52">
    <w:nsid w:val="98A3148"/>
    <w:multiLevelType w:val="hybridMultilevel"/>
    <w:lvl w:ilvl="0">
      <w:lvlJc w:val="left"/>
      <w:lvlText w:val="%1"/>
      <w:numFmt w:val="decimal"/>
      <w:start w:val="101"/>
    </w:lvl>
  </w:abstractNum>
  <w:abstractNum w:abstractNumId="53">
    <w:nsid w:val="799D0247"/>
    <w:multiLevelType w:val="hybridMultilevel"/>
    <w:lvl w:ilvl="0">
      <w:lvlJc w:val="left"/>
      <w:lvlText w:val="*"/>
      <w:numFmt w:val="bullet"/>
      <w:start w:val="1"/>
    </w:lvl>
    <w:lvl w:ilvl="1">
      <w:lvlJc w:val="left"/>
      <w:lvlText w:val="%2"/>
      <w:numFmt w:val="decimal"/>
      <w:start w:val="104"/>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2"/>
    </w:lvl>
  </w:abstractNum>
  <w:abstractNum w:abstractNumId="56">
    <w:nsid w:val="168E121F"/>
    <w:multiLevelType w:val="hybridMultilevel"/>
    <w:lvl w:ilvl="0">
      <w:lvlJc w:val="left"/>
      <w:lvlText w:val="%1."/>
      <w:numFmt w:val="decimal"/>
      <w:start w:val="3"/>
    </w:lvl>
  </w:abstractNum>
  <w:abstractNum w:abstractNumId="57">
    <w:nsid w:val="1EBA5D23"/>
    <w:multiLevelType w:val="hybridMultilevel"/>
    <w:lvl w:ilvl="0">
      <w:lvlJc w:val="left"/>
      <w:lvlText w:val="%1."/>
      <w:numFmt w:val="decimal"/>
      <w:start w:val="4"/>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lowerRoman"/>
      <w:start w:val="1"/>
    </w:lvl>
  </w:abstractNum>
  <w:abstractNum w:abstractNumId="60">
    <w:nsid w:val="540A471C"/>
    <w:multiLevelType w:val="hybridMultilevel"/>
    <w:lvl w:ilvl="0">
      <w:lvlJc w:val="left"/>
      <w:lvlText w:val="%1."/>
      <w:numFmt w:val="lowerRoman"/>
      <w:start w:val="2"/>
    </w:lvl>
  </w:abstractNum>
  <w:abstractNum w:abstractNumId="61">
    <w:nsid w:val="7BD3EE7B"/>
    <w:multiLevelType w:val="hybridMultilevel"/>
    <w:lvl w:ilvl="0">
      <w:lvlJc w:val="left"/>
      <w:lvlText w:val="(%1)"/>
      <w:numFmt w:val="lowerLetter"/>
      <w:start w:val="2"/>
    </w:lvl>
  </w:abstractNum>
  <w:abstractNum w:abstractNumId="62">
    <w:nsid w:val="51D9C564"/>
    <w:multiLevelType w:val="hybridMultilevel"/>
    <w:lvl w:ilvl="0">
      <w:lvlJc w:val="left"/>
      <w:lvlText w:val="%1."/>
      <w:numFmt w:val="decimal"/>
      <w:start w:val="5"/>
    </w:lvl>
  </w:abstractNum>
  <w:abstractNum w:abstractNumId="63">
    <w:nsid w:val="613EFDC5"/>
    <w:multiLevelType w:val="hybridMultilevel"/>
    <w:lvl w:ilvl="0">
      <w:lvlJc w:val="left"/>
      <w:lvlText w:val="(%1)"/>
      <w:numFmt w:val="lowerLetter"/>
      <w:start w:val="1"/>
    </w:lvl>
  </w:abstractNum>
  <w:abstractNum w:abstractNumId="64">
    <w:nsid w:val="BF72B14"/>
    <w:multiLevelType w:val="hybridMultilevel"/>
    <w:lvl w:ilvl="0">
      <w:lvlJc w:val="left"/>
      <w:lvlText w:val="(%1)"/>
      <w:numFmt w:val="lowerLetter"/>
      <w:start w:val="2"/>
    </w:lvl>
  </w:abstractNum>
  <w:abstractNum w:abstractNumId="65">
    <w:nsid w:val="11447B73"/>
    <w:multiLevelType w:val="hybridMultilevel"/>
    <w:lvl w:ilvl="0">
      <w:lvlJc w:val="left"/>
      <w:lvlText w:val="(%1)"/>
      <w:numFmt w:val="lowerRoman"/>
      <w:start w:val="1"/>
    </w:lvl>
    <w:lvl w:ilvl="1">
      <w:lvlJc w:val="left"/>
      <w:lvlText w:val="(%2)"/>
      <w:numFmt w:val="upperLetter"/>
      <w:start w:val="1"/>
    </w:lvl>
  </w:abstractNum>
  <w:abstractNum w:abstractNumId="66">
    <w:nsid w:val="42963E5A"/>
    <w:multiLevelType w:val="hybridMultilevel"/>
    <w:lvl w:ilvl="0">
      <w:lvlJc w:val="left"/>
      <w:lvlText w:val="(%1)"/>
      <w:numFmt w:val="upperLetter"/>
      <w:start w:val="3"/>
    </w:lvl>
  </w:abstractNum>
  <w:abstractNum w:abstractNumId="67">
    <w:nsid w:val="A0382C5"/>
    <w:multiLevelType w:val="hybridMultilevel"/>
    <w:lvl w:ilvl="0">
      <w:lvlJc w:val="left"/>
      <w:lvlText w:val="(%1)"/>
      <w:numFmt w:val="decimal"/>
      <w:start w:val="1"/>
    </w:lvl>
    <w:lvl w:ilvl="1">
      <w:lvlJc w:val="left"/>
      <w:lvlText w:val="(%2)"/>
      <w:numFmt w:val="decimal"/>
      <w:start w:val="3"/>
    </w:lvl>
  </w:abstractNum>
  <w:abstractNum w:abstractNumId="68">
    <w:nsid w:val="8F2B15E"/>
    <w:multiLevelType w:val="hybridMultilevel"/>
    <w:lvl w:ilvl="0">
      <w:lvlJc w:val="left"/>
      <w:lvlText w:val="(%1)"/>
      <w:numFmt w:val="lowerRoman"/>
      <w:start w:val="5"/>
    </w:lvl>
  </w:abstractNum>
  <w:abstractNum w:abstractNumId="69">
    <w:nsid w:val="1A32234B"/>
    <w:multiLevelType w:val="hybridMultilevel"/>
    <w:lvl w:ilvl="0">
      <w:lvlJc w:val="left"/>
      <w:lvlText w:val="(%1)"/>
      <w:numFmt w:val="lowerRoman"/>
      <w:start w:val="8"/>
    </w:lvl>
  </w:abstractNum>
  <w:abstractNum w:abstractNumId="70">
    <w:nsid w:val="3B0FD379"/>
    <w:multiLevelType w:val="hybridMultilevel"/>
    <w:lvl w:ilvl="0">
      <w:lvlJc w:val="left"/>
      <w:lvlText w:val="(%1)"/>
      <w:numFmt w:val="lowerRoman"/>
      <w:start w:val="9"/>
    </w:lvl>
  </w:abstractNum>
  <w:abstractNum w:abstractNumId="71">
    <w:nsid w:val="68EB2F63"/>
    <w:multiLevelType w:val="hybridMultilevel"/>
    <w:lvl w:ilvl="0">
      <w:lvlJc w:val="left"/>
      <w:lvlText w:val="(%1)"/>
      <w:numFmt w:val="lowerRoman"/>
      <w:start w:val="10"/>
    </w:lvl>
  </w:abstractNum>
  <w:abstractNum w:abstractNumId="72">
    <w:nsid w:val="4962813B"/>
    <w:multiLevelType w:val="hybridMultilevel"/>
    <w:lvl w:ilvl="0">
      <w:lvlJc w:val="left"/>
      <w:lvlText w:val="(%1)"/>
      <w:numFmt w:val="lowerLetter"/>
      <w:start w:val="3"/>
    </w:lvl>
  </w:abstractNum>
  <w:abstractNum w:abstractNumId="73">
    <w:nsid w:val="60B6DF70"/>
    <w:multiLevelType w:val="hybridMultilevel"/>
    <w:lvl w:ilvl="0">
      <w:lvlJc w:val="left"/>
      <w:lvlText w:val="%1."/>
      <w:numFmt w:val="decimal"/>
      <w:start w:val="6"/>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Roman"/>
      <w:start w:val="1"/>
    </w:lvl>
  </w:abstractNum>
  <w:abstractNum w:abstractNumId="76">
    <w:nsid w:val="7FFFCA11"/>
    <w:multiLevelType w:val="hybridMultilevel"/>
    <w:lvl w:ilvl="0">
      <w:lvlJc w:val="left"/>
      <w:lvlText w:val="%1."/>
      <w:numFmt w:val="decimal"/>
      <w:start w:val="7"/>
    </w:lvl>
  </w:abstractNum>
  <w:abstractNum w:abstractNumId="77">
    <w:nsid w:val="1A27709E"/>
    <w:multiLevelType w:val="hybridMultilevel"/>
    <w:lvl w:ilvl="0">
      <w:lvlJc w:val="left"/>
      <w:lvlText w:val="%1."/>
      <w:numFmt w:val="decimal"/>
      <w:start w:val="8"/>
    </w:lvl>
  </w:abstractNum>
  <w:abstractNum w:abstractNumId="78">
    <w:nsid w:val="71EA1109"/>
    <w:multiLevelType w:val="hybridMultilevel"/>
    <w:lvl w:ilvl="0">
      <w:lvlJc w:val="left"/>
      <w:lvlText w:val="(%1)"/>
      <w:numFmt w:val="lowerLetter"/>
      <w:start w:val="1"/>
    </w:lvl>
  </w:abstractNum>
  <w:abstractNum w:abstractNumId="79">
    <w:nsid w:val="100F59DC"/>
    <w:multiLevelType w:val="hybridMultilevel"/>
    <w:lvl w:ilvl="0">
      <w:lvlJc w:val="left"/>
      <w:lvlText w:val="(%1)"/>
      <w:numFmt w:val="lowerLetter"/>
      <w:start w:val="3"/>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1."/>
      <w:numFmt w:val="decimal"/>
      <w:start w:val="1"/>
    </w:lvl>
  </w:abstractNum>
  <w:abstractNum w:abstractNumId="83">
    <w:nsid w:val="94211F2"/>
    <w:multiLevelType w:val="hybridMultilevel"/>
    <w:lvl w:ilvl="0">
      <w:lvlJc w:val="left"/>
      <w:lvlText w:val="%1."/>
      <w:numFmt w:val="decimal"/>
      <w:start w:val="2"/>
    </w:lvl>
  </w:abstractNum>
  <w:abstractNum w:abstractNumId="84">
    <w:nsid w:val="885E1B"/>
    <w:multiLevelType w:val="hybridMultilevel"/>
    <w:lvl w:ilvl="0">
      <w:lvlJc w:val="left"/>
      <w:lvlText w:val="%1."/>
      <w:numFmt w:val="decimal"/>
      <w:start w:val="5"/>
    </w:lvl>
  </w:abstractNum>
  <w:abstractNum w:abstractNumId="85">
    <w:nsid w:val="76272110"/>
    <w:multiLevelType w:val="hybridMultilevel"/>
    <w:lvl w:ilvl="0">
      <w:lvlJc w:val="left"/>
      <w:lvlText w:val="(%1)"/>
      <w:numFmt w:val="decimal"/>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95" Type="http://schemas.openxmlformats.org/officeDocument/2006/relationships/hyperlink" Target="http://www.sec.gov/Archives/edgar/data/1113232/000155837017008078/acls-20170930ex31a83feb6.htm" TargetMode="External"/><Relationship Id="rId96" Type="http://schemas.openxmlformats.org/officeDocument/2006/relationships/hyperlink" Target="https://www.sec.gov/Archives/edgar/data/1113232/000110465922058781/tm2213765d1_ex3-1.htm" TargetMode="External"/><Relationship Id="rId97" Type="http://schemas.openxmlformats.org/officeDocument/2006/relationships/hyperlink" Target="https://www.sec.gov/Archives/edgar/data/1113232/000110465924059307/tm2413500d1_ex3-1.htm" TargetMode="External"/><Relationship Id="rId98" Type="http://schemas.openxmlformats.org/officeDocument/2006/relationships/hyperlink" Target="https://www.sec.gov/Archives/edgar/data/1113232/000155837020001858/acls-20191231ex448a2eaee.htm" TargetMode="External"/><Relationship Id="rId99" Type="http://schemas.openxmlformats.org/officeDocument/2006/relationships/hyperlink" Target="http://www.sec.gov/Archives/edgar/data/1113232/000104746910002204/a2197155zex-10_2.htm" TargetMode="External"/><Relationship Id="rId100" Type="http://schemas.openxmlformats.org/officeDocument/2006/relationships/hyperlink" Target="http://www.sec.gov/Archives/edgar/data/1113232/000104746912001874/a2207604zex-10_4.htm" TargetMode="External"/><Relationship Id="rId101" Type="http://schemas.openxmlformats.org/officeDocument/2006/relationships/hyperlink" Target="http://www.sec.gov/Archives/edgar/data/1113232/000155837017001778/acls-20161231ex106472dea.htm" TargetMode="External"/><Relationship Id="rId102" Type="http://schemas.openxmlformats.org/officeDocument/2006/relationships/hyperlink" Target="http://www.sec.gov/Archives/edgar/data/1113232/000110465912055070/a12-13741_1ex10d2.htm" TargetMode="External"/><Relationship Id="rId103" Type="http://schemas.openxmlformats.org/officeDocument/2006/relationships/hyperlink" Target="http://www.sec.gov/Archives/edgar/data/1113232/000110465912055070/a12-13741_1ex10d3.htm" TargetMode="External"/><Relationship Id="rId104" Type="http://schemas.openxmlformats.org/officeDocument/2006/relationships/hyperlink" Target="http://www.sec.gov/Archives/edgar/data/1113232/000110465912055070/a12-13741_1ex10d4.htm" TargetMode="External"/><Relationship Id="rId105" Type="http://schemas.openxmlformats.org/officeDocument/2006/relationships/hyperlink" Target="https://www.sec.gov/Archives/edgar/data/1113232/000110465923059495/tm2314798d1_ex10-1.htm" TargetMode="External"/><Relationship Id="rId106" Type="http://schemas.openxmlformats.org/officeDocument/2006/relationships/hyperlink" Target="https://www.sec.gov/Archives/edgar/data/1113232/000110465923046426/tm2313052d1_ex10-1.htm" TargetMode="External"/><Relationship Id="rId107" Type="http://schemas.openxmlformats.org/officeDocument/2006/relationships/hyperlink" Target="https://www.sec.gov/Archives/edgar/data/1113232/000155837019007396/acls-20190630ex1022c13af.htm" TargetMode="External"/><Relationship Id="rId108" Type="http://schemas.openxmlformats.org/officeDocument/2006/relationships/hyperlink" Target="http://www.sec.gov/Archives/edgar/data/1113232/000104746915001994/a2223440zex-10_24.htm" TargetMode="External"/><Relationship Id="rId109" Type="http://schemas.openxmlformats.org/officeDocument/2006/relationships/hyperlink" Target="http://www.sec.gov/Archives/edgar/data/1113232/000111323203000002/ex14_1.txt" TargetMode="External"/><Relationship Id="rId110" Type="http://schemas.openxmlformats.org/officeDocument/2006/relationships/hyperlink" Target="https://www.sec.gov/Archives/edgar/data/0001113232/000155837024001628/acls-20231231xex19d1.htm" TargetMode="External"/><Relationship Id="rId111" Type="http://schemas.openxmlformats.org/officeDocument/2006/relationships/hyperlink" Target="https://www.sec.gov/Archives/edgar/data/1113232/000155837024001628/acls-20231231xex10d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2025-02-28T05:36:37Z</dcterms:created>
  <dcterms:modified xsi:type="dcterms:W3CDTF">2025-02-28T05:36:37Z</dcterms:modified>
</cp:coreProperties>
</file>