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408940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1" w:lineRule="exact"/>
        <w:rPr>
          <w:sz w:val="24"/>
          <w:szCs w:val="24"/>
          <w:color w:val="auto"/>
        </w:rPr>
      </w:pPr>
    </w:p>
    <w:p>
      <w:pPr>
        <w:ind w:left="660" w:right="1300" w:hanging="333"/>
        <w:spacing w:after="0" w:line="256" w:lineRule="auto"/>
        <w:tabs>
          <w:tab w:leader="none" w:pos="6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60" w:right="1280" w:hanging="333"/>
        <w:spacing w:after="0" w:line="256" w:lineRule="auto"/>
        <w:tabs>
          <w:tab w:leader="none" w:pos="6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220"/>
        <w:spacing w:after="0"/>
        <w:tabs>
          <w:tab w:leader="none" w:pos="6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000-30941</w:t>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AXCELIS TECHNOLOGIES,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83" w:lineRule="exact"/>
        <w:rPr>
          <w:sz w:val="24"/>
          <w:szCs w:val="24"/>
          <w:color w:val="auto"/>
        </w:rPr>
      </w:pPr>
    </w:p>
    <w:tbl>
      <w:tblPr>
        <w:tblLayout w:type="fixed"/>
        <w:tblInd w:w="1440" w:type="dxa"/>
        <w:tblCellMar>
          <w:top w:w="0" w:type="dxa"/>
          <w:left w:w="0" w:type="dxa"/>
          <w:bottom w:w="0" w:type="dxa"/>
          <w:right w:w="0" w:type="dxa"/>
        </w:tblCellMar>
      </w:tblPr>
      <w:tr>
        <w:trPr>
          <w:trHeight w:val="207"/>
        </w:trPr>
        <w:tc>
          <w:tcPr>
            <w:tcW w:w="390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650"/>
              <w:spacing w:after="0"/>
              <w:rPr>
                <w:sz w:val="20"/>
                <w:szCs w:val="20"/>
                <w:color w:val="auto"/>
              </w:rPr>
            </w:pPr>
            <w:r>
              <w:rPr>
                <w:rFonts w:ascii="Arial" w:cs="Arial" w:eastAsia="Arial" w:hAnsi="Arial"/>
                <w:sz w:val="18"/>
                <w:szCs w:val="18"/>
                <w:b w:val="1"/>
                <w:bCs w:val="1"/>
                <w:color w:val="auto"/>
                <w:w w:val="91"/>
              </w:rPr>
              <w:t>34-1818596</w:t>
            </w:r>
          </w:p>
        </w:tc>
      </w:tr>
      <w:tr>
        <w:trPr>
          <w:trHeight w:val="203"/>
        </w:trPr>
        <w:tc>
          <w:tcPr>
            <w:tcW w:w="3900" w:type="dxa"/>
            <w:vAlign w:val="bottom"/>
          </w:tcPr>
          <w:p>
            <w:pPr>
              <w:jc w:val="center"/>
              <w:ind w:right="1650"/>
              <w:spacing w:after="0" w:line="202" w:lineRule="exact"/>
              <w:rPr>
                <w:sz w:val="20"/>
                <w:szCs w:val="20"/>
                <w:color w:val="auto"/>
              </w:rPr>
            </w:pPr>
            <w:r>
              <w:rPr>
                <w:rFonts w:ascii="Arial" w:cs="Arial" w:eastAsia="Arial" w:hAnsi="Arial"/>
                <w:sz w:val="18"/>
                <w:szCs w:val="18"/>
                <w:color w:val="auto"/>
                <w:w w:val="92"/>
              </w:rPr>
              <w:t>(State or other jurisdiction of</w:t>
            </w:r>
          </w:p>
        </w:tc>
        <w:tc>
          <w:tcPr>
            <w:tcW w:w="3060" w:type="dxa"/>
            <w:vAlign w:val="bottom"/>
          </w:tcPr>
          <w:p>
            <w:pPr>
              <w:jc w:val="center"/>
              <w:ind w:left="163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tcPr>
          <w:p>
            <w:pPr>
              <w:jc w:val="center"/>
              <w:ind w:right="1650"/>
              <w:spacing w:after="0"/>
              <w:rPr>
                <w:sz w:val="20"/>
                <w:szCs w:val="20"/>
                <w:color w:val="auto"/>
              </w:rPr>
            </w:pPr>
            <w:r>
              <w:rPr>
                <w:rFonts w:ascii="Arial" w:cs="Arial" w:eastAsia="Arial" w:hAnsi="Arial"/>
                <w:sz w:val="18"/>
                <w:szCs w:val="18"/>
                <w:color w:val="auto"/>
                <w:w w:val="92"/>
              </w:rPr>
              <w:t>incorporation or organization)</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5"/>
              </w:rPr>
              <w:t>Identification No.)</w:t>
            </w:r>
          </w:p>
        </w:tc>
      </w:tr>
    </w:tbl>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108 Cherry Hill Drive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Beverly, Massachusetts 01915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(978) 787-4000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left="2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3260" w:type="dxa"/>
            <w:vAlign w:val="bottom"/>
            <w:tcBorders>
              <w:left w:val="single" w:sz="8" w:color="auto"/>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registered</w:t>
            </w:r>
          </w:p>
        </w:tc>
      </w:tr>
      <w:tr>
        <w:trPr>
          <w:trHeight w:val="210"/>
        </w:trPr>
        <w:tc>
          <w:tcPr>
            <w:tcW w:w="3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ACLS</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2" w:lineRule="exact"/>
        <w:rPr>
          <w:sz w:val="24"/>
          <w:szCs w:val="24"/>
          <w:color w:val="auto"/>
        </w:rPr>
      </w:pPr>
    </w:p>
    <w:p>
      <w:pPr>
        <w:ind w:right="300" w:firstLine="23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1" w:lineRule="exact"/>
        <w:rPr>
          <w:sz w:val="24"/>
          <w:szCs w:val="24"/>
          <w:color w:val="auto"/>
        </w:rPr>
      </w:pPr>
    </w:p>
    <w:p>
      <w:pPr>
        <w:ind w:right="40" w:firstLine="23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49" w:lineRule="exact"/>
        <w:rPr>
          <w:sz w:val="24"/>
          <w:szCs w:val="24"/>
          <w:color w:val="auto"/>
        </w:rPr>
      </w:pPr>
    </w:p>
    <w:p>
      <w:pPr>
        <w:ind w:right="200" w:firstLine="23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233" w:right="819" w:bottom="1440" w:gutter="0" w:footer="0" w:header="0"/>
        </w:sectPr>
      </w:pPr>
    </w:p>
    <w:p>
      <w:pPr>
        <w:spacing w:after="0" w:line="29" w:lineRule="exact"/>
        <w:rPr>
          <w:sz w:val="24"/>
          <w:szCs w:val="24"/>
          <w:color w:val="auto"/>
        </w:rPr>
      </w:pPr>
    </w:p>
    <w:p>
      <w:pPr>
        <w:ind w:left="16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67" w:lineRule="exact"/>
        <w:rPr>
          <w:sz w:val="24"/>
          <w:szCs w:val="24"/>
          <w:color w:val="auto"/>
        </w:rPr>
      </w:pPr>
    </w:p>
    <w:p>
      <w:pPr>
        <w:ind w:left="16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14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jc w:val="center"/>
        <w:ind w:right="142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jc w:val="center"/>
        <w:ind w:right="14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84" w:lineRule="exact"/>
        <w:rPr>
          <w:sz w:val="24"/>
          <w:szCs w:val="24"/>
          <w:color w:val="auto"/>
        </w:rPr>
      </w:pPr>
    </w:p>
    <w:p>
      <w:pPr>
        <w:sectPr>
          <w:pgSz w:w="11900" w:h="16838" w:orient="portrait"/>
          <w:cols w:equalWidth="0" w:num="2">
            <w:col w:w="5900" w:space="720"/>
            <w:col w:w="3640"/>
          </w:cols>
          <w:pgMar w:left="820" w:top="233" w:right="819" w:bottom="1440" w:gutter="0" w:footer="0" w:header="0"/>
          <w:type w:val="continuous"/>
        </w:sectPr>
      </w:pPr>
    </w:p>
    <w:p>
      <w:pPr>
        <w:ind w:right="240" w:firstLine="233"/>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left="240" w:right="920" w:hanging="3"/>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4, 2020 there were 32,875,141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6497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26035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540385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60"/>
          </w:cols>
          <w:pgMar w:left="820" w:top="233" w:right="8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tc>
        <w:tc>
          <w:tcPr>
            <w:tcW w:w="460" w:type="dxa"/>
            <w:vAlign w:val="bottom"/>
          </w:tcPr>
          <w:p>
            <w:pPr>
              <w:spacing w:after="0"/>
              <w:rPr>
                <w:sz w:val="20"/>
                <w:szCs w:val="20"/>
                <w:color w:val="auto"/>
              </w:rPr>
            </w:pPr>
          </w:p>
        </w:tc>
      </w:tr>
      <w:tr>
        <w:trPr>
          <w:trHeight w:val="756"/>
        </w:trPr>
        <w:tc>
          <w:tcPr>
            <w:tcW w:w="720" w:type="dxa"/>
            <w:vAlign w:val="bottom"/>
          </w:tcPr>
          <w:p>
            <w:pPr>
              <w:spacing w:after="0"/>
              <w:rPr>
                <w:sz w:val="24"/>
                <w:szCs w:val="24"/>
                <w:color w:val="auto"/>
              </w:rPr>
            </w:pPr>
          </w:p>
        </w:tc>
        <w:tc>
          <w:tcPr>
            <w:tcW w:w="7980" w:type="dxa"/>
            <w:vAlign w:val="bottom"/>
          </w:tcPr>
          <w:p>
            <w:pPr>
              <w:ind w:left="318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4"/>
                <w:szCs w:val="24"/>
                <w:color w:val="auto"/>
              </w:rPr>
            </w:pPr>
          </w:p>
        </w:tc>
      </w:tr>
      <w:tr>
        <w:trPr>
          <w:trHeight w:val="414"/>
        </w:trPr>
        <w:tc>
          <w:tcPr>
            <w:tcW w:w="8700" w:type="dxa"/>
            <w:vAlign w:val="bottom"/>
            <w:gridSpan w:val="2"/>
          </w:tcPr>
          <w:p>
            <w:pPr>
              <w:ind w:left="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460" w:type="dxa"/>
            <w:vAlign w:val="bottom"/>
          </w:tcPr>
          <w:p>
            <w:pPr>
              <w:spacing w:after="0"/>
              <w:rPr>
                <w:sz w:val="24"/>
                <w:szCs w:val="24"/>
                <w:color w:val="auto"/>
              </w:rPr>
            </w:pPr>
          </w:p>
        </w:tc>
      </w:tr>
      <w:tr>
        <w:trPr>
          <w:trHeight w:val="207"/>
        </w:trPr>
        <w:tc>
          <w:tcPr>
            <w:tcW w:w="720" w:type="dxa"/>
            <w:vAlign w:val="bottom"/>
          </w:tcPr>
          <w:p>
            <w:pPr>
              <w:ind w:left="2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u w:val="single" w:color="auto"/>
                  <w:color w:val="0000EE"/>
                </w:rPr>
                <w:t>Item 1</w:t>
              </w:r>
              <w:r>
                <w:rPr>
                  <w:rFonts w:ascii="Arial" w:cs="Arial" w:eastAsia="Arial" w:hAnsi="Arial"/>
                  <w:sz w:val="18"/>
                  <w:szCs w:val="18"/>
                  <w:b w:val="1"/>
                  <w:bCs w:val="1"/>
                  <w:color w:val="0000EE"/>
                </w:rPr>
                <w:t>.</w:t>
              </w:r>
            </w:hyperlink>
          </w:p>
        </w:tc>
        <w:tc>
          <w:tcPr>
            <w:tcW w:w="7980" w:type="dxa"/>
            <w:vAlign w:val="bottom"/>
          </w:tcPr>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Statements (Unaudited)</w:t>
              </w:r>
            </w:hyperlink>
          </w:p>
        </w:tc>
        <w:tc>
          <w:tcPr>
            <w:tcW w:w="460" w:type="dxa"/>
            <w:vAlign w:val="bottom"/>
          </w:tcPr>
          <w:p>
            <w:pPr>
              <w:spacing w:after="0"/>
              <w:rPr>
                <w:sz w:val="17"/>
                <w:szCs w:val="17"/>
                <w:color w:val="auto"/>
              </w:rPr>
            </w:pPr>
          </w:p>
        </w:tc>
      </w:tr>
      <w:tr>
        <w:trPr>
          <w:trHeight w:val="216"/>
        </w:trPr>
        <w:tc>
          <w:tcPr>
            <w:tcW w:w="720" w:type="dxa"/>
            <w:vAlign w:val="bottom"/>
          </w:tcPr>
          <w:p>
            <w:pPr>
              <w:spacing w:after="0"/>
              <w:rPr>
                <w:sz w:val="18"/>
                <w:szCs w:val="18"/>
                <w:color w:val="auto"/>
              </w:rPr>
            </w:pPr>
          </w:p>
        </w:tc>
        <w:tc>
          <w:tcPr>
            <w:tcW w:w="7980" w:type="dxa"/>
            <w:vAlign w:val="bottom"/>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 for the three months ended March 31, 2020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spacing w:after="0"/>
              <w:rPr>
                <w:sz w:val="18"/>
                <w:szCs w:val="18"/>
                <w:color w:val="auto"/>
              </w:rPr>
            </w:pPr>
          </w:p>
        </w:tc>
        <w:tc>
          <w:tcPr>
            <w:tcW w:w="7980" w:type="dxa"/>
            <w:vAlign w:val="bottom"/>
          </w:tcPr>
          <w:p>
            <w:pPr>
              <w:ind w:left="40"/>
              <w:spacing w:after="0"/>
              <w:rPr>
                <w:rFonts w:ascii="Arial" w:cs="Arial" w:eastAsia="Arial" w:hAnsi="Arial"/>
                <w:sz w:val="18"/>
                <w:szCs w:val="18"/>
                <w:u w:val="single" w:color="auto"/>
                <w:color w:val="0000EE"/>
                <w:w w:val="93"/>
              </w:rPr>
            </w:pPr>
            <w:hyperlink w:anchor="page4">
              <w:r>
                <w:rPr>
                  <w:rFonts w:ascii="Arial" w:cs="Arial" w:eastAsia="Arial" w:hAnsi="Arial"/>
                  <w:sz w:val="18"/>
                  <w:szCs w:val="18"/>
                  <w:u w:val="single" w:color="auto"/>
                  <w:color w:val="0000EE"/>
                  <w:w w:val="93"/>
                </w:rPr>
                <w:t>Consolidated Statements of Comprehensive Income for the three months ended March 31, 2020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20" w:type="dxa"/>
            <w:vAlign w:val="bottom"/>
          </w:tcPr>
          <w:p>
            <w:pPr>
              <w:spacing w:after="0"/>
              <w:rPr>
                <w:sz w:val="18"/>
                <w:szCs w:val="18"/>
                <w:color w:val="auto"/>
              </w:rPr>
            </w:pPr>
          </w:p>
        </w:tc>
        <w:tc>
          <w:tcPr>
            <w:tcW w:w="7980" w:type="dxa"/>
            <w:vAlign w:val="bottom"/>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as of March 31, 2020 and December 31,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20" w:type="dxa"/>
            <w:vAlign w:val="bottom"/>
          </w:tcPr>
          <w:p>
            <w:pPr>
              <w:spacing w:after="0"/>
              <w:rPr>
                <w:sz w:val="18"/>
                <w:szCs w:val="18"/>
                <w:color w:val="auto"/>
              </w:rPr>
            </w:pPr>
          </w:p>
        </w:tc>
        <w:tc>
          <w:tcPr>
            <w:tcW w:w="7980" w:type="dxa"/>
            <w:vAlign w:val="bottom"/>
          </w:tcPr>
          <w:p>
            <w:pPr>
              <w:ind w:left="40"/>
              <w:spacing w:after="0"/>
              <w:rPr>
                <w:rFonts w:ascii="Arial" w:cs="Arial" w:eastAsia="Arial" w:hAnsi="Arial"/>
                <w:sz w:val="18"/>
                <w:szCs w:val="18"/>
                <w:u w:val="single" w:color="auto"/>
                <w:color w:val="0000EE"/>
                <w:w w:val="96"/>
              </w:rPr>
            </w:pPr>
            <w:hyperlink w:anchor="page6">
              <w:r>
                <w:rPr>
                  <w:rFonts w:ascii="Arial" w:cs="Arial" w:eastAsia="Arial" w:hAnsi="Arial"/>
                  <w:sz w:val="18"/>
                  <w:szCs w:val="18"/>
                  <w:u w:val="single" w:color="auto"/>
                  <w:color w:val="0000EE"/>
                  <w:w w:val="96"/>
                </w:rPr>
                <w:t>Consolidated Statements of Stockholders’ Equity for the three months ended March 31, 2020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20" w:type="dxa"/>
            <w:vAlign w:val="bottom"/>
          </w:tcPr>
          <w:p>
            <w:pPr>
              <w:spacing w:after="0"/>
              <w:rPr>
                <w:sz w:val="18"/>
                <w:szCs w:val="18"/>
                <w:color w:val="auto"/>
              </w:rPr>
            </w:pPr>
          </w:p>
        </w:tc>
        <w:tc>
          <w:tcPr>
            <w:tcW w:w="7980" w:type="dxa"/>
            <w:vAlign w:val="bottom"/>
          </w:tcPr>
          <w:p>
            <w:pPr>
              <w:ind w:left="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for the three months ended March 31, 2020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2"/>
        </w:trPr>
        <w:tc>
          <w:tcPr>
            <w:tcW w:w="720" w:type="dxa"/>
            <w:vAlign w:val="bottom"/>
          </w:tcPr>
          <w:p>
            <w:pPr>
              <w:spacing w:after="0"/>
              <w:rPr>
                <w:sz w:val="18"/>
                <w:szCs w:val="18"/>
                <w:color w:val="auto"/>
              </w:rPr>
            </w:pPr>
          </w:p>
        </w:tc>
        <w:tc>
          <w:tcPr>
            <w:tcW w:w="7980" w:type="dxa"/>
            <w:vAlign w:val="bottom"/>
          </w:tcPr>
          <w:p>
            <w:pPr>
              <w:ind w:left="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0"/>
        </w:trPr>
        <w:tc>
          <w:tcPr>
            <w:tcW w:w="720" w:type="dxa"/>
            <w:vAlign w:val="bottom"/>
          </w:tcPr>
          <w:p>
            <w:pPr>
              <w:ind w:left="20"/>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u w:val="single" w:color="auto"/>
                  <w:color w:val="0000EE"/>
                </w:rPr>
                <w:t>Item 2</w:t>
              </w:r>
              <w:r>
                <w:rPr>
                  <w:rFonts w:ascii="Arial" w:cs="Arial" w:eastAsia="Arial" w:hAnsi="Arial"/>
                  <w:sz w:val="18"/>
                  <w:szCs w:val="18"/>
                  <w:b w:val="1"/>
                  <w:bCs w:val="1"/>
                  <w:color w:val="0000EE"/>
                </w:rPr>
                <w:t>.</w:t>
              </w:r>
            </w:hyperlink>
          </w:p>
        </w:tc>
        <w:tc>
          <w:tcPr>
            <w:tcW w:w="7980" w:type="dxa"/>
            <w:vAlign w:val="bottom"/>
          </w:tcPr>
          <w:p>
            <w:pPr>
              <w:ind w:left="40"/>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20" w:type="dxa"/>
            <w:vAlign w:val="bottom"/>
          </w:tcPr>
          <w:p>
            <w:pPr>
              <w:spacing w:after="0"/>
              <w:rPr>
                <w:sz w:val="18"/>
                <w:szCs w:val="18"/>
                <w:color w:val="auto"/>
              </w:rPr>
            </w:pPr>
          </w:p>
        </w:tc>
        <w:tc>
          <w:tcPr>
            <w:tcW w:w="7980" w:type="dxa"/>
            <w:vAlign w:val="bottom"/>
          </w:tcPr>
          <w:p>
            <w:pPr>
              <w:ind w:left="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Overview</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20" w:type="dxa"/>
            <w:vAlign w:val="bottom"/>
          </w:tcPr>
          <w:p>
            <w:pPr>
              <w:spacing w:after="0"/>
              <w:rPr>
                <w:sz w:val="18"/>
                <w:szCs w:val="18"/>
                <w:color w:val="auto"/>
              </w:rPr>
            </w:pPr>
          </w:p>
        </w:tc>
        <w:tc>
          <w:tcPr>
            <w:tcW w:w="7980" w:type="dxa"/>
            <w:vAlign w:val="bottom"/>
          </w:tcPr>
          <w:p>
            <w:pPr>
              <w:ind w:left="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Critical Accounting Estimates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20" w:type="dxa"/>
            <w:vAlign w:val="bottom"/>
          </w:tcPr>
          <w:p>
            <w:pPr>
              <w:spacing w:after="0"/>
              <w:rPr>
                <w:sz w:val="18"/>
                <w:szCs w:val="18"/>
                <w:color w:val="auto"/>
              </w:rPr>
            </w:pPr>
          </w:p>
        </w:tc>
        <w:tc>
          <w:tcPr>
            <w:tcW w:w="7980" w:type="dxa"/>
            <w:vAlign w:val="bottom"/>
          </w:tcPr>
          <w:p>
            <w:pPr>
              <w:ind w:left="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2"/>
        </w:trPr>
        <w:tc>
          <w:tcPr>
            <w:tcW w:w="720" w:type="dxa"/>
            <w:vAlign w:val="bottom"/>
          </w:tcPr>
          <w:p>
            <w:pPr>
              <w:spacing w:after="0"/>
              <w:rPr>
                <w:sz w:val="18"/>
                <w:szCs w:val="18"/>
                <w:color w:val="auto"/>
              </w:rPr>
            </w:pPr>
          </w:p>
        </w:tc>
        <w:tc>
          <w:tcPr>
            <w:tcW w:w="7980" w:type="dxa"/>
            <w:vAlign w:val="bottom"/>
          </w:tcPr>
          <w:p>
            <w:pPr>
              <w:ind w:left="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Liquidity and Capital Resources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20" w:type="dxa"/>
            <w:vAlign w:val="bottom"/>
          </w:tcPr>
          <w:p>
            <w:pPr>
              <w:ind w:left="20"/>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u w:val="single" w:color="auto"/>
                  <w:color w:val="0000EE"/>
                </w:rPr>
                <w:t>Item 3</w:t>
              </w:r>
              <w:r>
                <w:rPr>
                  <w:rFonts w:ascii="Arial" w:cs="Arial" w:eastAsia="Arial" w:hAnsi="Arial"/>
                  <w:sz w:val="18"/>
                  <w:szCs w:val="18"/>
                  <w:b w:val="1"/>
                  <w:bCs w:val="1"/>
                  <w:color w:val="0000EE"/>
                </w:rPr>
                <w:t>.</w:t>
              </w:r>
            </w:hyperlink>
          </w:p>
        </w:tc>
        <w:tc>
          <w:tcPr>
            <w:tcW w:w="7980" w:type="dxa"/>
            <w:vAlign w:val="bottom"/>
          </w:tcPr>
          <w:p>
            <w:pPr>
              <w:ind w:left="4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20" w:type="dxa"/>
            <w:vAlign w:val="bottom"/>
          </w:tcPr>
          <w:p>
            <w:pPr>
              <w:ind w:left="20"/>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u w:val="single" w:color="auto"/>
                  <w:color w:val="0000EE"/>
                </w:rPr>
                <w:t>Item 4</w:t>
              </w:r>
              <w:r>
                <w:rPr>
                  <w:rFonts w:ascii="Arial" w:cs="Arial" w:eastAsia="Arial" w:hAnsi="Arial"/>
                  <w:sz w:val="18"/>
                  <w:szCs w:val="18"/>
                  <w:b w:val="1"/>
                  <w:bCs w:val="1"/>
                  <w:color w:val="0000EE"/>
                </w:rPr>
                <w:t>.</w:t>
              </w:r>
            </w:hyperlink>
          </w:p>
        </w:tc>
        <w:tc>
          <w:tcPr>
            <w:tcW w:w="7980" w:type="dxa"/>
            <w:vAlign w:val="bottom"/>
          </w:tcPr>
          <w:p>
            <w:pPr>
              <w:ind w:left="4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700" w:type="dxa"/>
            <w:vAlign w:val="bottom"/>
            <w:gridSpan w:val="2"/>
          </w:tcPr>
          <w:p>
            <w:pPr>
              <w:ind w:left="2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PART II - 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20" w:type="dxa"/>
            <w:vAlign w:val="bottom"/>
          </w:tcPr>
          <w:p>
            <w:pPr>
              <w:ind w:left="2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u w:val="single" w:color="auto"/>
                  <w:color w:val="0000EE"/>
                </w:rPr>
                <w:t>Item 1</w:t>
              </w:r>
              <w:r>
                <w:rPr>
                  <w:rFonts w:ascii="Arial" w:cs="Arial" w:eastAsia="Arial" w:hAnsi="Arial"/>
                  <w:sz w:val="18"/>
                  <w:szCs w:val="18"/>
                  <w:b w:val="1"/>
                  <w:bCs w:val="1"/>
                  <w:color w:val="0000EE"/>
                </w:rPr>
                <w:t>.</w:t>
              </w:r>
            </w:hyperlink>
          </w:p>
        </w:tc>
        <w:tc>
          <w:tcPr>
            <w:tcW w:w="7980" w:type="dxa"/>
            <w:vAlign w:val="bottom"/>
          </w:tcPr>
          <w:p>
            <w:pPr>
              <w:ind w:left="4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20" w:type="dxa"/>
            <w:vAlign w:val="bottom"/>
          </w:tcPr>
          <w:p>
            <w:pPr>
              <w:ind w:left="20"/>
              <w:spacing w:after="0"/>
              <w:rPr>
                <w:rFonts w:ascii="Arial" w:cs="Arial" w:eastAsia="Arial" w:hAnsi="Arial"/>
                <w:sz w:val="18"/>
                <w:szCs w:val="18"/>
                <w:b w:val="1"/>
                <w:bCs w:val="1"/>
                <w:u w:val="single" w:color="auto"/>
                <w:color w:val="0000EE"/>
                <w:w w:val="97"/>
              </w:rPr>
            </w:pPr>
            <w:hyperlink w:anchor="page28">
              <w:r>
                <w:rPr>
                  <w:rFonts w:ascii="Arial" w:cs="Arial" w:eastAsia="Arial" w:hAnsi="Arial"/>
                  <w:sz w:val="18"/>
                  <w:szCs w:val="18"/>
                  <w:b w:val="1"/>
                  <w:bCs w:val="1"/>
                  <w:u w:val="single" w:color="auto"/>
                  <w:color w:val="0000EE"/>
                  <w:w w:val="97"/>
                </w:rPr>
                <w:t>Item 1A.</w:t>
              </w:r>
            </w:hyperlink>
          </w:p>
        </w:tc>
        <w:tc>
          <w:tcPr>
            <w:tcW w:w="7980" w:type="dxa"/>
            <w:vAlign w:val="bottom"/>
          </w:tcPr>
          <w:p>
            <w:pPr>
              <w:ind w:left="4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20" w:type="dxa"/>
            <w:vAlign w:val="bottom"/>
          </w:tcPr>
          <w:p>
            <w:pPr>
              <w:ind w:left="2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u w:val="single" w:color="auto"/>
                  <w:color w:val="0000EE"/>
                </w:rPr>
                <w:t>Item 2</w:t>
              </w:r>
              <w:r>
                <w:rPr>
                  <w:rFonts w:ascii="Arial" w:cs="Arial" w:eastAsia="Arial" w:hAnsi="Arial"/>
                  <w:sz w:val="18"/>
                  <w:szCs w:val="18"/>
                  <w:b w:val="1"/>
                  <w:bCs w:val="1"/>
                  <w:color w:val="0000EE"/>
                </w:rPr>
                <w:t>.</w:t>
              </w:r>
            </w:hyperlink>
          </w:p>
        </w:tc>
        <w:tc>
          <w:tcPr>
            <w:tcW w:w="7980" w:type="dxa"/>
            <w:vAlign w:val="bottom"/>
          </w:tcPr>
          <w:p>
            <w:pPr>
              <w:ind w:left="4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Unregistered Sales of Equity Securities and Use of Proceeds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20" w:type="dxa"/>
            <w:vAlign w:val="bottom"/>
          </w:tcPr>
          <w:p>
            <w:pPr>
              <w:ind w:left="2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u w:val="single" w:color="auto"/>
                  <w:color w:val="0000EE"/>
                </w:rPr>
                <w:t>Item 3</w:t>
              </w:r>
              <w:r>
                <w:rPr>
                  <w:rFonts w:ascii="Arial" w:cs="Arial" w:eastAsia="Arial" w:hAnsi="Arial"/>
                  <w:sz w:val="18"/>
                  <w:szCs w:val="18"/>
                  <w:b w:val="1"/>
                  <w:bCs w:val="1"/>
                  <w:color w:val="0000EE"/>
                </w:rPr>
                <w:t>.</w:t>
              </w:r>
            </w:hyperlink>
          </w:p>
        </w:tc>
        <w:tc>
          <w:tcPr>
            <w:tcW w:w="7980" w:type="dxa"/>
            <w:vAlign w:val="bottom"/>
          </w:tcPr>
          <w:p>
            <w:pPr>
              <w:ind w:left="4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Defaults Upon Senior Securities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20" w:type="dxa"/>
            <w:vAlign w:val="bottom"/>
          </w:tcPr>
          <w:p>
            <w:pPr>
              <w:ind w:left="2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u w:val="single" w:color="auto"/>
                  <w:color w:val="0000EE"/>
                </w:rPr>
                <w:t>Item 4</w:t>
              </w:r>
              <w:r>
                <w:rPr>
                  <w:rFonts w:ascii="Arial" w:cs="Arial" w:eastAsia="Arial" w:hAnsi="Arial"/>
                  <w:sz w:val="18"/>
                  <w:szCs w:val="18"/>
                  <w:b w:val="1"/>
                  <w:bCs w:val="1"/>
                  <w:color w:val="0000EE"/>
                </w:rPr>
                <w:t>.</w:t>
              </w:r>
            </w:hyperlink>
          </w:p>
        </w:tc>
        <w:tc>
          <w:tcPr>
            <w:tcW w:w="7980" w:type="dxa"/>
            <w:vAlign w:val="bottom"/>
          </w:tcPr>
          <w:p>
            <w:pPr>
              <w:ind w:left="4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20" w:type="dxa"/>
            <w:vAlign w:val="bottom"/>
          </w:tcPr>
          <w:p>
            <w:pPr>
              <w:ind w:left="2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u w:val="single" w:color="auto"/>
                  <w:color w:val="0000EE"/>
                </w:rPr>
                <w:t>Item 5</w:t>
              </w:r>
              <w:r>
                <w:rPr>
                  <w:rFonts w:ascii="Arial" w:cs="Arial" w:eastAsia="Arial" w:hAnsi="Arial"/>
                  <w:sz w:val="18"/>
                  <w:szCs w:val="18"/>
                  <w:b w:val="1"/>
                  <w:bCs w:val="1"/>
                  <w:color w:val="0000EE"/>
                </w:rPr>
                <w:t>.</w:t>
              </w:r>
            </w:hyperlink>
          </w:p>
        </w:tc>
        <w:tc>
          <w:tcPr>
            <w:tcW w:w="7980" w:type="dxa"/>
            <w:vAlign w:val="bottom"/>
          </w:tcPr>
          <w:p>
            <w:pPr>
              <w:ind w:left="4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4"/>
        </w:trPr>
        <w:tc>
          <w:tcPr>
            <w:tcW w:w="720" w:type="dxa"/>
            <w:vAlign w:val="bottom"/>
          </w:tcPr>
          <w:p>
            <w:pPr>
              <w:ind w:left="20"/>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u w:val="single" w:color="auto"/>
                  <w:color w:val="0000EE"/>
                </w:rPr>
                <w:t>Item 6</w:t>
              </w:r>
              <w:r>
                <w:rPr>
                  <w:rFonts w:ascii="Arial" w:cs="Arial" w:eastAsia="Arial" w:hAnsi="Arial"/>
                  <w:sz w:val="18"/>
                  <w:szCs w:val="18"/>
                  <w:b w:val="1"/>
                  <w:bCs w:val="1"/>
                  <w:color w:val="0000EE"/>
                </w:rPr>
                <w:t>.</w:t>
              </w:r>
            </w:hyperlink>
          </w:p>
        </w:tc>
        <w:tc>
          <w:tcPr>
            <w:tcW w:w="7980" w:type="dxa"/>
            <w:vAlign w:val="bottom"/>
          </w:tcPr>
          <w:p>
            <w:pPr>
              <w:ind w:left="4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675"/>
        </w:trPr>
        <w:tc>
          <w:tcPr>
            <w:tcW w:w="720" w:type="dxa"/>
            <w:vAlign w:val="bottom"/>
          </w:tcPr>
          <w:p>
            <w:pPr>
              <w:spacing w:after="0"/>
              <w:rPr>
                <w:sz w:val="24"/>
                <w:szCs w:val="24"/>
                <w:color w:val="auto"/>
              </w:rPr>
            </w:pPr>
          </w:p>
        </w:tc>
        <w:tc>
          <w:tcPr>
            <w:tcW w:w="7980" w:type="dxa"/>
            <w:vAlign w:val="bottom"/>
          </w:tcPr>
          <w:p>
            <w:pPr>
              <w:ind w:left="382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r>
      <w:tr>
        <w:trPr>
          <w:trHeight w:val="560"/>
        </w:trPr>
        <w:tc>
          <w:tcPr>
            <w:tcW w:w="72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9160"/>
          </w:cols>
          <w:pgMar w:left="1360" w:top="125" w:right="137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Three months ended</w:t>
      </w:r>
    </w:p>
    <w:p>
      <w:pPr>
        <w:jc w:val="center"/>
        <w:ind w:left="54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6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2"/>
                <w:szCs w:val="12"/>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Product</w:t>
            </w:r>
          </w:p>
        </w:tc>
        <w:tc>
          <w:tcPr>
            <w:tcW w:w="1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112,133</w:t>
            </w:r>
          </w:p>
        </w:tc>
        <w:tc>
          <w:tcPr>
            <w:tcW w:w="6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84,197</w:t>
            </w:r>
          </w:p>
        </w:tc>
        <w:tc>
          <w:tcPr>
            <w:tcW w:w="36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360" w:type="dxa"/>
            <w:vAlign w:val="bottom"/>
            <w:shd w:val="clear" w:color="auto" w:fill="CCEEFF"/>
          </w:tcPr>
          <w:p>
            <w:pPr>
              <w:spacing w:after="0"/>
              <w:rPr>
                <w:sz w:val="18"/>
                <w:szCs w:val="18"/>
                <w:color w:val="auto"/>
              </w:rPr>
            </w:pPr>
          </w:p>
        </w:tc>
      </w:tr>
      <w:tr>
        <w:trPr>
          <w:trHeight w:val="209"/>
        </w:trPr>
        <w:tc>
          <w:tcPr>
            <w:tcW w:w="4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118,991</w:t>
            </w:r>
          </w:p>
        </w:tc>
        <w:tc>
          <w:tcPr>
            <w:tcW w:w="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91,477</w:t>
            </w:r>
          </w:p>
        </w:tc>
        <w:tc>
          <w:tcPr>
            <w:tcW w:w="360" w:type="dxa"/>
            <w:vAlign w:val="bottom"/>
            <w:tcBorders>
              <w:bottom w:val="single" w:sz="8" w:color="CCEEFF"/>
            </w:tcBorders>
          </w:tcPr>
          <w:p>
            <w:pPr>
              <w:spacing w:after="0"/>
              <w:rPr>
                <w:sz w:val="18"/>
                <w:szCs w:val="18"/>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Product</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67,172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47,338</w:t>
            </w:r>
          </w:p>
        </w:tc>
        <w:tc>
          <w:tcPr>
            <w:tcW w:w="36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360" w:type="dxa"/>
            <w:vAlign w:val="bottom"/>
            <w:shd w:val="clear" w:color="auto" w:fill="CCEEFF"/>
          </w:tcPr>
          <w:p>
            <w:pPr>
              <w:spacing w:after="0"/>
              <w:rPr>
                <w:sz w:val="18"/>
                <w:szCs w:val="18"/>
                <w:color w:val="auto"/>
              </w:rPr>
            </w:pPr>
          </w:p>
        </w:tc>
      </w:tr>
      <w:tr>
        <w:trPr>
          <w:trHeight w:val="210"/>
        </w:trPr>
        <w:tc>
          <w:tcPr>
            <w:tcW w:w="4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cost of revenue</w:t>
            </w:r>
          </w:p>
        </w:tc>
        <w:tc>
          <w:tcPr>
            <w:tcW w:w="1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73,442</w:t>
            </w:r>
          </w:p>
        </w:tc>
        <w:tc>
          <w:tcPr>
            <w:tcW w:w="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53,971</w:t>
            </w:r>
          </w:p>
        </w:tc>
        <w:tc>
          <w:tcPr>
            <w:tcW w:w="360" w:type="dxa"/>
            <w:vAlign w:val="bottom"/>
            <w:tcBorders>
              <w:bottom w:val="single" w:sz="8" w:color="CCEEFF"/>
            </w:tcBorders>
          </w:tcPr>
          <w:p>
            <w:pPr>
              <w:spacing w:after="0"/>
              <w:rPr>
                <w:sz w:val="18"/>
                <w:szCs w:val="18"/>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37,506</w:t>
            </w:r>
          </w:p>
        </w:tc>
        <w:tc>
          <w:tcPr>
            <w:tcW w:w="3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13,685</w:t>
            </w:r>
          </w:p>
        </w:tc>
        <w:tc>
          <w:tcPr>
            <w:tcW w:w="36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8,918</w:t>
            </w:r>
          </w:p>
        </w:tc>
        <w:tc>
          <w:tcPr>
            <w:tcW w:w="36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360" w:type="dxa"/>
            <w:vAlign w:val="bottom"/>
            <w:shd w:val="clear" w:color="auto" w:fill="CCEEFF"/>
          </w:tcPr>
          <w:p>
            <w:pPr>
              <w:spacing w:after="0"/>
              <w:rPr>
                <w:sz w:val="18"/>
                <w:szCs w:val="18"/>
                <w:color w:val="auto"/>
              </w:rPr>
            </w:pPr>
          </w:p>
        </w:tc>
      </w:tr>
      <w:tr>
        <w:trPr>
          <w:trHeight w:val="209"/>
        </w:trPr>
        <w:tc>
          <w:tcPr>
            <w:tcW w:w="4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31,846</w:t>
            </w:r>
          </w:p>
        </w:tc>
        <w:tc>
          <w:tcPr>
            <w:tcW w:w="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30,410</w:t>
            </w:r>
          </w:p>
        </w:tc>
        <w:tc>
          <w:tcPr>
            <w:tcW w:w="360" w:type="dxa"/>
            <w:vAlign w:val="bottom"/>
            <w:tcBorders>
              <w:bottom w:val="single" w:sz="8" w:color="CCEEFF"/>
            </w:tcBorders>
          </w:tcPr>
          <w:p>
            <w:pPr>
              <w:spacing w:after="0"/>
              <w:rPr>
                <w:sz w:val="18"/>
                <w:szCs w:val="18"/>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3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 (expense) income:</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36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(1,230)</w:t>
            </w:r>
          </w:p>
        </w:tc>
        <w:tc>
          <w:tcPr>
            <w:tcW w:w="36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60" w:type="dxa"/>
            <w:vAlign w:val="bottom"/>
            <w:shd w:val="clear" w:color="auto" w:fill="CCEEFF"/>
          </w:tcPr>
          <w:p>
            <w:pPr>
              <w:spacing w:after="0"/>
              <w:rPr>
                <w:sz w:val="18"/>
                <w:szCs w:val="18"/>
                <w:color w:val="auto"/>
              </w:rPr>
            </w:pPr>
          </w:p>
        </w:tc>
      </w:tr>
      <w:tr>
        <w:trPr>
          <w:trHeight w:val="210"/>
        </w:trPr>
        <w:tc>
          <w:tcPr>
            <w:tcW w:w="4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expense</w:t>
            </w:r>
          </w:p>
        </w:tc>
        <w:tc>
          <w:tcPr>
            <w:tcW w:w="1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360" w:type="dxa"/>
            <w:vAlign w:val="bottom"/>
            <w:tcBorders>
              <w:bottom w:val="single" w:sz="8" w:color="CCEEFF"/>
            </w:tcBorders>
          </w:tcPr>
          <w:p>
            <w:pPr>
              <w:spacing w:after="0"/>
              <w:rPr>
                <w:sz w:val="18"/>
                <w:szCs w:val="18"/>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36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1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360" w:type="dxa"/>
            <w:vAlign w:val="bottom"/>
            <w:tcBorders>
              <w:bottom w:val="single" w:sz="8" w:color="CCEEFF"/>
            </w:tcBorders>
          </w:tcPr>
          <w:p>
            <w:pPr>
              <w:spacing w:after="0"/>
              <w:rPr>
                <w:sz w:val="18"/>
                <w:szCs w:val="18"/>
                <w:color w:val="auto"/>
              </w:rPr>
            </w:pPr>
          </w:p>
        </w:tc>
      </w:tr>
      <w:tr>
        <w:trPr>
          <w:trHeight w:val="230"/>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360" w:type="dxa"/>
            <w:vAlign w:val="bottom"/>
            <w:tcBorders>
              <w:bottom w:val="single" w:sz="8" w:color="CCEEFF"/>
            </w:tcBorders>
            <w:shd w:val="clear" w:color="auto" w:fill="CCEEFF"/>
          </w:tcPr>
          <w:p>
            <w:pPr>
              <w:spacing w:after="0"/>
              <w:rPr>
                <w:sz w:val="19"/>
                <w:szCs w:val="19"/>
                <w:color w:val="auto"/>
              </w:rPr>
            </w:pPr>
          </w:p>
        </w:tc>
      </w:tr>
      <w:tr>
        <w:trPr>
          <w:trHeight w:val="203"/>
        </w:trPr>
        <w:tc>
          <w:tcPr>
            <w:tcW w:w="4600" w:type="dxa"/>
            <w:vAlign w:val="bottom"/>
          </w:tcPr>
          <w:p>
            <w:pPr>
              <w:spacing w:after="0" w:line="203" w:lineRule="exact"/>
              <w:rPr>
                <w:sz w:val="20"/>
                <w:szCs w:val="20"/>
                <w:color w:val="auto"/>
              </w:rPr>
            </w:pPr>
            <w:r>
              <w:rPr>
                <w:rFonts w:ascii="Arial" w:cs="Arial" w:eastAsia="Arial" w:hAnsi="Arial"/>
                <w:sz w:val="18"/>
                <w:szCs w:val="18"/>
                <w:color w:val="auto"/>
              </w:rPr>
              <w:t>Net income per share:</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3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6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6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60" w:type="dxa"/>
            <w:vAlign w:val="bottom"/>
            <w:shd w:val="clear" w:color="auto" w:fill="CCEEFF"/>
          </w:tcPr>
          <w:p>
            <w:pPr>
              <w:spacing w:after="0"/>
              <w:rPr>
                <w:sz w:val="20"/>
                <w:szCs w:val="20"/>
                <w:color w:val="auto"/>
              </w:rPr>
            </w:pPr>
          </w:p>
        </w:tc>
      </w:tr>
      <w:tr>
        <w:trPr>
          <w:trHeight w:val="210"/>
        </w:trPr>
        <w:tc>
          <w:tcPr>
            <w:tcW w:w="4600" w:type="dxa"/>
            <w:vAlign w:val="bottom"/>
            <w:tcBorders>
              <w:top w:val="single" w:sz="8" w:color="CCEEFF"/>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Diluted</w:t>
            </w:r>
          </w:p>
        </w:tc>
        <w:tc>
          <w:tcPr>
            <w:tcW w:w="116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c>
          <w:tcPr>
            <w:tcW w:w="3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360" w:type="dxa"/>
            <w:vAlign w:val="bottom"/>
            <w:tcBorders>
              <w:top w:val="single" w:sz="8" w:color="CCEEFF"/>
              <w:bottom w:val="single" w:sz="8" w:color="CCEEFF"/>
            </w:tcBorders>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income per share:</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23"/>
        </w:trPr>
        <w:tc>
          <w:tcPr>
            <w:tcW w:w="4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 weighted average common shares</w:t>
            </w:r>
          </w:p>
        </w:tc>
        <w:tc>
          <w:tcPr>
            <w:tcW w:w="1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32,872</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32,683</w:t>
            </w:r>
          </w:p>
        </w:tc>
        <w:tc>
          <w:tcPr>
            <w:tcW w:w="360" w:type="dxa"/>
            <w:vAlign w:val="bottom"/>
            <w:tcBorders>
              <w:bottom w:val="single" w:sz="8" w:color="CCEEFF"/>
            </w:tcBorders>
          </w:tcPr>
          <w:p>
            <w:pPr>
              <w:spacing w:after="0"/>
              <w:rPr>
                <w:sz w:val="19"/>
                <w:szCs w:val="19"/>
                <w:color w:val="auto"/>
              </w:rPr>
            </w:pPr>
          </w:p>
        </w:tc>
      </w:tr>
      <w:tr>
        <w:trPr>
          <w:trHeight w:val="223"/>
        </w:trPr>
        <w:tc>
          <w:tcPr>
            <w:tcW w:w="4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 weighted average common shares</w:t>
            </w:r>
          </w:p>
        </w:tc>
        <w:tc>
          <w:tcPr>
            <w:tcW w:w="1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34,057</w:t>
            </w:r>
          </w:p>
        </w:tc>
        <w:tc>
          <w:tcPr>
            <w:tcW w:w="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34,224</w:t>
            </w:r>
          </w:p>
        </w:tc>
        <w:tc>
          <w:tcPr>
            <w:tcW w:w="36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Three months ended</w:t>
      </w:r>
    </w:p>
    <w:p>
      <w:pPr>
        <w:jc w:val="center"/>
        <w:ind w:left="70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28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2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CEEFF"/>
          </w:tcPr>
          <w:p>
            <w:pPr>
              <w:spacing w:after="0"/>
              <w:rPr>
                <w:sz w:val="18"/>
                <w:szCs w:val="18"/>
                <w:color w:val="auto"/>
              </w:rPr>
            </w:pPr>
          </w:p>
        </w:tc>
      </w:tr>
      <w:tr>
        <w:trPr>
          <w:trHeight w:val="216"/>
        </w:trPr>
        <w:tc>
          <w:tcPr>
            <w:tcW w:w="6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Amortization of actuarial loss and other adjustments from pension plan</w:t>
            </w:r>
          </w:p>
        </w:tc>
        <w:tc>
          <w:tcPr>
            <w:tcW w:w="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tcPr>
          <w:p>
            <w:pPr>
              <w:spacing w:after="0"/>
              <w:rPr>
                <w:sz w:val="18"/>
                <w:szCs w:val="18"/>
                <w:color w:val="auto"/>
              </w:rPr>
            </w:pPr>
          </w:p>
        </w:tc>
      </w:tr>
      <w:tr>
        <w:trPr>
          <w:trHeight w:val="210"/>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comprehensive loss</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r>
      <w:tr>
        <w:trPr>
          <w:trHeight w:val="217"/>
        </w:trPr>
        <w:tc>
          <w:tcPr>
            <w:tcW w:w="6280" w:type="dxa"/>
            <w:vAlign w:val="bottom"/>
          </w:tcPr>
          <w:p>
            <w:pPr>
              <w:ind w:left="320"/>
              <w:spacing w:after="0"/>
              <w:rPr>
                <w:sz w:val="20"/>
                <w:szCs w:val="20"/>
                <w:color w:val="auto"/>
              </w:rPr>
            </w:pPr>
            <w:r>
              <w:rPr>
                <w:rFonts w:ascii="Arial" w:cs="Arial" w:eastAsia="Arial" w:hAnsi="Arial"/>
                <w:sz w:val="18"/>
                <w:szCs w:val="18"/>
                <w:color w:val="auto"/>
              </w:rPr>
              <w:t>Comprehensive income</w:t>
            </w:r>
          </w:p>
        </w:tc>
        <w:tc>
          <w:tcPr>
            <w:tcW w:w="9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10,166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w:t>
            </w:r>
          </w:p>
        </w:tc>
        <w:tc>
          <w:tcPr>
            <w:tcW w:w="20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w:t>
            </w:r>
          </w:p>
        </w:tc>
        <w:tc>
          <w:tcPr>
            <w:tcW w:w="1060" w:type="dxa"/>
            <w:vAlign w:val="bottom"/>
            <w:gridSpan w:val="4"/>
          </w:tcPr>
          <w:p>
            <w:pPr>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66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r>
      <w:tr>
        <w:trPr>
          <w:trHeight w:val="213"/>
        </w:trPr>
        <w:tc>
          <w:tcPr>
            <w:tcW w:w="6660" w:type="dxa"/>
            <w:vAlign w:val="bottom"/>
            <w:shd w:val="clear" w:color="auto" w:fill="CCEEFF"/>
          </w:tcPr>
          <w:p>
            <w:pPr>
              <w:ind w:left="300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174,745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139,881</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64,238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83,753</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140,364</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11,681</w:t>
            </w:r>
          </w:p>
        </w:tc>
        <w:tc>
          <w:tcPr>
            <w:tcW w:w="100" w:type="dxa"/>
            <w:vAlign w:val="bottom"/>
            <w:tcBorders>
              <w:bottom w:val="single" w:sz="8" w:color="CCEEFF"/>
            </w:tcBorders>
          </w:tcPr>
          <w:p>
            <w:pPr>
              <w:spacing w:after="0"/>
              <w:rPr>
                <w:sz w:val="18"/>
                <w:szCs w:val="18"/>
                <w:color w:val="auto"/>
              </w:rPr>
            </w:pPr>
          </w:p>
        </w:tc>
      </w:tr>
      <w:tr>
        <w:trPr>
          <w:trHeight w:val="209"/>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375,679</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25,328</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Finance lease assets,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21,880</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66,607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68,060</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44,645</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562,573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548,094</w:t>
            </w:r>
          </w:p>
        </w:tc>
        <w:tc>
          <w:tcPr>
            <w:tcW w:w="100" w:type="dxa"/>
            <w:vAlign w:val="bottom"/>
            <w:tcBorders>
              <w:bottom w:val="single" w:sz="8" w:color="CCEEFF"/>
            </w:tcBorders>
          </w:tcPr>
          <w:p>
            <w:pPr>
              <w:spacing w:after="0"/>
              <w:rPr>
                <w:sz w:val="18"/>
                <w:szCs w:val="18"/>
                <w:color w:val="auto"/>
              </w:rPr>
            </w:pPr>
          </w:p>
        </w:tc>
      </w:tr>
      <w:tr>
        <w:trPr>
          <w:trHeight w:val="216"/>
        </w:trPr>
        <w:tc>
          <w:tcPr>
            <w:tcW w:w="6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26,089</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25,341</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7,631</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24,601</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Current portion of finance lease obligation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00" w:type="dxa"/>
            <w:vAlign w:val="bottom"/>
            <w:shd w:val="clear" w:color="auto" w:fill="CCEEFF"/>
          </w:tcPr>
          <w:p>
            <w:pPr>
              <w:spacing w:after="0"/>
              <w:rPr>
                <w:sz w:val="18"/>
                <w:szCs w:val="18"/>
                <w:color w:val="auto"/>
              </w:rPr>
            </w:pPr>
          </w:p>
        </w:tc>
      </w:tr>
      <w:tr>
        <w:trPr>
          <w:trHeight w:val="210"/>
        </w:trPr>
        <w:tc>
          <w:tcPr>
            <w:tcW w:w="66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75,373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68,664</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finance lease obligation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48,149</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00" w:type="dxa"/>
            <w:vAlign w:val="bottom"/>
            <w:shd w:val="clear" w:color="auto" w:fill="CCEEFF"/>
          </w:tcPr>
          <w:p>
            <w:pPr>
              <w:spacing w:after="0"/>
              <w:rPr>
                <w:sz w:val="18"/>
                <w:szCs w:val="18"/>
                <w:color w:val="auto"/>
              </w:rPr>
            </w:pPr>
          </w:p>
        </w:tc>
      </w:tr>
      <w:tr>
        <w:trPr>
          <w:trHeight w:val="209"/>
        </w:trPr>
        <w:tc>
          <w:tcPr>
            <w:tcW w:w="666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135,401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128,667</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Common stock, $0.001 par value, 75,000 shares authorized; 32,837 shares issued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outstanding at March 31, 2020; 32,585 shares issued and outstanding at December 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559,182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559,878</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(140,226)</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18"/>
                <w:szCs w:val="18"/>
                <w:color w:val="auto"/>
              </w:rPr>
            </w:pPr>
          </w:p>
        </w:tc>
      </w:tr>
      <w:tr>
        <w:trPr>
          <w:trHeight w:val="210"/>
        </w:trPr>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419,427</w:t>
            </w:r>
          </w:p>
        </w:tc>
        <w:tc>
          <w:tcPr>
            <w:tcW w:w="100" w:type="dxa"/>
            <w:vAlign w:val="bottom"/>
            <w:shd w:val="clear" w:color="auto" w:fill="CCEEFF"/>
          </w:tcPr>
          <w:p>
            <w:pPr>
              <w:spacing w:after="0"/>
              <w:rPr>
                <w:sz w:val="18"/>
                <w:szCs w:val="18"/>
                <w:color w:val="auto"/>
              </w:rPr>
            </w:pPr>
          </w:p>
        </w:tc>
      </w:tr>
      <w:tr>
        <w:trPr>
          <w:trHeight w:val="217"/>
        </w:trPr>
        <w:tc>
          <w:tcPr>
            <w:tcW w:w="666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562,573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548,094</w:t>
            </w:r>
          </w:p>
        </w:tc>
        <w:tc>
          <w:tcPr>
            <w:tcW w:w="100" w:type="dxa"/>
            <w:vAlign w:val="bottom"/>
          </w:tcPr>
          <w:p>
            <w:pPr>
              <w:spacing w:after="0"/>
              <w:rPr>
                <w:sz w:val="18"/>
                <w:szCs w:val="18"/>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 w:name="page6"/>
    <w:bookmarkEnd w:id="5"/>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Additional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7"/>
          </w:tcPr>
          <w:p>
            <w:pPr>
              <w:jc w:val="right"/>
              <w:ind w:right="320"/>
              <w:spacing w:after="0"/>
              <w:rPr>
                <w:sz w:val="20"/>
                <w:szCs w:val="20"/>
                <w:color w:val="auto"/>
              </w:rPr>
            </w:pPr>
            <w:r>
              <w:rPr>
                <w:rFonts w:ascii="Arial" w:cs="Arial" w:eastAsia="Arial" w:hAnsi="Arial"/>
                <w:sz w:val="14"/>
                <w:szCs w:val="14"/>
                <w:color w:val="auto"/>
                <w:w w:val="96"/>
              </w:rPr>
              <w:t>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color w:val="auto"/>
              </w:rPr>
              <w:t>Paid-in</w:t>
            </w:r>
          </w:p>
        </w:tc>
        <w:tc>
          <w:tcPr>
            <w:tcW w:w="20" w:type="dxa"/>
            <w:vAlign w:val="bottom"/>
          </w:tcPr>
          <w:p>
            <w:pPr>
              <w:spacing w:after="0"/>
              <w:rPr>
                <w:sz w:val="14"/>
                <w:szCs w:val="1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color w:val="auto"/>
                <w:w w:val="98"/>
              </w:rPr>
              <w:t>Accumulated</w:t>
            </w:r>
          </w:p>
        </w:tc>
        <w:tc>
          <w:tcPr>
            <w:tcW w:w="40" w:type="dxa"/>
            <w:vAlign w:val="bottom"/>
          </w:tcPr>
          <w:p>
            <w:pPr>
              <w:spacing w:after="0"/>
              <w:rPr>
                <w:sz w:val="14"/>
                <w:szCs w:val="14"/>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color w:val="auto"/>
              </w:rPr>
              <w:t>Comprehensive</w:t>
            </w:r>
          </w:p>
        </w:tc>
        <w:tc>
          <w:tcPr>
            <w:tcW w:w="940" w:type="dxa"/>
            <w:vAlign w:val="bottom"/>
            <w:gridSpan w:val="4"/>
          </w:tcPr>
          <w:p>
            <w:pPr>
              <w:jc w:val="center"/>
              <w:ind w:right="100"/>
              <w:spacing w:after="0"/>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60" w:type="dxa"/>
            <w:vAlign w:val="bottom"/>
            <w:tcBorders>
              <w:top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color w:val="auto"/>
              </w:rPr>
              <w:t>Shares</w:t>
            </w:r>
          </w:p>
        </w:tc>
        <w:tc>
          <w:tcPr>
            <w:tcW w:w="5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60"/>
              <w:spacing w:after="0" w:line="142" w:lineRule="exact"/>
              <w:rPr>
                <w:sz w:val="20"/>
                <w:szCs w:val="20"/>
                <w:color w:val="auto"/>
              </w:rPr>
            </w:pPr>
            <w:r>
              <w:rPr>
                <w:rFonts w:ascii="Arial" w:cs="Arial" w:eastAsia="Arial" w:hAnsi="Arial"/>
                <w:sz w:val="14"/>
                <w:szCs w:val="14"/>
                <w:color w:val="auto"/>
              </w:rPr>
              <w:t>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340"/>
              <w:spacing w:after="0" w:line="142" w:lineRule="exact"/>
              <w:rPr>
                <w:sz w:val="20"/>
                <w:szCs w:val="20"/>
                <w:color w:val="auto"/>
              </w:rPr>
            </w:pPr>
            <w:r>
              <w:rPr>
                <w:rFonts w:ascii="Arial" w:cs="Arial" w:eastAsia="Arial" w:hAnsi="Arial"/>
                <w:sz w:val="14"/>
                <w:szCs w:val="14"/>
                <w:color w:val="auto"/>
              </w:rPr>
              <w:t>Deficit</w:t>
            </w:r>
          </w:p>
        </w:tc>
        <w:tc>
          <w:tcPr>
            <w:tcW w:w="40" w:type="dxa"/>
            <w:vAlign w:val="bottom"/>
          </w:tcPr>
          <w:p>
            <w:pPr>
              <w:spacing w:after="0"/>
              <w:rPr>
                <w:sz w:val="12"/>
                <w:szCs w:val="12"/>
                <w:color w:val="auto"/>
              </w:rPr>
            </w:pPr>
          </w:p>
        </w:tc>
        <w:tc>
          <w:tcPr>
            <w:tcW w:w="1060" w:type="dxa"/>
            <w:vAlign w:val="bottom"/>
            <w:gridSpan w:val="5"/>
          </w:tcPr>
          <w:p>
            <w:pPr>
              <w:ind w:left="40"/>
              <w:spacing w:after="0" w:line="142" w:lineRule="exact"/>
              <w:rPr>
                <w:sz w:val="20"/>
                <w:szCs w:val="20"/>
                <w:color w:val="auto"/>
              </w:rPr>
            </w:pPr>
            <w:r>
              <w:rPr>
                <w:rFonts w:ascii="Arial" w:cs="Arial" w:eastAsia="Arial" w:hAnsi="Arial"/>
                <w:sz w:val="14"/>
                <w:szCs w:val="14"/>
                <w:color w:val="auto"/>
              </w:rPr>
              <w:t>Income (Loss)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32,558</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$ 565,116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(157,260)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right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w w:val="92"/>
              </w:rPr>
              <w:t>$ 408,337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6,062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6,062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Change in pension obligation</w:t>
            </w:r>
          </w:p>
        </w:tc>
        <w:tc>
          <w:tcPr>
            <w:tcW w:w="14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Issuance of restricted common shares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60" w:type="dxa"/>
            <w:vAlign w:val="bottom"/>
            <w:gridSpan w:val="2"/>
          </w:tcPr>
          <w:p>
            <w:pPr>
              <w:ind w:left="60"/>
              <w:spacing w:after="0"/>
              <w:rPr>
                <w:sz w:val="20"/>
                <w:szCs w:val="20"/>
                <w:color w:val="auto"/>
              </w:rPr>
            </w:pPr>
            <w:r>
              <w:rPr>
                <w:rFonts w:ascii="Arial" w:cs="Arial" w:eastAsia="Arial" w:hAnsi="Arial"/>
                <w:sz w:val="18"/>
                <w:szCs w:val="18"/>
                <w:color w:val="auto"/>
              </w:rPr>
              <w:t>Balance at March 31, 2019</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32,881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$ 568,335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(151,198)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top w:val="single" w:sz="8" w:color="auto"/>
              <w:bottom w:val="single" w:sz="8" w:color="auto"/>
            </w:tcBorders>
            <w:gridSpan w:val="3"/>
          </w:tcPr>
          <w:p>
            <w:pPr>
              <w:jc w:val="right"/>
              <w:ind w:right="34"/>
              <w:spacing w:after="0"/>
              <w:rPr>
                <w:sz w:val="20"/>
                <w:szCs w:val="20"/>
                <w:color w:val="auto"/>
              </w:rPr>
            </w:pPr>
            <w:r>
              <w:rPr>
                <w:rFonts w:ascii="Arial" w:cs="Arial" w:eastAsia="Arial" w:hAnsi="Arial"/>
                <w:sz w:val="18"/>
                <w:szCs w:val="18"/>
                <w:color w:val="auto"/>
                <w:w w:val="92"/>
              </w:rPr>
              <w:t>$ 417,153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7"/>
            <w:vMerge w:val="restart"/>
          </w:tcPr>
          <w:p>
            <w:pPr>
              <w:jc w:val="right"/>
              <w:ind w:right="1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Borders>
              <w:bottom w:val="single" w:sz="8" w:color="auto"/>
            </w:tcBorders>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w w:val="93"/>
              </w:rPr>
              <w:t>Comprehensive</w:t>
            </w:r>
          </w:p>
        </w:tc>
        <w:tc>
          <w:tcPr>
            <w:tcW w:w="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32,585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$ 559,878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(140,226)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419,427</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Change in pension obligation</w:t>
            </w:r>
          </w:p>
        </w:tc>
        <w:tc>
          <w:tcPr>
            <w:tcW w:w="1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4,498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Issuance of shares under Employee Stock</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Purchase Plan</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restricted common shares</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1,724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(5,775)</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(1,725)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Balance at March 31, 2020</w:t>
            </w:r>
          </w:p>
        </w:tc>
        <w:tc>
          <w:tcPr>
            <w:tcW w:w="14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0"/>
              </w:rPr>
              <w:t>32,837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33</w:t>
            </w:r>
          </w:p>
        </w:tc>
        <w:tc>
          <w:tcPr>
            <w:tcW w:w="140" w:type="dxa"/>
            <w:vAlign w:val="bottom"/>
            <w:gridSpan w:val="2"/>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7"/>
              </w:rPr>
              <w:t>$ 559,182</w:t>
            </w: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(130,730)</w:t>
            </w:r>
          </w:p>
        </w:tc>
        <w:tc>
          <w:tcPr>
            <w:tcW w:w="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(1,313)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427,172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60"/>
          </w:cols>
          <w:pgMar w:left="1360" w:top="125" w:right="137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left="65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6540"/>
        <w:spacing w:after="0"/>
        <w:rPr>
          <w:sz w:val="20"/>
          <w:szCs w:val="20"/>
          <w:color w:val="auto"/>
        </w:rPr>
      </w:pPr>
      <w:r>
        <w:rPr>
          <w:rFonts w:ascii="Arial" w:cs="Arial" w:eastAsia="Arial" w:hAnsi="Arial"/>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8"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8"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6,062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Adjustments to reconcile net income to net cash provided by (used in) operating</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00"/>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Provision for excess and obsolete inventory</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00"/>
              <w:spacing w:after="0"/>
              <w:rPr>
                <w:sz w:val="20"/>
                <w:szCs w:val="20"/>
                <w:color w:val="auto"/>
              </w:rPr>
            </w:pPr>
            <w:r>
              <w:rPr>
                <w:rFonts w:ascii="Arial" w:cs="Arial" w:eastAsia="Arial" w:hAnsi="Arial"/>
                <w:sz w:val="18"/>
                <w:szCs w:val="18"/>
                <w:color w:val="auto"/>
              </w:rPr>
              <w:t>Changes in operating assets &amp;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(6,171)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Accounts payable and other current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(16,911)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 and liabilities</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620"/>
              <w:spacing w:after="0"/>
              <w:rPr>
                <w:sz w:val="20"/>
                <w:szCs w:val="20"/>
                <w:color w:val="auto"/>
              </w:rPr>
            </w:pPr>
            <w:r>
              <w:rPr>
                <w:rFonts w:ascii="Arial" w:cs="Arial" w:eastAsia="Arial" w:hAnsi="Arial"/>
                <w:sz w:val="18"/>
                <w:szCs w:val="18"/>
                <w:color w:val="auto"/>
              </w:rPr>
              <w:t>Net cash provided by (used in) operating activities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(12,349)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Expenditures for property, plant and equipment and capitalized software</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6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settlement on restricted stock grants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00"/>
              <w:spacing w:after="0"/>
              <w:rPr>
                <w:sz w:val="20"/>
                <w:szCs w:val="20"/>
                <w:color w:val="auto"/>
              </w:rPr>
            </w:pPr>
            <w:r>
              <w:rPr>
                <w:rFonts w:ascii="Arial" w:cs="Arial" w:eastAsia="Arial" w:hAnsi="Arial"/>
                <w:sz w:val="18"/>
                <w:szCs w:val="18"/>
                <w:color w:val="auto"/>
              </w:rPr>
              <w:t>Repurchase of common stock</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Proceeds from Employee Stock Purchase Plan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Proceeds from exercise of stock options</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(used in) provided by financing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146,534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184,902</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181,416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169,968</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w:t>
      </w:r>
    </w:p>
    <w:p>
      <w:pPr>
        <w:spacing w:after="0" w:line="162"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27"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balance sheet at December 31, 2019 has been derived from the audited consolidated financial statements at that date but does not include all of the information and footnotes required by generally accepted accounting principles for complete financial statements. For further information, refer to the consolidated financial statements and footnotes thereto included in Axcelis Technologies, Inc.’s Annual Report on Form 10-K for the year ended December 31,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6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maintain the Axcelis Technologies, Inc. 2012 Equity Incentive Plan (the “2012 Equity Plan”), which became effective on May 2, 2012, and permits the issuance of options, restricted stock, restricted stock units (“RSUs”) and performance awards to selected employees, directors and consultants of the Company. Our 2000 Stock Plan (the “2000 Stock Plan”) expired on May 1, 2012 and no new grants may be made under that plan after that date. However, unexpired awards granted under the 2000 Stock Plan remain outstanding and subject to the terms of the 2000 Stock Plan. We also maintain the Axcelis Technologies, Inc. Employee Stock Purchase Plan (the “ESPP”), an Internal Revenue Code Section 423 plan.</w:t>
      </w:r>
    </w:p>
    <w:p>
      <w:pPr>
        <w:spacing w:after="0" w:line="16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2012 Equity Plan and the ESPP are more fully described in Note 13 to the consolidated financial statements in our 2019 Annual Report on Form 10-K.</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recognized stock-based compensation expense of $1.7 million for the three month periods ended March 31, 2020 and 2019, respectively. These amounts include compensation expense related to RSUs, non-qualified stock options and stock to be issued to participants under the ESPP.</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the three month periods ended March 31, 2020 and 2019, we issued 0.6 million and 0.3 million shares of common stock, respectively, upon stock option exercises, purchases under the ESPP and vesting of RSUs. In the three month periods ended March 31, 2020 and 2019, we received proceeds of $4.5 million and $1.8 million, respectively, in connection with the exercise of stock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have operating leases for office space, warehouse space, computer and office equipment and vehicles used in our business operations. We have a finance lease in relation to the 2015 sale-leaseback of our corporate headquarters in Beverly, Massachusetts. We review all agreements to determine if they contain a lease component. An agreement contains a lease component if it provides the use of a specific physical space or a specific physical item. We recognize the lease obligation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8" w:name="page9"/>
    <w:bookmarkEnd w:id="8"/>
    <w:p>
      <w:pPr>
        <w:ind w:left="6"/>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 w:right="100"/>
        <w:spacing w:after="0" w:line="288" w:lineRule="auto"/>
        <w:rPr>
          <w:sz w:val="20"/>
          <w:szCs w:val="20"/>
          <w:color w:val="auto"/>
        </w:rPr>
      </w:pPr>
      <w:r>
        <w:rPr>
          <w:rFonts w:ascii="Arial" w:cs="Arial" w:eastAsia="Arial" w:hAnsi="Arial"/>
          <w:sz w:val="16"/>
          <w:szCs w:val="16"/>
          <w:color w:val="auto"/>
        </w:rPr>
        <w:t>leases with an initial term of 12 months or less are not recorded on the consolidated balance sheet;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1 to 3 years. The exercise of lease renewal options are at our sole discretion. For lease extensions that are reasonably certain to occur, we have included these renewal periods in our calculation of the net present value of the lease obligation and related right-of-use asset. Certain leases also include options to purchase the leased property. The depreciable life of certain assets and leasehold improvements are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 are as follows:</w:t>
      </w:r>
    </w:p>
    <w:p>
      <w:pPr>
        <w:spacing w:after="0" w:line="161"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Leases</w:t>
            </w:r>
          </w:p>
        </w:tc>
        <w:tc>
          <w:tcPr>
            <w:tcW w:w="356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Classification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000" w:type="dxa"/>
            <w:vAlign w:val="bottom"/>
            <w:gridSpan w:val="2"/>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Assets</w:t>
            </w:r>
          </w:p>
        </w:tc>
        <w:tc>
          <w:tcPr>
            <w:tcW w:w="35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508"/>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w:t>
            </w:r>
          </w:p>
        </w:tc>
        <w:tc>
          <w:tcPr>
            <w:tcW w:w="3560" w:type="dxa"/>
            <w:vAlign w:val="bottom"/>
            <w:shd w:val="clear" w:color="auto" w:fill="CCEEFF"/>
          </w:tcPr>
          <w:p>
            <w:pPr>
              <w:ind w:left="1780"/>
              <w:spacing w:after="0"/>
              <w:rPr>
                <w:sz w:val="20"/>
                <w:szCs w:val="20"/>
                <w:color w:val="auto"/>
              </w:rPr>
            </w:pPr>
            <w:r>
              <w:rPr>
                <w:rFonts w:ascii="Arial" w:cs="Arial" w:eastAsia="Arial" w:hAnsi="Arial"/>
                <w:sz w:val="14"/>
                <w:szCs w:val="14"/>
                <w:color w:val="auto"/>
              </w:rPr>
              <w:t>Operating lease assets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5,583</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4"/>
                <w:szCs w:val="14"/>
                <w:color w:val="auto"/>
              </w:rPr>
              <w:t>Finance lease</w:t>
            </w:r>
          </w:p>
        </w:tc>
        <w:tc>
          <w:tcPr>
            <w:tcW w:w="3560" w:type="dxa"/>
            <w:vAlign w:val="bottom"/>
          </w:tcPr>
          <w:p>
            <w:pPr>
              <w:ind w:left="1780"/>
              <w:spacing w:after="0"/>
              <w:rPr>
                <w:sz w:val="20"/>
                <w:szCs w:val="20"/>
                <w:color w:val="auto"/>
              </w:rPr>
            </w:pPr>
            <w:r>
              <w:rPr>
                <w:rFonts w:ascii="Arial" w:cs="Arial" w:eastAsia="Arial" w:hAnsi="Arial"/>
                <w:sz w:val="14"/>
                <w:szCs w:val="14"/>
                <w:color w:val="auto"/>
              </w:rPr>
              <w:t>Finance lease assets *</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21,528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21,880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Total leased assets</w:t>
            </w:r>
          </w:p>
        </w:tc>
        <w:tc>
          <w:tcPr>
            <w:tcW w:w="35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27,111</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27,729</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72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3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4"/>
                <w:szCs w:val="14"/>
                <w:color w:val="auto"/>
              </w:rPr>
              <w:t>Operating</w:t>
            </w:r>
          </w:p>
        </w:tc>
        <w:tc>
          <w:tcPr>
            <w:tcW w:w="3560" w:type="dxa"/>
            <w:vAlign w:val="bottom"/>
          </w:tcPr>
          <w:p>
            <w:pPr>
              <w:ind w:left="1780"/>
              <w:spacing w:after="0"/>
              <w:rPr>
                <w:sz w:val="20"/>
                <w:szCs w:val="20"/>
                <w:color w:val="auto"/>
              </w:rPr>
            </w:pPr>
            <w:r>
              <w:rPr>
                <w:rFonts w:ascii="Arial" w:cs="Arial" w:eastAsia="Arial" w:hAnsi="Arial"/>
                <w:sz w:val="14"/>
                <w:szCs w:val="14"/>
                <w:color w:val="auto"/>
              </w:rPr>
              <w:t>Other current liabilities</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3,233</w:t>
            </w: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3560" w:type="dxa"/>
            <w:vAlign w:val="bottom"/>
            <w:shd w:val="clear" w:color="auto" w:fill="CCEEFF"/>
          </w:tcPr>
          <w:p>
            <w:pPr>
              <w:ind w:left="1780"/>
              <w:spacing w:after="0" w:line="130" w:lineRule="exact"/>
              <w:rPr>
                <w:sz w:val="20"/>
                <w:szCs w:val="20"/>
                <w:color w:val="auto"/>
              </w:rPr>
            </w:pPr>
            <w:r>
              <w:rPr>
                <w:rFonts w:ascii="Arial" w:cs="Arial" w:eastAsia="Arial" w:hAnsi="Arial"/>
                <w:sz w:val="14"/>
                <w:szCs w:val="14"/>
                <w:color w:val="auto"/>
              </w:rPr>
              <w:t>Current portion of finance</w:t>
            </w: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Finance</w:t>
            </w:r>
          </w:p>
        </w:tc>
        <w:tc>
          <w:tcPr>
            <w:tcW w:w="3560" w:type="dxa"/>
            <w:vAlign w:val="bottom"/>
            <w:shd w:val="clear" w:color="auto" w:fill="CCEEFF"/>
          </w:tcPr>
          <w:p>
            <w:pPr>
              <w:ind w:left="1780"/>
              <w:spacing w:after="0"/>
              <w:rPr>
                <w:sz w:val="20"/>
                <w:szCs w:val="20"/>
                <w:color w:val="auto"/>
              </w:rPr>
            </w:pPr>
            <w:r>
              <w:rPr>
                <w:rFonts w:ascii="Arial" w:cs="Arial" w:eastAsia="Arial" w:hAnsi="Arial"/>
                <w:sz w:val="14"/>
                <w:szCs w:val="14"/>
                <w:color w:val="auto"/>
              </w:rPr>
              <w:t>lease obligation</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Noncurrent</w:t>
            </w: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Operating</w:t>
            </w:r>
          </w:p>
        </w:tc>
        <w:tc>
          <w:tcPr>
            <w:tcW w:w="3560" w:type="dxa"/>
            <w:vAlign w:val="bottom"/>
            <w:shd w:val="clear" w:color="auto" w:fill="CCEEFF"/>
          </w:tcPr>
          <w:p>
            <w:pPr>
              <w:ind w:left="1780"/>
              <w:spacing w:after="0"/>
              <w:rPr>
                <w:sz w:val="20"/>
                <w:szCs w:val="20"/>
                <w:color w:val="auto"/>
              </w:rPr>
            </w:pPr>
            <w:r>
              <w:rPr>
                <w:rFonts w:ascii="Arial" w:cs="Arial" w:eastAsia="Arial" w:hAnsi="Arial"/>
                <w:sz w:val="14"/>
                <w:szCs w:val="14"/>
                <w:color w:val="auto"/>
              </w:rPr>
              <w:t>Other long-term liabilities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4"/>
                <w:szCs w:val="14"/>
                <w:color w:val="auto"/>
              </w:rPr>
              <w:t>Finance</w:t>
            </w:r>
          </w:p>
        </w:tc>
        <w:tc>
          <w:tcPr>
            <w:tcW w:w="3560" w:type="dxa"/>
            <w:vAlign w:val="bottom"/>
          </w:tcPr>
          <w:p>
            <w:pPr>
              <w:ind w:left="1780"/>
              <w:spacing w:after="0"/>
              <w:rPr>
                <w:sz w:val="20"/>
                <w:szCs w:val="20"/>
                <w:color w:val="auto"/>
              </w:rPr>
            </w:pPr>
            <w:r>
              <w:rPr>
                <w:rFonts w:ascii="Arial" w:cs="Arial" w:eastAsia="Arial" w:hAnsi="Arial"/>
                <w:sz w:val="14"/>
                <w:szCs w:val="14"/>
                <w:color w:val="auto"/>
              </w:rPr>
              <w:t>Finance lease obligation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47,976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48,149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lease liabilities</w:t>
            </w:r>
          </w:p>
        </w:tc>
        <w:tc>
          <w:tcPr>
            <w:tcW w:w="35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54,108</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54,245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 w:right="380" w:hanging="6"/>
        <w:spacing w:after="0" w:line="238" w:lineRule="auto"/>
        <w:tabs>
          <w:tab w:leader="none" w:pos="114" w:val="left"/>
        </w:tabs>
        <w:numPr>
          <w:ilvl w:val="0"/>
          <w:numId w:val="3"/>
        </w:numPr>
        <w:rPr>
          <w:rFonts w:ascii="Arial" w:cs="Arial" w:eastAsia="Arial" w:hAnsi="Arial"/>
          <w:sz w:val="14"/>
          <w:szCs w:val="14"/>
          <w:color w:val="auto"/>
        </w:rPr>
      </w:pPr>
      <w:r>
        <w:rPr>
          <w:rFonts w:ascii="Arial" w:cs="Arial" w:eastAsia="Arial" w:hAnsi="Arial"/>
          <w:sz w:val="14"/>
          <w:szCs w:val="14"/>
          <w:color w:val="auto"/>
        </w:rPr>
        <w:t>Finance lease assets are recorded net of accumulated depreciation of $47.6 million and include $0.7 million of prepaid financing costs as of March 31, 2020. Finance lease assets are recorded net of accumulated depreciation of $47.4 million and include $0.7 million of prepaid financing costs as of December 31, 2019.</w:t>
      </w:r>
    </w:p>
    <w:p>
      <w:pPr>
        <w:spacing w:after="0" w:line="200" w:lineRule="exact"/>
        <w:rPr>
          <w:sz w:val="20"/>
          <w:szCs w:val="20"/>
          <w:color w:val="auto"/>
        </w:rPr>
      </w:pPr>
    </w:p>
    <w:p>
      <w:pPr>
        <w:ind w:left="6" w:right="20" w:firstLine="648"/>
        <w:spacing w:after="0" w:line="263" w:lineRule="auto"/>
        <w:rPr>
          <w:sz w:val="20"/>
          <w:szCs w:val="20"/>
          <w:color w:val="auto"/>
        </w:rPr>
      </w:pPr>
      <w:r>
        <w:rPr>
          <w:rFonts w:ascii="Arial" w:cs="Arial" w:eastAsia="Arial" w:hAnsi="Arial"/>
          <w:sz w:val="18"/>
          <w:szCs w:val="18"/>
          <w:color w:val="auto"/>
        </w:rPr>
        <w:t>All of our office locations support selling and servicing functions. Lease expense, depreciation expense relating to finance leased assets and interest expense relating to our finance lease obligation recognized within our consolidated statement of operations for the three months ended March 31, 2020 are as follows:</w:t>
      </w:r>
    </w:p>
    <w:p>
      <w:pPr>
        <w:spacing w:after="0" w:line="400"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1215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46"/>
          </w:cols>
          <w:pgMar w:left="1374" w:top="125" w:right="1379" w:bottom="1440" w:gutter="0" w:footer="0" w:header="0"/>
        </w:sectPr>
      </w:pPr>
    </w:p>
    <w:bookmarkStart w:id="9" w:name="page10"/>
    <w:bookmarkEnd w:id="9"/>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29"/>
        </w:trPr>
        <w:tc>
          <w:tcPr>
            <w:tcW w:w="2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Lease cost</w:t>
            </w:r>
          </w:p>
        </w:tc>
        <w:tc>
          <w:tcPr>
            <w:tcW w:w="3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960" w:type="dxa"/>
            <w:vAlign w:val="bottom"/>
            <w:gridSpan w:val="2"/>
            <w:vMerge w:val="continue"/>
          </w:tcPr>
          <w:p>
            <w:pPr>
              <w:spacing w:after="0"/>
              <w:rPr>
                <w:sz w:val="16"/>
                <w:szCs w:val="16"/>
                <w:color w:val="auto"/>
              </w:rPr>
            </w:pPr>
          </w:p>
        </w:tc>
        <w:tc>
          <w:tcPr>
            <w:tcW w:w="3740" w:type="dxa"/>
            <w:vAlign w:val="bottom"/>
          </w:tcPr>
          <w:p>
            <w:pPr>
              <w:ind w:left="1280"/>
              <w:spacing w:after="0"/>
              <w:rPr>
                <w:sz w:val="20"/>
                <w:szCs w:val="20"/>
                <w:color w:val="auto"/>
              </w:rPr>
            </w:pPr>
            <w:r>
              <w:rPr>
                <w:rFonts w:ascii="Arial" w:cs="Arial" w:eastAsia="Arial" w:hAnsi="Arial"/>
                <w:sz w:val="14"/>
                <w:szCs w:val="14"/>
                <w:b w:val="1"/>
                <w:bCs w:val="1"/>
                <w:color w:val="auto"/>
              </w:rPr>
              <w:t>Classification</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Operating lease cost</w:t>
            </w:r>
          </w:p>
        </w:tc>
        <w:tc>
          <w:tcPr>
            <w:tcW w:w="37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right"/>
              <w:ind w:right="448"/>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Service</w:t>
            </w:r>
          </w:p>
        </w:tc>
        <w:tc>
          <w:tcPr>
            <w:tcW w:w="374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Cost of revenue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3740" w:type="dxa"/>
            <w:vAlign w:val="bottom"/>
          </w:tcPr>
          <w:p>
            <w:pPr>
              <w:ind w:left="1280"/>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Sales and marketing*</w:t>
            </w:r>
          </w:p>
        </w:tc>
        <w:tc>
          <w:tcPr>
            <w:tcW w:w="374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Operating expenses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4"/>
                <w:szCs w:val="14"/>
                <w:color w:val="auto"/>
              </w:rPr>
              <w:t>General and administrative*</w:t>
            </w:r>
          </w:p>
        </w:tc>
        <w:tc>
          <w:tcPr>
            <w:tcW w:w="3740" w:type="dxa"/>
            <w:vAlign w:val="bottom"/>
          </w:tcPr>
          <w:p>
            <w:pPr>
              <w:ind w:left="1280"/>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Total operating lease cost</w:t>
            </w:r>
          </w:p>
        </w:tc>
        <w:tc>
          <w:tcPr>
            <w:tcW w:w="37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7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62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Finance lease cost</w:t>
            </w:r>
          </w:p>
        </w:tc>
        <w:tc>
          <w:tcPr>
            <w:tcW w:w="3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3740" w:type="dxa"/>
            <w:vAlign w:val="bottom"/>
            <w:shd w:val="clear" w:color="auto" w:fill="CCEEFF"/>
          </w:tcPr>
          <w:p>
            <w:pPr>
              <w:ind w:left="1280"/>
              <w:spacing w:after="0" w:line="130" w:lineRule="exact"/>
              <w:rPr>
                <w:sz w:val="20"/>
                <w:szCs w:val="20"/>
                <w:color w:val="auto"/>
              </w:rPr>
            </w:pPr>
            <w:r>
              <w:rPr>
                <w:rFonts w:ascii="Arial" w:cs="Arial" w:eastAsia="Arial" w:hAnsi="Arial"/>
                <w:sz w:val="14"/>
                <w:szCs w:val="14"/>
                <w:color w:val="auto"/>
              </w:rPr>
              <w:t>Cost of revenue, R&amp;D, Sales and</w:t>
            </w: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Depreciation of leased assets</w:t>
            </w:r>
          </w:p>
        </w:tc>
        <w:tc>
          <w:tcPr>
            <w:tcW w:w="374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marketing and G&amp;A</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4"/>
                <w:szCs w:val="14"/>
                <w:color w:val="auto"/>
              </w:rPr>
              <w:t>Interest on lease liabilities</w:t>
            </w:r>
          </w:p>
        </w:tc>
        <w:tc>
          <w:tcPr>
            <w:tcW w:w="3740" w:type="dxa"/>
            <w:vAlign w:val="bottom"/>
          </w:tcPr>
          <w:p>
            <w:pPr>
              <w:ind w:left="1280"/>
              <w:spacing w:after="0"/>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1,303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Total finance lease cost</w:t>
            </w:r>
          </w:p>
        </w:tc>
        <w:tc>
          <w:tcPr>
            <w:tcW w:w="3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37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lease cost</w:t>
            </w:r>
          </w:p>
        </w:tc>
        <w:tc>
          <w:tcPr>
            <w:tcW w:w="37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right="400" w:hanging="6"/>
        <w:spacing w:after="0" w:line="253" w:lineRule="auto"/>
        <w:tabs>
          <w:tab w:leader="none" w:pos="128" w:val="left"/>
        </w:tabs>
        <w:numPr>
          <w:ilvl w:val="0"/>
          <w:numId w:val="4"/>
        </w:numPr>
        <w:rPr>
          <w:rFonts w:ascii="Arial" w:cs="Arial" w:eastAsia="Arial" w:hAnsi="Arial"/>
          <w:sz w:val="14"/>
          <w:szCs w:val="14"/>
          <w:color w:val="auto"/>
        </w:rPr>
      </w:pPr>
      <w:r>
        <w:rPr>
          <w:rFonts w:ascii="Arial" w:cs="Arial" w:eastAsia="Arial" w:hAnsi="Arial"/>
          <w:sz w:val="14"/>
          <w:szCs w:val="14"/>
          <w:color w:val="auto"/>
        </w:rPr>
        <w:t>Sales and marketing, general and administrative expense includes short-term lease and variable lease costs of approximately $0.2 million for the three months ended March 31, 2020 and 2019, respectively.</w:t>
      </w:r>
    </w:p>
    <w:p>
      <w:pPr>
        <w:spacing w:after="0" w:line="178" w:lineRule="exact"/>
        <w:rPr>
          <w:sz w:val="20"/>
          <w:szCs w:val="20"/>
          <w:color w:val="auto"/>
        </w:rPr>
      </w:pPr>
    </w:p>
    <w:p>
      <w:pPr>
        <w:ind w:left="20" w:right="260" w:firstLine="648"/>
        <w:spacing w:after="0" w:line="301" w:lineRule="auto"/>
        <w:rPr>
          <w:sz w:val="20"/>
          <w:szCs w:val="20"/>
          <w:color w:val="auto"/>
        </w:rPr>
      </w:pPr>
      <w:r>
        <w:rPr>
          <w:rFonts w:ascii="Arial" w:cs="Arial" w:eastAsia="Arial" w:hAnsi="Arial"/>
          <w:sz w:val="16"/>
          <w:szCs w:val="16"/>
          <w:color w:val="auto"/>
        </w:rPr>
        <w:t>Our corporate headquarters, shown below under finance leases, has an original lease term of 22 years. All other locations are treated as operating leases, with lease terms ranging from 1 to 10 years. The tables below reflect the minimum cash outflow regarding our current lease obligations as well as the weighted-average remaining lease term and weighted-average discount rates used on our calculation of our lease obligations and right-of-use assets as of March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Maturity of Lease Liabilities</w:t>
            </w:r>
          </w:p>
        </w:tc>
        <w:tc>
          <w:tcPr>
            <w:tcW w:w="14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Finance</w:t>
            </w: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6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Leases</w:t>
            </w: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Leases</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142"/>
        </w:trPr>
        <w:tc>
          <w:tcPr>
            <w:tcW w:w="60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2020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20"/>
              <w:spacing w:after="0" w:line="149" w:lineRule="exact"/>
              <w:rPr>
                <w:sz w:val="20"/>
                <w:szCs w:val="20"/>
                <w:color w:val="auto"/>
              </w:rPr>
            </w:pPr>
            <w:r>
              <w:rPr>
                <w:rFonts w:ascii="Arial" w:cs="Arial" w:eastAsia="Arial" w:hAnsi="Arial"/>
                <w:sz w:val="14"/>
                <w:szCs w:val="14"/>
                <w:color w:val="auto"/>
              </w:rPr>
              <w:t>2021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5,848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2,094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2022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20"/>
              <w:spacing w:after="0" w:line="149" w:lineRule="exact"/>
              <w:rPr>
                <w:sz w:val="20"/>
                <w:szCs w:val="20"/>
                <w:color w:val="auto"/>
              </w:rPr>
            </w:pPr>
            <w:r>
              <w:rPr>
                <w:rFonts w:ascii="Arial" w:cs="Arial" w:eastAsia="Arial" w:hAnsi="Arial"/>
                <w:sz w:val="14"/>
                <w:szCs w:val="14"/>
                <w:color w:val="auto"/>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6,114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2024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Thereafter</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79,653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79,856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Total lease payments</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108,145</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6,101</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114,246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4"/>
                <w:szCs w:val="14"/>
                <w:color w:val="auto"/>
              </w:rPr>
              <w:t>Less interest portion*</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(59,596)</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Finance lease and operating lease obligations</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48,549</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5,559</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Finance lease interest calculated using the implied interest rate; operating lease interest calculated using estimated corporate borrowing rate.</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8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Lease term and discount rate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8"/>
        </w:trPr>
        <w:tc>
          <w:tcPr>
            <w:tcW w:w="7820" w:type="dxa"/>
            <w:vAlign w:val="bottom"/>
            <w:gridSpan w:val="3"/>
            <w:vMerge w:val="continue"/>
          </w:tcPr>
          <w:p>
            <w:pPr>
              <w:spacing w:after="0"/>
              <w:rPr>
                <w:sz w:val="16"/>
                <w:szCs w:val="16"/>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Weighted-average remaining lease term (years):</w:t>
            </w:r>
          </w:p>
        </w:tc>
        <w:tc>
          <w:tcPr>
            <w:tcW w:w="24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leases</w:t>
            </w:r>
          </w:p>
        </w:tc>
        <w:tc>
          <w:tcPr>
            <w:tcW w:w="1320" w:type="dxa"/>
            <w:vAlign w:val="bottom"/>
            <w:shd w:val="clear" w:color="auto" w:fill="CCEEFF"/>
          </w:tcPr>
          <w:p>
            <w:pPr>
              <w:jc w:val="center"/>
              <w:ind w:left="228"/>
              <w:spacing w:after="0" w:line="149" w:lineRule="exact"/>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gridSpan w:val="2"/>
          </w:tcPr>
          <w:p>
            <w:pPr>
              <w:spacing w:after="0" w:line="149" w:lineRule="exact"/>
              <w:rPr>
                <w:sz w:val="20"/>
                <w:szCs w:val="20"/>
                <w:color w:val="auto"/>
              </w:rPr>
            </w:pPr>
            <w:r>
              <w:rPr>
                <w:rFonts w:ascii="Arial" w:cs="Arial" w:eastAsia="Arial" w:hAnsi="Arial"/>
                <w:sz w:val="14"/>
                <w:szCs w:val="14"/>
                <w:color w:val="auto"/>
              </w:rPr>
              <w:t>Finance leases</w:t>
            </w:r>
          </w:p>
        </w:tc>
        <w:tc>
          <w:tcPr>
            <w:tcW w:w="132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5"/>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Weighted-average discount rate:</w:t>
            </w: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gridSpan w:val="2"/>
          </w:tcPr>
          <w:p>
            <w:pPr>
              <w:spacing w:after="0" w:line="149" w:lineRule="exact"/>
              <w:rPr>
                <w:sz w:val="20"/>
                <w:szCs w:val="20"/>
                <w:color w:val="auto"/>
              </w:rPr>
            </w:pPr>
            <w:r>
              <w:rPr>
                <w:rFonts w:ascii="Arial" w:cs="Arial" w:eastAsia="Arial" w:hAnsi="Arial"/>
                <w:sz w:val="14"/>
                <w:szCs w:val="14"/>
                <w:color w:val="auto"/>
              </w:rPr>
              <w:t>Operating leases</w:t>
            </w:r>
          </w:p>
        </w:tc>
        <w:tc>
          <w:tcPr>
            <w:tcW w:w="132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3"/>
              </w:rPr>
              <w:t>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Finance leases</w:t>
            </w:r>
          </w:p>
        </w:tc>
        <w:tc>
          <w:tcPr>
            <w:tcW w:w="1320" w:type="dxa"/>
            <w:vAlign w:val="bottom"/>
            <w:shd w:val="clear" w:color="auto" w:fill="CCEEFF"/>
          </w:tcPr>
          <w:p>
            <w:pPr>
              <w:jc w:val="center"/>
              <w:ind w:left="228"/>
              <w:spacing w:after="0" w:line="149" w:lineRule="exact"/>
              <w:rPr>
                <w:sz w:val="20"/>
                <w:szCs w:val="20"/>
                <w:color w:val="auto"/>
              </w:rPr>
            </w:pPr>
            <w:r>
              <w:rPr>
                <w:rFonts w:ascii="Arial" w:cs="Arial" w:eastAsia="Arial" w:hAnsi="Arial"/>
                <w:sz w:val="14"/>
                <w:szCs w:val="14"/>
                <w:color w:val="auto"/>
                <w:w w:val="95"/>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right="80" w:firstLine="648"/>
        <w:spacing w:after="0" w:line="296" w:lineRule="auto"/>
        <w:rPr>
          <w:sz w:val="20"/>
          <w:szCs w:val="20"/>
          <w:color w:val="auto"/>
        </w:rPr>
      </w:pPr>
      <w:r>
        <w:rPr>
          <w:rFonts w:ascii="Arial" w:cs="Arial" w:eastAsia="Arial" w:hAnsi="Arial"/>
          <w:sz w:val="16"/>
          <w:szCs w:val="16"/>
          <w:color w:val="auto"/>
        </w:rPr>
        <w:t>Our cash outflows from our operating leases include rent expense and other charges associated with these leases. These cash flows are included within the operating section of our statement of cash flows. Our cash flows from our finance lease currently include an interest only component and starting in April 2020, both an interest and payment of principal component. The table below shows our cash outflows, by lease type and related section of our statement of cash flows as well as the non-cash amount capitalized on our balance sheet in relation to our operating lease right-of-use assets: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60"/>
          </w:cols>
          <w:pgMar w:left="1360" w:top="125" w:right="1379" w:bottom="1440" w:gutter="0" w:footer="0" w:header="0"/>
        </w:sectPr>
      </w:pPr>
    </w:p>
    <w:bookmarkStart w:id="10" w:name="page11"/>
    <w:bookmarkEnd w:id="1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229"/>
        </w:trPr>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Cash paid for amounts included in the measurement of lease liabilities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Operating cash outflows from operating leases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1,178</w:t>
            </w:r>
          </w:p>
        </w:tc>
        <w:tc>
          <w:tcPr>
            <w:tcW w:w="5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14"/>
                <w:szCs w:val="14"/>
                <w:color w:val="auto"/>
              </w:rPr>
              <w:t>Operating cash outflows from finance leases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1,422</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Financing cash outflows from finance leases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14"/>
                <w:szCs w:val="14"/>
                <w:color w:val="auto"/>
              </w:rPr>
              <w:t>Operating lease assets obtained in exchange for operating lease liabilities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765</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Finance lease assets obtained in exchange for new finance lease liabilities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ind w:left="20" w:right="160" w:firstLine="693"/>
        <w:spacing w:after="0" w:line="263" w:lineRule="auto"/>
        <w:rPr>
          <w:sz w:val="20"/>
          <w:szCs w:val="20"/>
          <w:color w:val="auto"/>
        </w:rPr>
      </w:pPr>
      <w:r>
        <w:rPr>
          <w:rFonts w:ascii="Arial" w:cs="Arial" w:eastAsia="Arial" w:hAnsi="Arial"/>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categories used by management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gridSpan w:val="3"/>
          </w:tcPr>
          <w:p>
            <w:pPr>
              <w:jc w:val="center"/>
              <w:ind w:right="24"/>
              <w:spacing w:after="0"/>
              <w:rPr>
                <w:sz w:val="20"/>
                <w:szCs w:val="20"/>
                <w:color w:val="auto"/>
              </w:rPr>
            </w:pPr>
            <w:r>
              <w:rPr>
                <w:rFonts w:ascii="Arial" w:cs="Arial" w:eastAsia="Arial" w:hAnsi="Arial"/>
                <w:sz w:val="14"/>
                <w:szCs w:val="14"/>
                <w:b w:val="1"/>
                <w:bCs w:val="1"/>
                <w:color w:val="auto"/>
                <w:w w:val="91"/>
              </w:rPr>
              <w:t>Three months ended</w:t>
            </w:r>
          </w:p>
        </w:tc>
        <w:tc>
          <w:tcPr>
            <w:tcW w:w="920" w:type="dxa"/>
            <w:vAlign w:val="bottom"/>
          </w:tcPr>
          <w:p>
            <w:pPr>
              <w:spacing w:after="0"/>
              <w:rPr>
                <w:sz w:val="16"/>
                <w:szCs w:val="16"/>
                <w:color w:val="auto"/>
              </w:rPr>
            </w:pPr>
          </w:p>
        </w:tc>
      </w:tr>
      <w:tr>
        <w:trPr>
          <w:trHeight w:val="255"/>
        </w:trPr>
        <w:tc>
          <w:tcPr>
            <w:tcW w:w="58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center"/>
              <w:ind w:right="4"/>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22"/>
                <w:szCs w:val="22"/>
                <w:color w:val="auto"/>
              </w:rPr>
            </w:pPr>
          </w:p>
        </w:tc>
      </w:tr>
      <w:tr>
        <w:trPr>
          <w:trHeight w:val="250"/>
        </w:trPr>
        <w:tc>
          <w:tcPr>
            <w:tcW w:w="58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r>
      <w:tr>
        <w:trPr>
          <w:trHeight w:val="250"/>
        </w:trPr>
        <w:tc>
          <w:tcPr>
            <w:tcW w:w="5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0" w:type="dxa"/>
            <w:vAlign w:val="bottom"/>
            <w:gridSpan w:val="3"/>
          </w:tcPr>
          <w:p>
            <w:pPr>
              <w:jc w:val="center"/>
              <w:ind w:right="4"/>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1"/>
                <w:szCs w:val="21"/>
                <w:color w:val="auto"/>
              </w:rPr>
            </w:pPr>
          </w:p>
        </w:tc>
      </w:tr>
      <w:tr>
        <w:trPr>
          <w:trHeight w:val="24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Systems</w:t>
            </w:r>
          </w:p>
        </w:tc>
        <w:tc>
          <w:tcPr>
            <w:tcW w:w="1020" w:type="dxa"/>
            <w:vAlign w:val="bottom"/>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82,338</w:t>
            </w: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57,092</w:t>
            </w:r>
          </w:p>
        </w:tc>
      </w:tr>
      <w:tr>
        <w:trPr>
          <w:trHeight w:val="24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Aftermarket</w:t>
            </w: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36,653</w:t>
            </w:r>
          </w:p>
        </w:tc>
        <w:tc>
          <w:tcPr>
            <w:tcW w:w="3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34,385</w:t>
            </w:r>
          </w:p>
        </w:tc>
      </w:tr>
      <w:tr>
        <w:trPr>
          <w:trHeight w:val="220"/>
        </w:trPr>
        <w:tc>
          <w:tcPr>
            <w:tcW w:w="58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118,991</w:t>
            </w:r>
          </w:p>
        </w:tc>
        <w:tc>
          <w:tcPr>
            <w:tcW w:w="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91,477</w:t>
            </w:r>
          </w:p>
        </w:tc>
      </w:tr>
    </w:tbl>
    <w:p>
      <w:pPr>
        <w:spacing w:after="0" w:line="202" w:lineRule="exact"/>
        <w:rPr>
          <w:sz w:val="20"/>
          <w:szCs w:val="20"/>
          <w:color w:val="auto"/>
        </w:rPr>
      </w:pPr>
    </w:p>
    <w:p>
      <w:pPr>
        <w:ind w:left="20" w:right="260" w:firstLine="648"/>
        <w:spacing w:after="0" w:line="263" w:lineRule="auto"/>
        <w:rPr>
          <w:sz w:val="20"/>
          <w:szCs w:val="20"/>
          <w:color w:val="auto"/>
        </w:rPr>
      </w:pPr>
      <w:r>
        <w:rPr>
          <w:rFonts w:ascii="Arial" w:cs="Arial" w:eastAsia="Arial" w:hAnsi="Arial"/>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201"/>
              <w:spacing w:after="0"/>
              <w:rPr>
                <w:sz w:val="20"/>
                <w:szCs w:val="20"/>
                <w:color w:val="auto"/>
              </w:rPr>
            </w:pPr>
            <w:r>
              <w:rPr>
                <w:rFonts w:ascii="Arial" w:cs="Arial" w:eastAsia="Arial" w:hAnsi="Arial"/>
                <w:sz w:val="14"/>
                <w:szCs w:val="14"/>
                <w:b w:val="1"/>
                <w:bCs w:val="1"/>
                <w:color w:val="auto"/>
                <w:w w:val="91"/>
              </w:rPr>
              <w:t>Three months ended</w:t>
            </w:r>
          </w:p>
        </w:tc>
      </w:tr>
      <w:tr>
        <w:trPr>
          <w:trHeight w:val="201"/>
        </w:trPr>
        <w:tc>
          <w:tcPr>
            <w:tcW w:w="3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ind w:left="464"/>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7"/>
                <w:szCs w:val="17"/>
                <w:color w:val="auto"/>
              </w:rPr>
            </w:pPr>
          </w:p>
        </w:tc>
      </w:tr>
      <w:tr>
        <w:trPr>
          <w:trHeight w:val="196"/>
        </w:trPr>
        <w:tc>
          <w:tcPr>
            <w:tcW w:w="3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r>
      <w:tr>
        <w:trPr>
          <w:trHeight w:val="196"/>
        </w:trPr>
        <w:tc>
          <w:tcPr>
            <w:tcW w:w="3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4"/>
          </w:tcPr>
          <w:p>
            <w:pPr>
              <w:jc w:val="center"/>
              <w:ind w:left="444"/>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7"/>
                <w:szCs w:val="17"/>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North America</w:t>
            </w:r>
          </w:p>
        </w:tc>
        <w:tc>
          <w:tcPr>
            <w:tcW w:w="306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10,661</w:t>
            </w: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89"/>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11,607</w:t>
            </w: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Asia Pacific</w:t>
            </w:r>
          </w:p>
        </w:tc>
        <w:tc>
          <w:tcPr>
            <w:tcW w:w="2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96,828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62,927</w:t>
            </w: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Europe</w:t>
            </w:r>
          </w:p>
        </w:tc>
        <w:tc>
          <w:tcPr>
            <w:tcW w:w="27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16,943</w:t>
            </w:r>
          </w:p>
        </w:tc>
      </w:tr>
      <w:tr>
        <w:trPr>
          <w:trHeight w:val="203"/>
        </w:trPr>
        <w:tc>
          <w:tcPr>
            <w:tcW w:w="3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118,991</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91,477</w:t>
            </w:r>
          </w:p>
        </w:tc>
      </w:tr>
    </w:tbl>
    <w:p>
      <w:pPr>
        <w:spacing w:after="0" w:line="202" w:lineRule="exact"/>
        <w:rPr>
          <w:sz w:val="20"/>
          <w:szCs w:val="20"/>
          <w:color w:val="auto"/>
        </w:rPr>
      </w:pPr>
    </w:p>
    <w:p>
      <w:pPr>
        <w:ind w:left="20" w:right="140" w:firstLine="648"/>
        <w:spacing w:after="0" w:line="342" w:lineRule="auto"/>
        <w:rPr>
          <w:sz w:val="20"/>
          <w:szCs w:val="20"/>
          <w:color w:val="auto"/>
        </w:rPr>
      </w:pPr>
      <w:r>
        <w:rPr>
          <w:rFonts w:ascii="Arial" w:cs="Arial" w:eastAsia="Arial" w:hAnsi="Arial"/>
          <w:sz w:val="16"/>
          <w:szCs w:val="16"/>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liabilities are as follows: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06"/>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45"/>
              <w:spacing w:after="0"/>
              <w:rPr>
                <w:sz w:val="20"/>
                <w:szCs w:val="20"/>
                <w:color w:val="auto"/>
              </w:rPr>
            </w:pPr>
            <w:r>
              <w:rPr>
                <w:rFonts w:ascii="Arial" w:cs="Arial" w:eastAsia="Arial" w:hAnsi="Arial"/>
                <w:sz w:val="14"/>
                <w:szCs w:val="14"/>
                <w:b w:val="1"/>
                <w:bCs w:val="1"/>
                <w:color w:val="auto"/>
                <w:w w:val="92"/>
              </w:rPr>
              <w:t>December 31,</w:t>
            </w:r>
          </w:p>
        </w:tc>
      </w:tr>
      <w:tr>
        <w:trPr>
          <w:trHeight w:val="201"/>
        </w:trPr>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2019</w:t>
            </w:r>
          </w:p>
        </w:tc>
      </w:tr>
      <w:tr>
        <w:trPr>
          <w:trHeight w:val="196"/>
        </w:trPr>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4"/>
          </w:tcPr>
          <w:p>
            <w:pPr>
              <w:jc w:val="right"/>
              <w:ind w:right="785"/>
              <w:spacing w:after="0"/>
              <w:rPr>
                <w:sz w:val="20"/>
                <w:szCs w:val="20"/>
                <w:color w:val="auto"/>
              </w:rPr>
            </w:pPr>
            <w:r>
              <w:rPr>
                <w:rFonts w:ascii="Arial" w:cs="Arial" w:eastAsia="Arial" w:hAnsi="Arial"/>
                <w:sz w:val="14"/>
                <w:szCs w:val="14"/>
                <w:b w:val="1"/>
                <w:bCs w:val="1"/>
                <w:color w:val="auto"/>
              </w:rPr>
              <w:t>(in thousands)</w:t>
            </w:r>
          </w:p>
        </w:tc>
      </w:tr>
      <w:tr>
        <w:trPr>
          <w:trHeight w:val="202"/>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26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29,251</w:t>
            </w:r>
          </w:p>
        </w:tc>
      </w:tr>
      <w:tr>
        <w:trPr>
          <w:trHeight w:val="27"/>
        </w:trPr>
        <w:tc>
          <w:tcPr>
            <w:tcW w:w="386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60"/>
          </w:cols>
          <w:pgMar w:left="1360" w:top="125" w:right="137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Contract liabilities are reflected as deferred revenue on the consolidated balance sheet and relate to payments invoiced or received in advance of completion of performance obligations under a contract. Contract liabilities are recognized as revenue upon the fulfillment of performance obligations.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center"/>
              <w:ind w:right="121"/>
              <w:spacing w:after="0"/>
              <w:rPr>
                <w:sz w:val="20"/>
                <w:szCs w:val="20"/>
                <w:color w:val="auto"/>
              </w:rPr>
            </w:pPr>
            <w:r>
              <w:rPr>
                <w:rFonts w:ascii="Arial" w:cs="Arial" w:eastAsia="Arial" w:hAnsi="Arial"/>
                <w:sz w:val="14"/>
                <w:szCs w:val="14"/>
                <w:b w:val="1"/>
                <w:bCs w:val="1"/>
                <w:color w:val="auto"/>
                <w:w w:val="91"/>
              </w:rPr>
              <w:t>Three months ended</w:t>
            </w:r>
          </w:p>
        </w:tc>
      </w:tr>
      <w:tr>
        <w:trPr>
          <w:trHeight w:val="188"/>
        </w:trPr>
        <w:tc>
          <w:tcPr>
            <w:tcW w:w="46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left="364"/>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Borders>
              <w:bottom w:val="single" w:sz="8" w:color="auto"/>
            </w:tcBorders>
          </w:tcPr>
          <w:p>
            <w:pPr>
              <w:spacing w:after="0"/>
              <w:rPr>
                <w:sz w:val="16"/>
                <w:szCs w:val="16"/>
                <w:color w:val="auto"/>
              </w:rPr>
            </w:pPr>
          </w:p>
        </w:tc>
      </w:tr>
      <w:tr>
        <w:trPr>
          <w:trHeight w:val="183"/>
        </w:trPr>
        <w:tc>
          <w:tcPr>
            <w:tcW w:w="46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6"/>
              </w:rPr>
              <w:t>2019</w:t>
            </w:r>
          </w:p>
        </w:tc>
      </w:tr>
      <w:tr>
        <w:trPr>
          <w:trHeight w:val="183"/>
        </w:trPr>
        <w:tc>
          <w:tcPr>
            <w:tcW w:w="46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right="121"/>
              <w:spacing w:after="0"/>
              <w:rPr>
                <w:sz w:val="20"/>
                <w:szCs w:val="20"/>
                <w:color w:val="auto"/>
              </w:rPr>
            </w:pPr>
            <w:r>
              <w:rPr>
                <w:rFonts w:ascii="Arial" w:cs="Arial" w:eastAsia="Arial" w:hAnsi="Arial"/>
                <w:sz w:val="14"/>
                <w:szCs w:val="14"/>
                <w:b w:val="1"/>
                <w:bCs w:val="1"/>
                <w:color w:val="auto"/>
                <w:w w:val="89"/>
              </w:rPr>
              <w:t>(in thousands)</w:t>
            </w: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the period</w:t>
            </w:r>
          </w:p>
        </w:tc>
        <w:tc>
          <w:tcPr>
            <w:tcW w:w="26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29,251</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22,584</w:t>
            </w:r>
          </w:p>
        </w:tc>
      </w:tr>
      <w:tr>
        <w:trPr>
          <w:trHeight w:val="203"/>
        </w:trPr>
        <w:tc>
          <w:tcPr>
            <w:tcW w:w="4680" w:type="dxa"/>
            <w:vAlign w:val="bottom"/>
          </w:tcPr>
          <w:p>
            <w:pPr>
              <w:ind w:left="120"/>
              <w:spacing w:after="0"/>
              <w:rPr>
                <w:sz w:val="20"/>
                <w:szCs w:val="20"/>
                <w:color w:val="auto"/>
              </w:rPr>
            </w:pPr>
            <w:r>
              <w:rPr>
                <w:rFonts w:ascii="Arial" w:cs="Arial" w:eastAsia="Arial" w:hAnsi="Arial"/>
                <w:sz w:val="16"/>
                <w:szCs w:val="16"/>
                <w:color w:val="auto"/>
              </w:rPr>
              <w:t>Deferral of revenue</w:t>
            </w: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9,799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4,078</w:t>
            </w:r>
          </w:p>
        </w:tc>
      </w:tr>
      <w:tr>
        <w:trPr>
          <w:trHeight w:val="203"/>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Recognition of deferred revenue</w:t>
            </w:r>
          </w:p>
        </w:tc>
        <w:tc>
          <w:tcPr>
            <w:tcW w:w="24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(6,181)</w:t>
            </w: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Balance, ending of the period</w:t>
            </w:r>
          </w:p>
        </w:tc>
        <w:tc>
          <w:tcPr>
            <w:tcW w:w="248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34,106</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20,481</w:t>
            </w:r>
          </w:p>
        </w:tc>
      </w:tr>
    </w:tbl>
    <w:p>
      <w:pPr>
        <w:spacing w:after="0" w:line="20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majority of our system transactions have payment terms of 90% due upon shipment of the tool and 10% due upon acceptance. Aftermarket transaction payment terms usually provide that payment is due either within 30 or 60 days after the service is provided or parts delivered.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 and Allowances for Credit Losses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trade receivables are reported on the Condensed Consolidated Balance Sheets at their amortized cost adjusted for any write-offs and net of allowances for credit losses.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Axcelis maintains an allowance for credit losses, which represent an estimate of expected losses over the remaining contractual life of its receivables considering current market conditions and estimates for supportable forecasts when appropriate. The estimate is a result of the Company’s ongoing assessments and evaluations of collectability, historical loss experience, and future expectations in estimating credit losses in its receivable portfolio. Axcelis uses historical loss experience rates and applies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loss migration, delinquency trends, collection experience, current economic conditions, estimates for supportable forecasts, when appropriate, and credit risk characteristics.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Axcelis evaluates the credit risk of the customer when extending credit based on a combination of various financial and qualitative factors that may affect its customers’ ability to pay. These factors may include the customer’s financial condition, past payment experience, and credit bureau, as well as the value of the underlying collateral.</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performs detailed reviews of its receivables on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shows changes of the allowances for credit losses related to trade receivables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2" w:name="page13"/>
    <w:bookmarkEnd w:id="12"/>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r>
      <w:tr>
        <w:trPr>
          <w:trHeight w:val="215"/>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r>
      <w:tr>
        <w:trPr>
          <w:trHeight w:val="223"/>
        </w:trPr>
        <w:tc>
          <w:tcPr>
            <w:tcW w:w="7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top w:val="single" w:sz="8" w:color="CCEEFF"/>
            </w:tcBorders>
            <w:shd w:val="clear" w:color="auto" w:fill="CCEEFF"/>
          </w:tcPr>
          <w:p>
            <w:pPr>
              <w:spacing w:after="0"/>
              <w:rPr>
                <w:sz w:val="19"/>
                <w:szCs w:val="19"/>
                <w:color w:val="auto"/>
              </w:rPr>
            </w:pPr>
          </w:p>
        </w:tc>
      </w:tr>
      <w:tr>
        <w:trPr>
          <w:trHeight w:val="210"/>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r>
      <w:tr>
        <w:trPr>
          <w:trHeight w:val="257"/>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00" w:type="dxa"/>
            <w:vAlign w:val="bottom"/>
            <w:shd w:val="clear" w:color="auto" w:fill="CCEEFF"/>
          </w:tcPr>
          <w:p>
            <w:pPr>
              <w:spacing w:after="0"/>
              <w:rPr>
                <w:sz w:val="22"/>
                <w:szCs w:val="22"/>
                <w:color w:val="auto"/>
              </w:rPr>
            </w:pPr>
          </w:p>
        </w:tc>
      </w:tr>
      <w:tr>
        <w:trPr>
          <w:trHeight w:val="256"/>
        </w:trPr>
        <w:tc>
          <w:tcPr>
            <w:tcW w:w="7480" w:type="dxa"/>
            <w:vAlign w:val="bottom"/>
          </w:tcPr>
          <w:p>
            <w:pPr>
              <w:ind w:left="140"/>
              <w:spacing w:after="0"/>
              <w:rPr>
                <w:sz w:val="20"/>
                <w:szCs w:val="20"/>
                <w:color w:val="auto"/>
              </w:rPr>
            </w:pPr>
            <w:r>
              <w:rPr>
                <w:rFonts w:ascii="Arial" w:cs="Arial" w:eastAsia="Arial" w:hAnsi="Arial"/>
                <w:sz w:val="16"/>
                <w:szCs w:val="16"/>
                <w:color w:val="auto"/>
              </w:rPr>
              <w:t>Provision for credit losses</w:t>
            </w:r>
          </w:p>
        </w:tc>
        <w:tc>
          <w:tcPr>
            <w:tcW w:w="100" w:type="dxa"/>
            <w:vAlign w:val="bottom"/>
          </w:tcPr>
          <w:p>
            <w:pPr>
              <w:spacing w:after="0"/>
              <w:rPr>
                <w:sz w:val="22"/>
                <w:szCs w:val="2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57"/>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Charge-offs</w:t>
            </w: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w:t>
            </w:r>
          </w:p>
        </w:tc>
      </w:tr>
      <w:tr>
        <w:trPr>
          <w:trHeight w:val="257"/>
        </w:trPr>
        <w:tc>
          <w:tcPr>
            <w:tcW w:w="7480" w:type="dxa"/>
            <w:vAlign w:val="bottom"/>
          </w:tcPr>
          <w:p>
            <w:pPr>
              <w:ind w:left="140"/>
              <w:spacing w:after="0"/>
              <w:rPr>
                <w:sz w:val="20"/>
                <w:szCs w:val="20"/>
                <w:color w:val="auto"/>
              </w:rPr>
            </w:pPr>
            <w:r>
              <w:rPr>
                <w:rFonts w:ascii="Arial" w:cs="Arial" w:eastAsia="Arial" w:hAnsi="Arial"/>
                <w:sz w:val="16"/>
                <w:szCs w:val="16"/>
                <w:color w:val="auto"/>
              </w:rPr>
              <w:t>Recoveries</w:t>
            </w:r>
          </w:p>
        </w:tc>
        <w:tc>
          <w:tcPr>
            <w:tcW w:w="100" w:type="dxa"/>
            <w:vAlign w:val="bottom"/>
          </w:tcPr>
          <w:p>
            <w:pPr>
              <w:spacing w:after="0"/>
              <w:rPr>
                <w:sz w:val="22"/>
                <w:szCs w:val="2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6. Computation of Net Earnings per Share</w:t>
      </w:r>
    </w:p>
    <w:p>
      <w:pPr>
        <w:spacing w:after="0" w:line="229" w:lineRule="exact"/>
        <w:rPr>
          <w:sz w:val="20"/>
          <w:szCs w:val="20"/>
          <w:color w:val="auto"/>
        </w:rPr>
      </w:pPr>
    </w:p>
    <w:p>
      <w:pPr>
        <w:ind w:left="20" w:right="200" w:firstLine="648"/>
        <w:spacing w:after="0" w:line="219" w:lineRule="exact"/>
        <w:rPr>
          <w:sz w:val="20"/>
          <w:szCs w:val="20"/>
          <w:color w:val="auto"/>
        </w:rPr>
      </w:pPr>
      <w:r>
        <w:rPr>
          <w:rFonts w:ascii="Arial" w:cs="Arial" w:eastAsia="Arial" w:hAnsi="Arial"/>
          <w:sz w:val="16"/>
          <w:szCs w:val="16"/>
          <w:color w:val="auto"/>
        </w:rPr>
        <w:t>Basic earnings per share is computed by dividing income available to common stockholders (the numerator) by the weighted</w:t>
      </w:r>
      <w:r>
        <w:rPr>
          <w:rFonts w:ascii="MS PGothic" w:cs="MS PGothic" w:eastAsia="MS PGothic" w:hAnsi="MS PGothic"/>
          <w:sz w:val="16"/>
          <w:szCs w:val="16"/>
          <w:color w:val="auto"/>
        </w:rPr>
        <w:t>‑</w:t>
      </w:r>
      <w:r>
        <w:rPr>
          <w:rFonts w:ascii="Arial" w:cs="Arial" w:eastAsia="Arial" w:hAnsi="Arial"/>
          <w:sz w:val="16"/>
          <w:szCs w:val="16"/>
          <w:color w:val="auto"/>
        </w:rPr>
        <w:t>average number of common shares outstanding (the denominator) for the period. The computation of diluted earnings per share is similar to basic earnings per share, except that the denominator is increased by the number of additional common shares that would have been outstanding if the potentially dilutive common shares issuable on exercise of stock options and vesting of RSUs had been issued, calculated using the treasury stock method.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earnings per share are as follows:</w:t>
      </w:r>
    </w:p>
    <w:p>
      <w:pPr>
        <w:spacing w:after="0" w:line="230"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Three months ended</w:t>
      </w:r>
    </w:p>
    <w:p>
      <w:pPr>
        <w:ind w:left="7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2"/>
                <w:szCs w:val="12"/>
                <w:color w:val="auto"/>
              </w:rPr>
            </w:pPr>
          </w:p>
        </w:tc>
      </w:tr>
      <w:tr>
        <w:trPr>
          <w:trHeight w:val="119"/>
        </w:trPr>
        <w:tc>
          <w:tcPr>
            <w:tcW w:w="7140" w:type="dxa"/>
            <w:vAlign w:val="bottom"/>
          </w:tcPr>
          <w:p>
            <w:pPr>
              <w:spacing w:after="0"/>
              <w:rPr>
                <w:sz w:val="10"/>
                <w:szCs w:val="10"/>
                <w:color w:val="auto"/>
              </w:rPr>
            </w:pPr>
          </w:p>
        </w:tc>
        <w:tc>
          <w:tcPr>
            <w:tcW w:w="192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w w:val="96"/>
              </w:rPr>
              <w:t>(in thousands, except per share</w:t>
            </w:r>
          </w:p>
        </w:tc>
        <w:tc>
          <w:tcPr>
            <w:tcW w:w="140" w:type="dxa"/>
            <w:vAlign w:val="bottom"/>
          </w:tcPr>
          <w:p>
            <w:pPr>
              <w:spacing w:after="0"/>
              <w:rPr>
                <w:sz w:val="10"/>
                <w:szCs w:val="10"/>
                <w:color w:val="auto"/>
              </w:rPr>
            </w:pPr>
          </w:p>
        </w:tc>
      </w:tr>
      <w:tr>
        <w:trPr>
          <w:trHeight w:val="171"/>
        </w:trPr>
        <w:tc>
          <w:tcPr>
            <w:tcW w:w="7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23"/>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available to common stockholders</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11,221</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189"/>
        </w:trPr>
        <w:tc>
          <w:tcPr>
            <w:tcW w:w="71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used in computing basic income per share</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32,872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32,683</w:t>
            </w:r>
          </w:p>
        </w:tc>
        <w:tc>
          <w:tcPr>
            <w:tcW w:w="140" w:type="dxa"/>
            <w:vAlign w:val="bottom"/>
          </w:tcPr>
          <w:p>
            <w:pPr>
              <w:spacing w:after="0"/>
              <w:rPr>
                <w:sz w:val="16"/>
                <w:szCs w:val="16"/>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Incremental options and RSUs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140" w:type="dxa"/>
            <w:vAlign w:val="bottom"/>
            <w:shd w:val="clear" w:color="auto" w:fill="CCEEFF"/>
          </w:tcPr>
          <w:p>
            <w:pPr>
              <w:spacing w:after="0"/>
              <w:rPr>
                <w:sz w:val="18"/>
                <w:szCs w:val="18"/>
                <w:color w:val="auto"/>
              </w:rPr>
            </w:pPr>
          </w:p>
        </w:tc>
      </w:tr>
      <w:tr>
        <w:trPr>
          <w:trHeight w:val="20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common shares used in computing diluted net income per share</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34,057</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34,224</w:t>
            </w:r>
          </w:p>
        </w:tc>
        <w:tc>
          <w:tcPr>
            <w:tcW w:w="140" w:type="dxa"/>
            <w:vAlign w:val="bottom"/>
            <w:tcBorders>
              <w:bottom w:val="single" w:sz="8" w:color="CCEEFF"/>
            </w:tcBorders>
          </w:tcPr>
          <w:p>
            <w:pPr>
              <w:spacing w:after="0"/>
              <w:rPr>
                <w:sz w:val="17"/>
                <w:szCs w:val="17"/>
                <w:color w:val="auto"/>
              </w:rPr>
            </w:pPr>
          </w:p>
        </w:tc>
      </w:tr>
      <w:tr>
        <w:trPr>
          <w:trHeight w:val="20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71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40" w:type="dxa"/>
            <w:vAlign w:val="bottom"/>
            <w:tcBorders>
              <w:bottom w:val="single" w:sz="8" w:color="CCEEFF"/>
            </w:tcBorders>
          </w:tcPr>
          <w:p>
            <w:pPr>
              <w:spacing w:after="0"/>
              <w:rPr>
                <w:sz w:val="18"/>
                <w:szCs w:val="18"/>
                <w:color w:val="auto"/>
              </w:rPr>
            </w:pPr>
          </w:p>
        </w:tc>
      </w:tr>
      <w:tr>
        <w:trPr>
          <w:trHeight w:val="209"/>
        </w:trPr>
        <w:tc>
          <w:tcPr>
            <w:tcW w:w="7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20" w:right="100" w:firstLine="648"/>
        <w:spacing w:after="0" w:line="263" w:lineRule="auto"/>
        <w:rPr>
          <w:sz w:val="20"/>
          <w:szCs w:val="20"/>
          <w:color w:val="auto"/>
        </w:rPr>
      </w:pPr>
      <w:r>
        <w:rPr>
          <w:rFonts w:ascii="Arial" w:cs="Arial" w:eastAsia="Arial" w:hAnsi="Arial"/>
          <w:sz w:val="18"/>
          <w:szCs w:val="18"/>
          <w:color w:val="auto"/>
        </w:rPr>
        <w:t>Diluted weighted average common shares outstanding does not include options and RSUs outstanding to purchase 1,675 and 9,213 common equivalent shares for the three month periods ended March 31, 2020 and 2019, respectively, as their effect would have been anti-dilutive.</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7. Accumulated Other Comprehensive Loss</w:t>
      </w:r>
    </w:p>
    <w:p>
      <w:pPr>
        <w:spacing w:after="0" w:line="229" w:lineRule="exact"/>
        <w:rPr>
          <w:sz w:val="20"/>
          <w:szCs w:val="20"/>
          <w:color w:val="auto"/>
        </w:rPr>
      </w:pPr>
    </w:p>
    <w:p>
      <w:pPr>
        <w:ind w:left="20" w:right="160" w:firstLine="648"/>
        <w:spacing w:after="0" w:line="277" w:lineRule="auto"/>
        <w:rPr>
          <w:sz w:val="20"/>
          <w:szCs w:val="20"/>
          <w:color w:val="auto"/>
        </w:rPr>
      </w:pPr>
      <w:r>
        <w:rPr>
          <w:rFonts w:ascii="Arial" w:cs="Arial" w:eastAsia="Arial" w:hAnsi="Arial"/>
          <w:sz w:val="18"/>
          <w:szCs w:val="18"/>
          <w:color w:val="auto"/>
        </w:rPr>
        <w:t>The following table presents the changes in accumulated other comprehensive loss, net of tax, by component, for the three months ended March 31,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Defined benefit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6240" w:type="dxa"/>
            <w:vAlign w:val="bottom"/>
          </w:tcPr>
          <w:p>
            <w:pPr>
              <w:spacing w:after="0"/>
              <w:rPr>
                <w:sz w:val="18"/>
                <w:szCs w:val="18"/>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pension plan</w:t>
            </w:r>
          </w:p>
        </w:tc>
        <w:tc>
          <w:tcPr>
            <w:tcW w:w="22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236"/>
        </w:trPr>
        <w:tc>
          <w:tcPr>
            <w:tcW w:w="62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7"/>
              </w:rPr>
              <w:t>(in thousands)</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(258)</w:t>
            </w:r>
          </w:p>
        </w:tc>
      </w:tr>
      <w:tr>
        <w:trPr>
          <w:trHeight w:val="280"/>
        </w:trPr>
        <w:tc>
          <w:tcPr>
            <w:tcW w:w="6240" w:type="dxa"/>
            <w:vAlign w:val="bottom"/>
          </w:tcPr>
          <w:p>
            <w:pPr>
              <w:ind w:left="240"/>
              <w:spacing w:after="0"/>
              <w:rPr>
                <w:sz w:val="20"/>
                <w:szCs w:val="20"/>
                <w:color w:val="auto"/>
              </w:rPr>
            </w:pPr>
            <w:r>
              <w:rPr>
                <w:rFonts w:ascii="Arial" w:cs="Arial" w:eastAsia="Arial" w:hAnsi="Arial"/>
                <w:sz w:val="16"/>
                <w:szCs w:val="16"/>
                <w:color w:val="auto"/>
              </w:rPr>
              <w:t>Other comprehensive loss and pension reclassification</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(1,055)</w:t>
            </w:r>
          </w:p>
        </w:tc>
      </w:tr>
      <w:tr>
        <w:trPr>
          <w:trHeight w:val="20"/>
        </w:trPr>
        <w:tc>
          <w:tcPr>
            <w:tcW w:w="6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(719)</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(1,313)</w:t>
            </w:r>
          </w:p>
        </w:tc>
      </w:tr>
      <w:tr>
        <w:trPr>
          <w:trHeight w:val="27"/>
        </w:trPr>
        <w:tc>
          <w:tcPr>
            <w:tcW w:w="6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220"/>
          </w:cols>
          <w:pgMar w:left="1360" w:top="125" w:right="1319" w:bottom="1440" w:gutter="0" w:footer="0" w:header="0"/>
        </w:sectPr>
      </w:pPr>
    </w:p>
    <w:bookmarkStart w:id="13" w:name="page14"/>
    <w:bookmarkEnd w:id="13"/>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8. Cash, cash equivalents and restricted cash</w:t>
      </w:r>
    </w:p>
    <w:p>
      <w:pPr>
        <w:spacing w:after="0" w:line="229" w:lineRule="exact"/>
        <w:rPr>
          <w:sz w:val="20"/>
          <w:szCs w:val="20"/>
          <w:color w:val="auto"/>
        </w:rPr>
      </w:pPr>
    </w:p>
    <w:p>
      <w:pPr>
        <w:ind w:left="20" w:right="80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 to the total of the amounts shown in the statement of cash flows: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5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r>
      <w:tr>
        <w:trPr>
          <w:trHeight w:val="196"/>
        </w:trPr>
        <w:tc>
          <w:tcPr>
            <w:tcW w:w="5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174,745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139,881</w:t>
            </w:r>
          </w:p>
        </w:tc>
        <w:tc>
          <w:tcPr>
            <w:tcW w:w="120" w:type="dxa"/>
            <w:vAlign w:val="bottom"/>
            <w:shd w:val="clear" w:color="auto" w:fill="CCEEFF"/>
          </w:tcPr>
          <w:p>
            <w:pPr>
              <w:spacing w:after="0"/>
              <w:rPr>
                <w:sz w:val="18"/>
                <w:szCs w:val="18"/>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restricted cash</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6,671</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6,653</w:t>
            </w:r>
          </w:p>
        </w:tc>
        <w:tc>
          <w:tcPr>
            <w:tcW w:w="120" w:type="dxa"/>
            <w:vAlign w:val="bottom"/>
            <w:tcBorders>
              <w:bottom w:val="single" w:sz="8" w:color="CCEEFF"/>
            </w:tcBorders>
          </w:tcPr>
          <w:p>
            <w:pPr>
              <w:spacing w:after="0"/>
              <w:rPr>
                <w:sz w:val="18"/>
                <w:szCs w:val="18"/>
                <w:color w:val="auto"/>
              </w:rPr>
            </w:pPr>
          </w:p>
        </w:tc>
      </w:tr>
      <w:tr>
        <w:trPr>
          <w:trHeight w:val="20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181,416</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146,534</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ind w:left="20" w:right="540" w:firstLine="648"/>
        <w:spacing w:after="0" w:line="286" w:lineRule="auto"/>
        <w:rPr>
          <w:sz w:val="20"/>
          <w:szCs w:val="20"/>
          <w:color w:val="auto"/>
        </w:rPr>
      </w:pPr>
      <w:r>
        <w:rPr>
          <w:rFonts w:ascii="Arial" w:cs="Arial" w:eastAsia="Arial" w:hAnsi="Arial"/>
          <w:sz w:val="17"/>
          <w:szCs w:val="17"/>
          <w:color w:val="auto"/>
        </w:rPr>
        <w:t>As of March 31, 2020, we had $6.7 million in restricted cash representing the total of (i) a $5.9 million letter of credit serving as security for the lease of our corporate headquarters in Beverly, Massachusetts, (ii) a $0.7 million letter of credit relating to workers’ compensation insurance and (iii) a $0.1 million deposit relating to customs activity.</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9. Inventories,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r>
      <w:tr>
        <w:trPr>
          <w:trHeight w:val="142"/>
        </w:trPr>
        <w:tc>
          <w:tcPr>
            <w:tcW w:w="7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87,772</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95,867</w:t>
            </w:r>
          </w:p>
        </w:tc>
        <w:tc>
          <w:tcPr>
            <w:tcW w:w="200" w:type="dxa"/>
            <w:vAlign w:val="bottom"/>
            <w:shd w:val="clear" w:color="auto" w:fill="CCEEFF"/>
          </w:tcPr>
          <w:p>
            <w:pPr>
              <w:spacing w:after="0"/>
              <w:rPr>
                <w:sz w:val="17"/>
                <w:szCs w:val="17"/>
                <w:color w:val="auto"/>
              </w:rPr>
            </w:pPr>
          </w:p>
        </w:tc>
      </w:tr>
      <w:tr>
        <w:trPr>
          <w:trHeight w:val="203"/>
        </w:trPr>
        <w:tc>
          <w:tcPr>
            <w:tcW w:w="706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37,978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32,131</w:t>
            </w:r>
          </w:p>
        </w:tc>
        <w:tc>
          <w:tcPr>
            <w:tcW w:w="200" w:type="dxa"/>
            <w:vAlign w:val="bottom"/>
          </w:tcPr>
          <w:p>
            <w:pPr>
              <w:spacing w:after="0"/>
              <w:rPr>
                <w:sz w:val="17"/>
                <w:szCs w:val="17"/>
                <w:color w:val="auto"/>
              </w:rPr>
            </w:pPr>
          </w:p>
        </w:tc>
      </w:tr>
      <w:tr>
        <w:trPr>
          <w:trHeight w:val="20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 (completed systems)</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10,318</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12,366</w:t>
            </w:r>
          </w:p>
        </w:tc>
        <w:tc>
          <w:tcPr>
            <w:tcW w:w="200" w:type="dxa"/>
            <w:vAlign w:val="bottom"/>
            <w:shd w:val="clear" w:color="auto" w:fill="CCEEFF"/>
          </w:tcPr>
          <w:p>
            <w:pPr>
              <w:spacing w:after="0"/>
              <w:rPr>
                <w:sz w:val="17"/>
                <w:szCs w:val="17"/>
                <w:color w:val="auto"/>
              </w:rPr>
            </w:pPr>
          </w:p>
        </w:tc>
      </w:tr>
      <w:tr>
        <w:trPr>
          <w:trHeight w:val="203"/>
        </w:trPr>
        <w:tc>
          <w:tcPr>
            <w:tcW w:w="7060" w:type="dxa"/>
            <w:vAlign w:val="bottom"/>
          </w:tcPr>
          <w:p>
            <w:pPr>
              <w:ind w:left="220"/>
              <w:spacing w:after="0"/>
              <w:rPr>
                <w:sz w:val="20"/>
                <w:szCs w:val="20"/>
                <w:color w:val="auto"/>
              </w:rPr>
            </w:pPr>
            <w:r>
              <w:rPr>
                <w:rFonts w:ascii="Arial" w:cs="Arial" w:eastAsia="Arial" w:hAnsi="Arial"/>
                <w:sz w:val="16"/>
                <w:szCs w:val="16"/>
                <w:color w:val="auto"/>
              </w:rPr>
              <w:t>Inventories,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136,068</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140,364</w:t>
            </w:r>
          </w:p>
        </w:tc>
        <w:tc>
          <w:tcPr>
            <w:tcW w:w="200" w:type="dxa"/>
            <w:vAlign w:val="bottom"/>
          </w:tcPr>
          <w:p>
            <w:pPr>
              <w:spacing w:after="0"/>
              <w:rPr>
                <w:sz w:val="17"/>
                <w:szCs w:val="17"/>
                <w:color w:val="auto"/>
              </w:rPr>
            </w:pPr>
          </w:p>
        </w:tc>
      </w:tr>
    </w:tbl>
    <w:p>
      <w:pPr>
        <w:spacing w:after="0" w:line="202" w:lineRule="exact"/>
        <w:rPr>
          <w:sz w:val="20"/>
          <w:szCs w:val="20"/>
          <w:color w:val="auto"/>
        </w:rPr>
      </w:pPr>
    </w:p>
    <w:p>
      <w:pPr>
        <w:ind w:left="20" w:right="280" w:firstLine="648"/>
        <w:spacing w:after="0" w:line="273" w:lineRule="auto"/>
        <w:rPr>
          <w:sz w:val="20"/>
          <w:szCs w:val="20"/>
          <w:color w:val="auto"/>
        </w:rPr>
      </w:pPr>
      <w:r>
        <w:rPr>
          <w:rFonts w:ascii="Arial" w:cs="Arial" w:eastAsia="Arial" w:hAnsi="Arial"/>
          <w:sz w:val="17"/>
          <w:szCs w:val="17"/>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the Company’s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10. Product Warranty</w:t>
      </w:r>
    </w:p>
    <w:p>
      <w:pPr>
        <w:spacing w:after="0" w:line="229" w:lineRule="exact"/>
        <w:rPr>
          <w:sz w:val="20"/>
          <w:szCs w:val="20"/>
          <w:color w:val="auto"/>
        </w:rPr>
      </w:pPr>
    </w:p>
    <w:p>
      <w:pPr>
        <w:ind w:left="20" w:right="240" w:firstLine="648"/>
        <w:spacing w:after="0" w:line="273" w:lineRule="auto"/>
        <w:rPr>
          <w:sz w:val="20"/>
          <w:szCs w:val="20"/>
          <w:color w:val="auto"/>
        </w:rPr>
      </w:pPr>
      <w:r>
        <w:rPr>
          <w:rFonts w:ascii="Arial" w:cs="Arial" w:eastAsia="Arial" w:hAnsi="Arial"/>
          <w:sz w:val="17"/>
          <w:szCs w:val="17"/>
          <w:color w:val="auto"/>
        </w:rPr>
        <w:t>We generally offer a one 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380"/>
          </w:cols>
          <w:pgMar w:left="1360" w:top="125" w:right="1159" w:bottom="1440" w:gutter="0" w:footer="0" w:header="0"/>
        </w:sectPr>
      </w:pPr>
    </w:p>
    <w:bookmarkStart w:id="14" w:name="page15"/>
    <w:bookmarkEnd w:id="14"/>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our standard product warranty liability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Three months ended</w:t>
            </w:r>
          </w:p>
        </w:tc>
      </w:tr>
      <w:tr>
        <w:trPr>
          <w:trHeight w:val="201"/>
        </w:trPr>
        <w:tc>
          <w:tcPr>
            <w:tcW w:w="77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center"/>
              <w:ind w:left="302"/>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209"/>
        </w:trPr>
        <w:tc>
          <w:tcPr>
            <w:tcW w:w="7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8"/>
                <w:szCs w:val="18"/>
                <w:color w:val="auto"/>
              </w:rPr>
            </w:pPr>
          </w:p>
        </w:tc>
      </w:tr>
      <w:tr>
        <w:trPr>
          <w:trHeight w:val="196"/>
        </w:trPr>
        <w:tc>
          <w:tcPr>
            <w:tcW w:w="7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r>
      <w:tr>
        <w:trPr>
          <w:trHeight w:val="28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5,091</w:t>
            </w:r>
          </w:p>
        </w:tc>
        <w:tc>
          <w:tcPr>
            <w:tcW w:w="240" w:type="dxa"/>
            <w:vAlign w:val="bottom"/>
            <w:shd w:val="clear" w:color="auto" w:fill="CCEEFF"/>
          </w:tcPr>
          <w:p>
            <w:pPr>
              <w:spacing w:after="0"/>
              <w:rPr>
                <w:sz w:val="24"/>
                <w:szCs w:val="24"/>
                <w:color w:val="auto"/>
              </w:rPr>
            </w:pPr>
          </w:p>
        </w:tc>
      </w:tr>
      <w:tr>
        <w:trPr>
          <w:trHeight w:val="267"/>
        </w:trPr>
        <w:tc>
          <w:tcPr>
            <w:tcW w:w="7720" w:type="dxa"/>
            <w:vAlign w:val="bottom"/>
          </w:tcPr>
          <w:p>
            <w:pPr>
              <w:ind w:left="240"/>
              <w:spacing w:after="0"/>
              <w:rPr>
                <w:sz w:val="20"/>
                <w:szCs w:val="20"/>
                <w:color w:val="auto"/>
              </w:rPr>
            </w:pPr>
            <w:r>
              <w:rPr>
                <w:rFonts w:ascii="Arial" w:cs="Arial" w:eastAsia="Arial" w:hAnsi="Arial"/>
                <w:sz w:val="16"/>
                <w:szCs w:val="16"/>
                <w:color w:val="auto"/>
              </w:rPr>
              <w:t>Warranties issued during the period</w:t>
            </w: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1,385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954</w:t>
            </w:r>
          </w:p>
        </w:tc>
        <w:tc>
          <w:tcPr>
            <w:tcW w:w="240" w:type="dxa"/>
            <w:vAlign w:val="bottom"/>
          </w:tcPr>
          <w:p>
            <w:pPr>
              <w:spacing w:after="0"/>
              <w:rPr>
                <w:sz w:val="23"/>
                <w:szCs w:val="23"/>
                <w:color w:val="auto"/>
              </w:rPr>
            </w:pPr>
          </w:p>
        </w:tc>
      </w:tr>
      <w:tr>
        <w:trPr>
          <w:trHeight w:val="287"/>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Settlements made during the period</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(950)</w:t>
            </w:r>
          </w:p>
        </w:tc>
        <w:tc>
          <w:tcPr>
            <w:tcW w:w="2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4"/>
              </w:rPr>
              <w:t>(1,475)</w:t>
            </w:r>
          </w:p>
        </w:tc>
      </w:tr>
      <w:tr>
        <w:trPr>
          <w:trHeight w:val="280"/>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Changes in estimate of liability for pre-existing warranties during the period</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240" w:type="dxa"/>
            <w:vAlign w:val="bottom"/>
            <w:tcBorders>
              <w:bottom w:val="single" w:sz="8" w:color="CCEEFF"/>
            </w:tcBorders>
          </w:tcPr>
          <w:p>
            <w:pPr>
              <w:spacing w:after="0"/>
              <w:rPr>
                <w:sz w:val="24"/>
                <w:szCs w:val="24"/>
                <w:color w:val="auto"/>
              </w:rPr>
            </w:pPr>
          </w:p>
        </w:tc>
      </w:tr>
      <w:tr>
        <w:trPr>
          <w:trHeight w:val="26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4,659</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57"/>
        </w:trPr>
        <w:tc>
          <w:tcPr>
            <w:tcW w:w="7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83"/>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Amount classified as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4,319</w:t>
            </w:r>
          </w:p>
        </w:tc>
        <w:tc>
          <w:tcPr>
            <w:tcW w:w="240" w:type="dxa"/>
            <w:vAlign w:val="bottom"/>
            <w:shd w:val="clear" w:color="auto" w:fill="CCEEFF"/>
          </w:tcPr>
          <w:p>
            <w:pPr>
              <w:spacing w:after="0"/>
              <w:rPr>
                <w:sz w:val="24"/>
                <w:szCs w:val="24"/>
                <w:color w:val="auto"/>
              </w:rPr>
            </w:pPr>
          </w:p>
        </w:tc>
      </w:tr>
      <w:tr>
        <w:trPr>
          <w:trHeight w:val="281"/>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Amount classified as long-term</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240" w:type="dxa"/>
            <w:vAlign w:val="bottom"/>
            <w:tcBorders>
              <w:bottom w:val="single" w:sz="8" w:color="CCEEFF"/>
            </w:tcBorders>
          </w:tcPr>
          <w:p>
            <w:pPr>
              <w:spacing w:after="0"/>
              <w:rPr>
                <w:sz w:val="24"/>
                <w:szCs w:val="24"/>
                <w:color w:val="auto"/>
              </w:rPr>
            </w:pPr>
          </w:p>
        </w:tc>
      </w:tr>
      <w:tr>
        <w:trPr>
          <w:trHeight w:val="26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warranty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4,659</w:t>
            </w:r>
          </w:p>
        </w:tc>
        <w:tc>
          <w:tcPr>
            <w:tcW w:w="240" w:type="dxa"/>
            <w:vAlign w:val="bottom"/>
            <w:tcBorders>
              <w:bottom w:val="single" w:sz="8" w:color="CCEEFF"/>
            </w:tcBorders>
            <w:shd w:val="clear" w:color="auto" w:fill="CCEEFF"/>
          </w:tcPr>
          <w:p>
            <w:pPr>
              <w:spacing w:after="0"/>
              <w:rPr>
                <w:sz w:val="22"/>
                <w:szCs w:val="22"/>
                <w:color w:val="auto"/>
              </w:rPr>
            </w:pPr>
          </w:p>
        </w:tc>
      </w:tr>
    </w:tbl>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ind w:left="20" w:right="600" w:firstLine="648"/>
        <w:spacing w:after="0" w:line="286" w:lineRule="auto"/>
        <w:rPr>
          <w:sz w:val="20"/>
          <w:szCs w:val="20"/>
          <w:color w:val="auto"/>
        </w:rPr>
      </w:pPr>
      <w:r>
        <w:rPr>
          <w:rFonts w:ascii="Arial" w:cs="Arial" w:eastAsia="Arial" w:hAnsi="Arial"/>
          <w:sz w:val="17"/>
          <w:szCs w:val="17"/>
          <w:color w:val="auto"/>
        </w:rPr>
        <w:t>Certain assets on our balance sheets are reported at their fair value. 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Fair Value Hierarchy</w:t>
      </w:r>
    </w:p>
    <w:p>
      <w:pPr>
        <w:spacing w:after="0" w:line="229" w:lineRule="exact"/>
        <w:rPr>
          <w:sz w:val="20"/>
          <w:szCs w:val="20"/>
          <w:color w:val="auto"/>
        </w:rPr>
      </w:pPr>
    </w:p>
    <w:p>
      <w:pPr>
        <w:ind w:left="20" w:right="540" w:firstLine="648"/>
        <w:spacing w:after="0" w:line="257" w:lineRule="auto"/>
        <w:rPr>
          <w:sz w:val="20"/>
          <w:szCs w:val="20"/>
          <w:color w:val="auto"/>
        </w:rPr>
      </w:pPr>
      <w:r>
        <w:rPr>
          <w:rFonts w:ascii="Arial" w:cs="Arial" w:eastAsia="Arial" w:hAnsi="Arial"/>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Level 1</w:t>
      </w:r>
      <w:r>
        <w:rPr>
          <w:rFonts w:ascii="Arial" w:cs="Arial" w:eastAsia="Arial" w:hAnsi="Arial"/>
          <w:sz w:val="17"/>
          <w:szCs w:val="17"/>
          <w:color w:val="auto"/>
        </w:rPr>
        <w:t xml:space="preserve"> - applies to assets or liabilities for which there are quoted prices in active markets for identical assets or liabilities.</w:t>
      </w:r>
    </w:p>
    <w:p>
      <w:pPr>
        <w:spacing w:after="0" w:line="237" w:lineRule="exact"/>
        <w:rPr>
          <w:sz w:val="20"/>
          <w:szCs w:val="20"/>
          <w:color w:val="auto"/>
        </w:rPr>
      </w:pPr>
    </w:p>
    <w:p>
      <w:pPr>
        <w:ind w:left="20" w:right="620"/>
        <w:spacing w:after="0" w:line="301"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57" w:lineRule="exact"/>
        <w:rPr>
          <w:sz w:val="20"/>
          <w:szCs w:val="20"/>
          <w:color w:val="auto"/>
        </w:rPr>
      </w:pPr>
    </w:p>
    <w:p>
      <w:pPr>
        <w:ind w:left="20" w:right="118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 Fair Value Measurements</w:t>
      </w:r>
    </w:p>
    <w:p>
      <w:pPr>
        <w:spacing w:after="0" w:line="229" w:lineRule="exact"/>
        <w:rPr>
          <w:sz w:val="20"/>
          <w:szCs w:val="20"/>
          <w:color w:val="auto"/>
        </w:rPr>
      </w:pPr>
    </w:p>
    <w:p>
      <w:pPr>
        <w:ind w:left="20" w:right="720" w:firstLine="648"/>
        <w:spacing w:after="0" w:line="277" w:lineRule="auto"/>
        <w:rPr>
          <w:sz w:val="20"/>
          <w:szCs w:val="20"/>
          <w:color w:val="auto"/>
        </w:rPr>
      </w:pPr>
      <w:r>
        <w:rPr>
          <w:rFonts w:ascii="Arial" w:cs="Arial" w:eastAsia="Arial" w:hAnsi="Arial"/>
          <w:sz w:val="18"/>
          <w:szCs w:val="18"/>
          <w:color w:val="auto"/>
        </w:rPr>
        <w:t>Our money market funds and short-term investments are included in cash and cash equivalents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600"/>
          </w:cols>
          <w:pgMar w:left="1360" w:top="125" w:right="9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assets by level within the fair value hierarchy: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jc w:val="center"/>
              <w:ind w:right="119"/>
              <w:spacing w:after="0"/>
              <w:rPr>
                <w:sz w:val="20"/>
                <w:szCs w:val="20"/>
                <w:color w:val="auto"/>
              </w:rPr>
            </w:pPr>
            <w:r>
              <w:rPr>
                <w:rFonts w:ascii="Arial" w:cs="Arial" w:eastAsia="Arial" w:hAnsi="Arial"/>
                <w:sz w:val="14"/>
                <w:szCs w:val="14"/>
                <w:b w:val="1"/>
                <w:bCs w:val="1"/>
                <w:color w:val="auto"/>
                <w:w w:val="96"/>
              </w:rPr>
              <w:t>March 31, 2020</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4"/>
                <w:szCs w:val="14"/>
                <w:b w:val="1"/>
                <w:bCs w:val="1"/>
                <w:color w:val="auto"/>
                <w:w w:val="93"/>
              </w:rPr>
              <w:t>Fair Value Measurements</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3"/>
          </w:tcPr>
          <w:p>
            <w:pPr>
              <w:jc w:val="center"/>
              <w:ind w:right="11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9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Money market funds, U.S. Government Securities and Agency</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148,566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148,566</w:t>
            </w:r>
          </w:p>
        </w:tc>
        <w:tc>
          <w:tcPr>
            <w:tcW w:w="100" w:type="dxa"/>
            <w:vAlign w:val="bottom"/>
            <w:shd w:val="clear" w:color="auto" w:fill="CCEEFF"/>
          </w:tcPr>
          <w:p>
            <w:pPr>
              <w:spacing w:after="0"/>
              <w:rPr>
                <w:sz w:val="20"/>
                <w:szCs w:val="20"/>
                <w:color w:val="auto"/>
              </w:rPr>
            </w:pPr>
          </w:p>
        </w:tc>
      </w:tr>
      <w:tr>
        <w:trPr>
          <w:trHeight w:val="355"/>
        </w:trPr>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jc w:val="center"/>
              <w:ind w:right="119"/>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4"/>
                <w:szCs w:val="14"/>
                <w:b w:val="1"/>
                <w:bCs w:val="1"/>
                <w:color w:val="auto"/>
                <w:w w:val="93"/>
              </w:rPr>
              <w:t>Fair Value Measurements</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3"/>
          </w:tcPr>
          <w:p>
            <w:pPr>
              <w:jc w:val="center"/>
              <w:ind w:right="11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9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Money market funds, U.S. Government Securities and Agency</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92,872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24,000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116,872</w:t>
            </w:r>
          </w:p>
        </w:tc>
        <w:tc>
          <w:tcPr>
            <w:tcW w:w="1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Financial Instruments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carrying amounts reflected in the consolidated balance sheets for accounts receivable, prepaid expenses and other current assets and non-current assets, restricted cash, accounts payable and accrued expenses approximate fair value due to their short-term maturities.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Financing Arrangements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January 30, 2015, we sold our corporate headquarters facility in Beverly Massachusetts for $48.9 million. As part of the sale, we also entered into a 22-year lease agreement of our headquarters facility. This sale-leaseback is accounted for as a financing lease under generally accepted accounting principles and, as such, we have recorded a financing obligation of $48.5 million as of March 31, 2020. Our current lease payments are interest only payments. Commencing in April 2020, the associated lease payments will include both an interest component and payment of principal, with the remaining liability being extinguished at the end of the original lease term. We posted a security deposit of $5.9 million in the form of an irrevocable letter of credit at the time of the closing. This letter of credit is cash collateralized and the associated cash is included in long-term restricted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Income tax expense was $1.0 million for the three months ended March 31, 2020, compared to $0.5 million the three months ended March 31, 2019. The $0.5 million increase was primarily due to a $5.7 million increase in pretax income, which was slightly offset by excess tax benefits associated with stock option exercises for the three months ended March 31, 2020, compared to the three months ended March 31, 2019.</w:t>
      </w:r>
    </w:p>
    <w:p>
      <w:pPr>
        <w:spacing w:after="0" w:line="18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We had $66.6 million and $68.1 million of net deferred tax assets worldwide relating to net operating loss carryforwards, tax credit carryforwards and other temporary differences, as of March 31, 2020 and December 31, 2019, respectively. These deferred tax assets are available to reduce income taxes in future years. We have a $9.1 million valuation allowance in the U.S. against certain tax credits and state net operating losses due to the uncertainty of their realization based on long-term Company forecasts and the expiration dates on these tax assets. If future operating results of the U.S. or these foreign jurisdictions are significantly less than our expectations, it is reasonably possible that we would be required to record an additional valuation allowance on our deferred tax assets in the future.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Concentration of Risk</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the three months ended March 31, 2020, four customers accounted for 20.9%, 16.9%, 14.6% and 10.7% of total revenue, respectively. For the three months ended March 31, 2019, three customers accounted for 16.4%, 13.4% and 10.2% of total revenue, respectively.</w:t>
      </w:r>
    </w:p>
    <w:p>
      <w:pPr>
        <w:spacing w:after="0" w:line="184"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At March 31, 2020, two customers accounted for 21.2% and 18.3% of accounts receivable, respectively. At December 31, 2019, three customers accounted for 24.9%, 15.3% and 11.1% of accounts receivable,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 Repurchase</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Board has approved stock repurchases of up to $50 million of our common stock through the end of 2020. During the three months ended March 31, 2020, we purchased approximately 0.4 million shares at an average cost of $20.92 per share but have suspended the repurchase program while we continue to invest in the business during these difficult times in the midst of COVID-19. The timing and actual number of shares repurchased in 2020 will depend on various factors, including the price of our common stock, general business and market conditions, and alternative investment opportunities or other uses of cash.</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Shares repurchased are accounted for when the transaction is settled. There were no unsettled share repurchases at March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Litigation</w:t>
      </w:r>
    </w:p>
    <w:p>
      <w:pPr>
        <w:spacing w:after="0" w:line="162"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Indemnifications</w:t>
      </w:r>
    </w:p>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Recent Accounting Guidance</w:t>
      </w:r>
    </w:p>
    <w:p>
      <w:pPr>
        <w:spacing w:after="0" w:line="20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 xml:space="preserve">We adopted Financial Accounting Standards Board ASU No. 2019-04 </w:t>
      </w:r>
      <w:r>
        <w:rPr>
          <w:rFonts w:ascii="Arial" w:cs="Arial" w:eastAsia="Arial" w:hAnsi="Arial"/>
          <w:sz w:val="17"/>
          <w:szCs w:val="17"/>
          <w:i w:val="1"/>
          <w:iCs w:val="1"/>
          <w:color w:val="auto"/>
        </w:rPr>
        <w:t>“Codification Improvements to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 Credit Losses, Topic 815, Derivatives and Hedging, and Topic 825, Financial Instruments” </w:t>
      </w:r>
      <w:r>
        <w:rPr>
          <w:rFonts w:ascii="Arial" w:cs="Arial" w:eastAsia="Arial" w:hAnsi="Arial"/>
          <w:sz w:val="17"/>
          <w:szCs w:val="17"/>
          <w:color w:val="auto"/>
        </w:rPr>
        <w:t>as of</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1, 2020, using the modified-retrospective approach resulting in no cumulative adjustment to retained earnings. The amendments in this Update clarify the guidance within Topic 326 relating to credit losses. Topic 326 replaces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Due to the requirements of Topic 326, management reviews the average annual write-off rate along with an assessment of current micro and macro-economic factors to determine any expected losses. The adoption of this Update did not have any material impact on our results of operations or cash flows. See Note 5 above for further discussion.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080"/>
          </w:cols>
          <w:pgMar w:left="138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648"/>
        <w:spacing w:after="0" w:line="287"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w:t>
      </w:r>
      <w:hyperlink r:id="rId28">
        <w:r>
          <w:rPr>
            <w:rFonts w:ascii="Arial" w:cs="Arial" w:eastAsia="Arial" w:hAnsi="Arial"/>
            <w:sz w:val="16"/>
            <w:szCs w:val="16"/>
            <w:i w:val="1"/>
            <w:iCs w:val="1"/>
            <w:color w:val="auto"/>
          </w:rPr>
          <w:t xml:space="preserve">Resources" below and under “Risk Factors” in Part I, Item 1A to our </w:t>
        </w:r>
        <w:r>
          <w:rPr>
            <w:rFonts w:ascii="Arial" w:cs="Arial" w:eastAsia="Arial" w:hAnsi="Arial"/>
            <w:sz w:val="16"/>
            <w:szCs w:val="16"/>
            <w:i w:val="1"/>
            <w:iCs w:val="1"/>
            <w:u w:val="single" w:color="auto"/>
            <w:color w:val="0000EE"/>
          </w:rPr>
          <w:t>annual report on Form 10-K for the year ended</w:t>
        </w:r>
      </w:hyperlink>
      <w:r>
        <w:rPr>
          <w:rFonts w:ascii="Arial" w:cs="Arial" w:eastAsia="Arial" w:hAnsi="Arial"/>
          <w:sz w:val="16"/>
          <w:szCs w:val="16"/>
          <w:i w:val="1"/>
          <w:iCs w:val="1"/>
          <w:color w:val="auto"/>
        </w:rPr>
        <w:t xml:space="preserve"> </w:t>
      </w:r>
      <w:hyperlink r:id="rId28">
        <w:r>
          <w:rPr>
            <w:rFonts w:ascii="Arial" w:cs="Arial" w:eastAsia="Arial" w:hAnsi="Arial"/>
            <w:sz w:val="16"/>
            <w:szCs w:val="16"/>
            <w:i w:val="1"/>
            <w:iCs w:val="1"/>
            <w:u w:val="single" w:color="auto"/>
            <w:color w:val="0000EE"/>
          </w:rPr>
          <w:t>December 31, 2019</w:t>
        </w:r>
        <w:r>
          <w:rPr>
            <w:rFonts w:ascii="Arial" w:cs="Arial" w:eastAsia="Arial" w:hAnsi="Arial"/>
            <w:sz w:val="16"/>
            <w:szCs w:val="16"/>
            <w:i w:val="1"/>
            <w:iCs w:val="1"/>
            <w:color w:val="0000EE"/>
          </w:rPr>
          <w:t xml:space="preserve"> </w:t>
        </w:r>
        <w:r>
          <w:rPr>
            <w:rFonts w:ascii="Arial" w:cs="Arial" w:eastAsia="Arial" w:hAnsi="Arial"/>
            <w:sz w:val="16"/>
            <w:szCs w:val="16"/>
            <w:color w:val="000000"/>
          </w:rPr>
          <w:t xml:space="preserve">and in Part II, Item 1A to this report on Form 10-Q, which discussion is incorporated herein by </w:t>
        </w:r>
      </w:hyperlink>
      <w:r>
        <w:rPr>
          <w:rFonts w:ascii="Arial" w:cs="Arial" w:eastAsia="Arial" w:hAnsi="Arial"/>
          <w:sz w:val="16"/>
          <w:szCs w:val="16"/>
          <w:i w:val="1"/>
          <w:iCs w:val="1"/>
          <w:color w:val="0000EE"/>
        </w:rPr>
        <w:t xml:space="preserve">reference. </w:t>
      </w:r>
      <w:r>
        <w:rPr>
          <w:rFonts w:ascii="Arial" w:cs="Arial" w:eastAsia="Arial" w:hAnsi="Arial"/>
          <w:sz w:val="16"/>
          <w:szCs w:val="16"/>
          <w:color w:val="000000"/>
        </w:rPr>
        <w:t>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occur primarily in the United States.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85.9% of total revenue for the three months ended March 31, 2020.</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first three months of 2020, we delivered strong financial performance driven by demand for our Purion systems. The semiconductor supply chain was identified as a critical infrastructure sector in the Advisory Memorandum issued by the U.S. Department of Homeland Security’s Cybersecurity and Infrastructure Security Agency (“CISA”) on March 19, 2020 and updated on March 28, 2020. CISA’s list has been incorporated in orders by the Governor of Massachusetts and other states, which urge critical infrastructure sector businesses to continue to operate during the COVID-19 pandemic. Axcelis has continued to operate during this time, with a combination of work from home and the implementation of protocols for social distancing and other practices in our facilities, as recommended by the U.S. Centers for Disease Control and Prevention. Business travel has been substantially curtailed. Operations outside of the U.S. have also been conducted in accordance with applicable local governmental laws and public health recommendations. We are closely monitoring the impact of the pandemic on our business and will adjust operations as needed.</w:t>
      </w:r>
    </w:p>
    <w:p>
      <w:pPr>
        <w:spacing w:after="0" w:line="16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ultimate consequence of the pandemic on the semiconductor industry will be the aggregation of both positive and negative forces on various customer market segments. For example, the pandemic may drive enhanced investment in PCs, video streaming and communications technologies. On the other hand, it is dampening the demand for semiconductors for automotive and aviation applications. Our customers will be adapting to the changes in the volumes of different types of semiconductors demanded by the market. These adaptations could cause delay and uncertainty that could impact</w:t>
      </w:r>
    </w:p>
    <w:p>
      <w:pPr>
        <w:spacing w:after="0" w:line="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Axcelis. However, we are working closely with our customers across market segments, even during this difficult time, to provide them with the best ion implant solutions for their specific manufacturing challenges.</w:t>
      </w:r>
    </w:p>
    <w:p>
      <w:pPr>
        <w:spacing w:after="0" w:line="18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currently implemented, and potential additional, disruptions and restrictions on our operations and ability to travel, and similar disruptions and restrictions impacting our suppliers or customers, could adversely affect our sales and operating results. Axcelis’ products rely on an extensive global supply chain, and shortages of certain parts could impact our ability to meet customer’s shipment expectations, negatively affecting our revenues. The COVID-19 pandemic may drive changes in the demand for certain of our customers’ products, resulting in their delay or cancelation of purchases from us. The extent to which the COVID-19 coronavirus may impact our results will depend on future developments, which are highly uncertain and cannot be predicted, including the severity of the coronavirus and the duration of the current pandemic.</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Management’s discussion and analysis of our financial condition and results of operations included herein and in our Annual Report on Form 10-K for the year ended December 31, 2019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Management has not identified any need to make any material change in, and has not changed, any of our critical accounting estimates and judgments as described in Management’s Discussion and Analysis of Financial Conditions and Results of Operations included in our Annual Report on Form 10-K for the year ended December 31, 2019.</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100"/>
          </w:cols>
          <w:pgMar w:left="1380" w:top="125" w:right="1419" w:bottom="1440" w:gutter="0" w:footer="0" w:header="0"/>
        </w:sectPr>
      </w:pPr>
    </w:p>
    <w:bookmarkStart w:id="19" w:name="page20"/>
    <w:bookmarkEnd w:id="19"/>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as a percentage of total revenue:</w:t>
      </w:r>
    </w:p>
    <w:p>
      <w:pPr>
        <w:spacing w:after="0" w:line="31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Three months ended</w:t>
      </w:r>
    </w:p>
    <w:p>
      <w:pPr>
        <w:jc w:val="center"/>
        <w:ind w:left="61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6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2"/>
                <w:szCs w:val="12"/>
                <w:color w:val="auto"/>
              </w:rPr>
            </w:pPr>
          </w:p>
        </w:tc>
      </w:tr>
      <w:tr>
        <w:trPr>
          <w:trHeight w:val="19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3"/>
        </w:trPr>
        <w:tc>
          <w:tcPr>
            <w:tcW w:w="6620" w:type="dxa"/>
            <w:vAlign w:val="bottom"/>
          </w:tcPr>
          <w:p>
            <w:pPr>
              <w:ind w:left="240"/>
              <w:spacing w:after="0"/>
              <w:rPr>
                <w:sz w:val="20"/>
                <w:szCs w:val="20"/>
                <w:color w:val="auto"/>
              </w:rPr>
            </w:pPr>
            <w:r>
              <w:rPr>
                <w:rFonts w:ascii="Arial" w:cs="Arial" w:eastAsia="Arial" w:hAnsi="Arial"/>
                <w:sz w:val="16"/>
                <w:szCs w:val="16"/>
                <w:color w:val="auto"/>
              </w:rPr>
              <w:t>Product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94.2 %</w:t>
            </w:r>
          </w:p>
        </w:tc>
        <w:tc>
          <w:tcPr>
            <w:tcW w:w="1380" w:type="dxa"/>
            <w:vAlign w:val="bottom"/>
            <w:gridSpan w:val="2"/>
          </w:tcPr>
          <w:p>
            <w:pPr>
              <w:jc w:val="right"/>
              <w:ind w:right="259"/>
              <w:spacing w:after="0"/>
              <w:rPr>
                <w:sz w:val="20"/>
                <w:szCs w:val="20"/>
                <w:color w:val="auto"/>
              </w:rPr>
            </w:pPr>
            <w:r>
              <w:rPr>
                <w:rFonts w:ascii="Arial" w:cs="Arial" w:eastAsia="Arial" w:hAnsi="Arial"/>
                <w:sz w:val="16"/>
                <w:szCs w:val="16"/>
                <w:color w:val="auto"/>
              </w:rPr>
              <w:t>92.0 %</w:t>
            </w:r>
          </w:p>
        </w:tc>
      </w:tr>
      <w:tr>
        <w:trPr>
          <w:trHeight w:val="219"/>
        </w:trPr>
        <w:tc>
          <w:tcPr>
            <w:tcW w:w="6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Services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3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480" w:type="dxa"/>
            <w:vAlign w:val="bottom"/>
            <w:shd w:val="clear" w:color="auto" w:fill="CCEEFF"/>
          </w:tcPr>
          <w:p>
            <w:pPr>
              <w:spacing w:after="0"/>
              <w:rPr>
                <w:sz w:val="19"/>
                <w:szCs w:val="19"/>
                <w:color w:val="auto"/>
              </w:rPr>
            </w:pPr>
          </w:p>
        </w:tc>
      </w:tr>
      <w:tr>
        <w:trPr>
          <w:trHeight w:val="196"/>
        </w:trPr>
        <w:tc>
          <w:tcPr>
            <w:tcW w:w="6620" w:type="dxa"/>
            <w:vAlign w:val="bottom"/>
          </w:tcPr>
          <w:p>
            <w:pPr>
              <w:ind w:left="340"/>
              <w:spacing w:after="0"/>
              <w:rPr>
                <w:sz w:val="20"/>
                <w:szCs w:val="20"/>
                <w:color w:val="auto"/>
              </w:rPr>
            </w:pPr>
            <w:r>
              <w:rPr>
                <w:rFonts w:ascii="Arial" w:cs="Arial" w:eastAsia="Arial" w:hAnsi="Arial"/>
                <w:sz w:val="16"/>
                <w:szCs w:val="16"/>
                <w:color w:val="auto"/>
              </w:rPr>
              <w:t>Total revenue</w:t>
            </w: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c>
          <w:tcPr>
            <w:tcW w:w="480" w:type="dxa"/>
            <w:vAlign w:val="bottom"/>
          </w:tcPr>
          <w:p>
            <w:pPr>
              <w:spacing w:after="0"/>
              <w:rPr>
                <w:sz w:val="17"/>
                <w:szCs w:val="17"/>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3"/>
        </w:trPr>
        <w:tc>
          <w:tcPr>
            <w:tcW w:w="6620" w:type="dxa"/>
            <w:vAlign w:val="bottom"/>
          </w:tcPr>
          <w:p>
            <w:pPr>
              <w:ind w:left="240"/>
              <w:spacing w:after="0"/>
              <w:rPr>
                <w:sz w:val="20"/>
                <w:szCs w:val="20"/>
                <w:color w:val="auto"/>
              </w:rPr>
            </w:pPr>
            <w:r>
              <w:rPr>
                <w:rFonts w:ascii="Arial" w:cs="Arial" w:eastAsia="Arial" w:hAnsi="Arial"/>
                <w:sz w:val="16"/>
                <w:szCs w:val="16"/>
                <w:color w:val="auto"/>
              </w:rPr>
              <w:t>Product</w:t>
            </w:r>
          </w:p>
        </w:tc>
        <w:tc>
          <w:tcPr>
            <w:tcW w:w="900" w:type="dxa"/>
            <w:vAlign w:val="bottom"/>
          </w:tcPr>
          <w:p>
            <w:pPr>
              <w:jc w:val="right"/>
              <w:spacing w:after="0"/>
              <w:rPr>
                <w:sz w:val="20"/>
                <w:szCs w:val="20"/>
                <w:color w:val="auto"/>
              </w:rPr>
            </w:pPr>
            <w:r>
              <w:rPr>
                <w:rFonts w:ascii="Arial" w:cs="Arial" w:eastAsia="Arial" w:hAnsi="Arial"/>
                <w:sz w:val="16"/>
                <w:szCs w:val="16"/>
                <w:color w:val="auto"/>
              </w:rPr>
              <w:t>56.5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51.7</w:t>
            </w:r>
          </w:p>
        </w:tc>
        <w:tc>
          <w:tcPr>
            <w:tcW w:w="480" w:type="dxa"/>
            <w:vAlign w:val="bottom"/>
          </w:tcPr>
          <w:p>
            <w:pPr>
              <w:spacing w:after="0"/>
              <w:rPr>
                <w:sz w:val="18"/>
                <w:szCs w:val="18"/>
                <w:color w:val="auto"/>
              </w:rPr>
            </w:pPr>
          </w:p>
        </w:tc>
      </w:tr>
      <w:tr>
        <w:trPr>
          <w:trHeight w:val="219"/>
        </w:trPr>
        <w:tc>
          <w:tcPr>
            <w:tcW w:w="6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Services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3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480" w:type="dxa"/>
            <w:vAlign w:val="bottom"/>
            <w:shd w:val="clear" w:color="auto" w:fill="CCEEFF"/>
          </w:tcPr>
          <w:p>
            <w:pPr>
              <w:spacing w:after="0"/>
              <w:rPr>
                <w:sz w:val="19"/>
                <w:szCs w:val="19"/>
                <w:color w:val="auto"/>
              </w:rPr>
            </w:pPr>
          </w:p>
        </w:tc>
      </w:tr>
      <w:tr>
        <w:trPr>
          <w:trHeight w:val="196"/>
        </w:trPr>
        <w:tc>
          <w:tcPr>
            <w:tcW w:w="6620" w:type="dxa"/>
            <w:vAlign w:val="bottom"/>
          </w:tcPr>
          <w:p>
            <w:pPr>
              <w:ind w:left="340"/>
              <w:spacing w:after="0"/>
              <w:rPr>
                <w:sz w:val="20"/>
                <w:szCs w:val="20"/>
                <w:color w:val="auto"/>
              </w:rPr>
            </w:pPr>
            <w:r>
              <w:rPr>
                <w:rFonts w:ascii="Arial" w:cs="Arial" w:eastAsia="Arial" w:hAnsi="Arial"/>
                <w:sz w:val="16"/>
                <w:szCs w:val="16"/>
                <w:color w:val="auto"/>
              </w:rPr>
              <w:t>Total cost of revenue</w:t>
            </w:r>
          </w:p>
        </w:tc>
        <w:tc>
          <w:tcPr>
            <w:tcW w:w="900" w:type="dxa"/>
            <w:vAlign w:val="bottom"/>
          </w:tcPr>
          <w:p>
            <w:pPr>
              <w:jc w:val="right"/>
              <w:spacing w:after="0"/>
              <w:rPr>
                <w:sz w:val="20"/>
                <w:szCs w:val="20"/>
                <w:color w:val="auto"/>
              </w:rPr>
            </w:pPr>
            <w:r>
              <w:rPr>
                <w:rFonts w:ascii="Arial" w:cs="Arial" w:eastAsia="Arial" w:hAnsi="Arial"/>
                <w:sz w:val="16"/>
                <w:szCs w:val="16"/>
                <w:color w:val="auto"/>
              </w:rPr>
              <w:t>61.8</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59.0</w:t>
            </w:r>
          </w:p>
        </w:tc>
        <w:tc>
          <w:tcPr>
            <w:tcW w:w="480" w:type="dxa"/>
            <w:vAlign w:val="bottom"/>
          </w:tcPr>
          <w:p>
            <w:pPr>
              <w:spacing w:after="0"/>
              <w:rPr>
                <w:sz w:val="17"/>
                <w:szCs w:val="17"/>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480" w:type="dxa"/>
            <w:vAlign w:val="bottom"/>
            <w:shd w:val="clear" w:color="auto" w:fill="CCEEFF"/>
          </w:tcPr>
          <w:p>
            <w:pPr>
              <w:spacing w:after="0"/>
              <w:rPr>
                <w:sz w:val="18"/>
                <w:szCs w:val="18"/>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9"/>
        </w:trPr>
        <w:tc>
          <w:tcPr>
            <w:tcW w:w="6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480" w:type="dxa"/>
            <w:vAlign w:val="bottom"/>
            <w:shd w:val="clear" w:color="auto" w:fill="CCEEFF"/>
          </w:tcPr>
          <w:p>
            <w:pPr>
              <w:spacing w:after="0"/>
              <w:rPr>
                <w:sz w:val="19"/>
                <w:szCs w:val="19"/>
                <w:color w:val="auto"/>
              </w:rPr>
            </w:pPr>
          </w:p>
        </w:tc>
      </w:tr>
      <w:tr>
        <w:trPr>
          <w:trHeight w:val="213"/>
        </w:trPr>
        <w:tc>
          <w:tcPr>
            <w:tcW w:w="662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900" w:type="dxa"/>
            <w:vAlign w:val="bottom"/>
          </w:tcPr>
          <w:p>
            <w:pPr>
              <w:jc w:val="right"/>
              <w:spacing w:after="0"/>
              <w:rPr>
                <w:sz w:val="20"/>
                <w:szCs w:val="20"/>
                <w:color w:val="auto"/>
              </w:rPr>
            </w:pPr>
            <w:r>
              <w:rPr>
                <w:rFonts w:ascii="Arial" w:cs="Arial" w:eastAsia="Arial" w:hAnsi="Arial"/>
                <w:sz w:val="16"/>
                <w:szCs w:val="16"/>
                <w:color w:val="auto"/>
              </w:rPr>
              <w:t>6.9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c>
          <w:tcPr>
            <w:tcW w:w="480" w:type="dxa"/>
            <w:vAlign w:val="bottom"/>
          </w:tcPr>
          <w:p>
            <w:pPr>
              <w:spacing w:after="0"/>
              <w:rPr>
                <w:sz w:val="18"/>
                <w:szCs w:val="18"/>
                <w:color w:val="auto"/>
              </w:rPr>
            </w:pPr>
          </w:p>
        </w:tc>
      </w:tr>
      <w:tr>
        <w:trPr>
          <w:trHeight w:val="219"/>
        </w:trPr>
        <w:tc>
          <w:tcPr>
            <w:tcW w:w="6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480" w:type="dxa"/>
            <w:vAlign w:val="bottom"/>
            <w:shd w:val="clear" w:color="auto" w:fill="CCEEFF"/>
          </w:tcPr>
          <w:p>
            <w:pPr>
              <w:spacing w:after="0"/>
              <w:rPr>
                <w:sz w:val="19"/>
                <w:szCs w:val="19"/>
                <w:color w:val="auto"/>
              </w:rPr>
            </w:pPr>
          </w:p>
        </w:tc>
      </w:tr>
      <w:tr>
        <w:trPr>
          <w:trHeight w:val="196"/>
        </w:trPr>
        <w:tc>
          <w:tcPr>
            <w:tcW w:w="66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3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480" w:type="dxa"/>
            <w:vAlign w:val="bottom"/>
            <w:tcBorders>
              <w:bottom w:val="single" w:sz="8" w:color="CCEEFF"/>
            </w:tcBorders>
          </w:tcPr>
          <w:p>
            <w:pPr>
              <w:spacing w:after="0"/>
              <w:rPr>
                <w:sz w:val="17"/>
                <w:szCs w:val="17"/>
                <w:color w:val="auto"/>
              </w:rPr>
            </w:pPr>
          </w:p>
        </w:tc>
      </w:tr>
      <w:tr>
        <w:trPr>
          <w:trHeight w:val="19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480" w:type="dxa"/>
            <w:vAlign w:val="bottom"/>
            <w:shd w:val="clear" w:color="auto" w:fill="CCEEFF"/>
          </w:tcPr>
          <w:p>
            <w:pPr>
              <w:spacing w:after="0"/>
              <w:rPr>
                <w:sz w:val="17"/>
                <w:szCs w:val="17"/>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Other (expense) income: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9"/>
        </w:trPr>
        <w:tc>
          <w:tcPr>
            <w:tcW w:w="6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480" w:type="dxa"/>
            <w:vAlign w:val="bottom"/>
            <w:shd w:val="clear" w:color="auto" w:fill="CCEEFF"/>
          </w:tcPr>
          <w:p>
            <w:pPr>
              <w:spacing w:after="0"/>
              <w:rPr>
                <w:sz w:val="19"/>
                <w:szCs w:val="19"/>
                <w:color w:val="auto"/>
              </w:rPr>
            </w:pPr>
          </w:p>
        </w:tc>
      </w:tr>
      <w:tr>
        <w:trPr>
          <w:trHeight w:val="213"/>
        </w:trPr>
        <w:tc>
          <w:tcPr>
            <w:tcW w:w="66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200" w:type="dxa"/>
            <w:vAlign w:val="bottom"/>
            <w:gridSpan w:val="2"/>
          </w:tcPr>
          <w:p>
            <w:pPr>
              <w:jc w:val="right"/>
              <w:ind w:right="219"/>
              <w:spacing w:after="0"/>
              <w:rPr>
                <w:sz w:val="20"/>
                <w:szCs w:val="20"/>
                <w:color w:val="auto"/>
              </w:rPr>
            </w:pPr>
            <w:r>
              <w:rPr>
                <w:rFonts w:ascii="Arial" w:cs="Arial" w:eastAsia="Arial" w:hAnsi="Arial"/>
                <w:sz w:val="16"/>
                <w:szCs w:val="16"/>
                <w:color w:val="auto"/>
              </w:rPr>
              <w:t>(1.1)</w:t>
            </w:r>
          </w:p>
        </w:tc>
        <w:tc>
          <w:tcPr>
            <w:tcW w:w="1380" w:type="dxa"/>
            <w:vAlign w:val="bottom"/>
            <w:gridSpan w:val="2"/>
          </w:tcPr>
          <w:p>
            <w:pPr>
              <w:jc w:val="right"/>
              <w:ind w:right="399"/>
              <w:spacing w:after="0"/>
              <w:rPr>
                <w:sz w:val="20"/>
                <w:szCs w:val="20"/>
                <w:color w:val="auto"/>
              </w:rPr>
            </w:pPr>
            <w:r>
              <w:rPr>
                <w:rFonts w:ascii="Arial" w:cs="Arial" w:eastAsia="Arial" w:hAnsi="Arial"/>
                <w:sz w:val="16"/>
                <w:szCs w:val="16"/>
                <w:color w:val="auto"/>
              </w:rPr>
              <w:t>(1.3)</w:t>
            </w:r>
          </w:p>
        </w:tc>
      </w:tr>
      <w:tr>
        <w:trPr>
          <w:trHeight w:val="219"/>
        </w:trPr>
        <w:tc>
          <w:tcPr>
            <w:tcW w:w="6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12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(0.5)</w:t>
            </w:r>
          </w:p>
        </w:tc>
        <w:tc>
          <w:tcPr>
            <w:tcW w:w="1380" w:type="dxa"/>
            <w:vAlign w:val="bottom"/>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(0.2)</w:t>
            </w:r>
          </w:p>
        </w:tc>
      </w:tr>
      <w:tr>
        <w:trPr>
          <w:trHeight w:val="196"/>
        </w:trPr>
        <w:tc>
          <w:tcPr>
            <w:tcW w:w="66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expense</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480" w:type="dxa"/>
            <w:vAlign w:val="bottom"/>
            <w:tcBorders>
              <w:bottom w:val="single" w:sz="8" w:color="CCEEFF"/>
            </w:tcBorders>
          </w:tcPr>
          <w:p>
            <w:pPr>
              <w:spacing w:after="0"/>
              <w:rPr>
                <w:sz w:val="17"/>
                <w:szCs w:val="17"/>
                <w:color w:val="auto"/>
              </w:rPr>
            </w:pPr>
          </w:p>
        </w:tc>
      </w:tr>
      <w:tr>
        <w:trPr>
          <w:trHeight w:val="19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480" w:type="dxa"/>
            <w:vAlign w:val="bottom"/>
            <w:shd w:val="clear" w:color="auto" w:fill="CCEEFF"/>
          </w:tcPr>
          <w:p>
            <w:pPr>
              <w:spacing w:after="0"/>
              <w:rPr>
                <w:sz w:val="17"/>
                <w:szCs w:val="17"/>
                <w:color w:val="auto"/>
              </w:rPr>
            </w:pPr>
          </w:p>
        </w:tc>
      </w:tr>
      <w:tr>
        <w:trPr>
          <w:trHeight w:val="21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480" w:type="dxa"/>
            <w:vAlign w:val="bottom"/>
            <w:tcBorders>
              <w:bottom w:val="single" w:sz="8" w:color="CCEEFF"/>
            </w:tcBorders>
          </w:tcPr>
          <w:p>
            <w:pPr>
              <w:spacing w:after="0"/>
              <w:rPr>
                <w:sz w:val="18"/>
                <w:szCs w:val="18"/>
                <w:color w:val="auto"/>
              </w:rPr>
            </w:pPr>
          </w:p>
        </w:tc>
      </w:tr>
      <w:tr>
        <w:trPr>
          <w:trHeight w:val="206"/>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4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4"/>
              </w:rPr>
              <w:t>%</w:t>
            </w: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product and services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Period-to-Period</w:t>
            </w:r>
          </w:p>
        </w:tc>
      </w:tr>
      <w:tr>
        <w:trPr>
          <w:trHeight w:val="171"/>
        </w:trPr>
        <w:tc>
          <w:tcPr>
            <w:tcW w:w="5820" w:type="dxa"/>
            <w:vAlign w:val="bottom"/>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left="184"/>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70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3"/>
        </w:trPr>
        <w:tc>
          <w:tcPr>
            <w:tcW w:w="5820" w:type="dxa"/>
            <w:vAlign w:val="bottom"/>
          </w:tcPr>
          <w:p>
            <w:pPr>
              <w:ind w:left="240"/>
              <w:spacing w:after="0"/>
              <w:rPr>
                <w:sz w:val="20"/>
                <w:szCs w:val="20"/>
                <w:color w:val="auto"/>
              </w:rPr>
            </w:pPr>
            <w:r>
              <w:rPr>
                <w:rFonts w:ascii="Arial" w:cs="Arial" w:eastAsia="Arial" w:hAnsi="Arial"/>
                <w:sz w:val="16"/>
                <w:szCs w:val="16"/>
                <w:color w:val="auto"/>
              </w:rPr>
              <w:t>Product</w:t>
            </w:r>
          </w:p>
        </w:tc>
        <w:tc>
          <w:tcPr>
            <w:tcW w:w="700" w:type="dxa"/>
            <w:vAlign w:val="bottom"/>
          </w:tcPr>
          <w:p>
            <w:pPr>
              <w:jc w:val="right"/>
              <w:spacing w:after="0"/>
              <w:rPr>
                <w:sz w:val="20"/>
                <w:szCs w:val="20"/>
                <w:color w:val="auto"/>
              </w:rPr>
            </w:pPr>
            <w:r>
              <w:rPr>
                <w:rFonts w:ascii="Arial" w:cs="Arial" w:eastAsia="Arial" w:hAnsi="Arial"/>
                <w:sz w:val="16"/>
                <w:szCs w:val="16"/>
                <w:color w:val="auto"/>
                <w:w w:val="89"/>
              </w:rPr>
              <w:t>$ 112,133</w:t>
            </w:r>
          </w:p>
        </w:tc>
        <w:tc>
          <w:tcPr>
            <w:tcW w:w="22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89"/>
              </w:rPr>
              <w:t>84,197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27,936</w:t>
            </w:r>
          </w:p>
        </w:tc>
        <w:tc>
          <w:tcPr>
            <w:tcW w:w="2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i w:val="1"/>
                <w:iCs w:val="1"/>
                <w:color w:val="auto"/>
                <w:w w:val="96"/>
              </w:rPr>
              <w:t>33.2 %</w:t>
            </w:r>
          </w:p>
        </w:tc>
      </w:tr>
      <w:tr>
        <w:trPr>
          <w:trHeight w:val="219"/>
        </w:trPr>
        <w:tc>
          <w:tcPr>
            <w:tcW w:w="5820" w:type="dxa"/>
            <w:vAlign w:val="bottom"/>
            <w:shd w:val="clear" w:color="auto" w:fill="CCEEFF"/>
          </w:tcPr>
          <w:p>
            <w:pPr>
              <w:ind w:left="340"/>
              <w:spacing w:after="0"/>
              <w:rPr>
                <w:sz w:val="20"/>
                <w:szCs w:val="20"/>
                <w:color w:val="auto"/>
              </w:rPr>
            </w:pPr>
            <w:r>
              <w:rPr>
                <w:rFonts w:ascii="Arial" w:cs="Arial" w:eastAsia="Arial" w:hAnsi="Arial"/>
                <w:sz w:val="16"/>
                <w:szCs w:val="16"/>
                <w:i w:val="1"/>
                <w:iCs w:val="1"/>
                <w:color w:val="auto"/>
              </w:rPr>
              <w:t>Percentage of revenue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94.2 %</w:t>
            </w:r>
          </w:p>
        </w:tc>
        <w:tc>
          <w:tcPr>
            <w:tcW w:w="2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92.0 %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3"/>
        </w:trPr>
        <w:tc>
          <w:tcPr>
            <w:tcW w:w="5820" w:type="dxa"/>
            <w:vAlign w:val="bottom"/>
          </w:tcPr>
          <w:p>
            <w:pPr>
              <w:ind w:left="240"/>
              <w:spacing w:after="0"/>
              <w:rPr>
                <w:sz w:val="20"/>
                <w:szCs w:val="20"/>
                <w:color w:val="auto"/>
              </w:rPr>
            </w:pPr>
            <w:r>
              <w:rPr>
                <w:rFonts w:ascii="Arial" w:cs="Arial" w:eastAsia="Arial" w:hAnsi="Arial"/>
                <w:sz w:val="16"/>
                <w:szCs w:val="16"/>
                <w:color w:val="auto"/>
              </w:rPr>
              <w:t>Services</w:t>
            </w:r>
          </w:p>
        </w:tc>
        <w:tc>
          <w:tcPr>
            <w:tcW w:w="700" w:type="dxa"/>
            <w:vAlign w:val="bottom"/>
          </w:tcPr>
          <w:p>
            <w:pPr>
              <w:jc w:val="right"/>
              <w:spacing w:after="0"/>
              <w:rPr>
                <w:sz w:val="20"/>
                <w:szCs w:val="20"/>
                <w:color w:val="auto"/>
              </w:rPr>
            </w:pPr>
            <w:r>
              <w:rPr>
                <w:rFonts w:ascii="Arial" w:cs="Arial" w:eastAsia="Arial" w:hAnsi="Arial"/>
                <w:sz w:val="16"/>
                <w:szCs w:val="16"/>
                <w:color w:val="auto"/>
              </w:rPr>
              <w:t>6,858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7,280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(422)</w:t>
            </w:r>
          </w:p>
        </w:tc>
        <w:tc>
          <w:tcPr>
            <w:tcW w:w="680" w:type="dxa"/>
            <w:vAlign w:val="bottom"/>
            <w:gridSpan w:val="3"/>
          </w:tcPr>
          <w:p>
            <w:pPr>
              <w:jc w:val="right"/>
              <w:ind w:right="180"/>
              <w:spacing w:after="0"/>
              <w:rPr>
                <w:sz w:val="20"/>
                <w:szCs w:val="20"/>
                <w:color w:val="auto"/>
              </w:rPr>
            </w:pPr>
            <w:r>
              <w:rPr>
                <w:rFonts w:ascii="Arial" w:cs="Arial" w:eastAsia="Arial" w:hAnsi="Arial"/>
                <w:sz w:val="16"/>
                <w:szCs w:val="16"/>
                <w:i w:val="1"/>
                <w:iCs w:val="1"/>
                <w:color w:val="auto"/>
              </w:rPr>
              <w:t>(5.8)%</w:t>
            </w:r>
          </w:p>
        </w:tc>
      </w:tr>
      <w:tr>
        <w:trPr>
          <w:trHeight w:val="219"/>
        </w:trPr>
        <w:tc>
          <w:tcPr>
            <w:tcW w:w="5820" w:type="dxa"/>
            <w:vAlign w:val="bottom"/>
            <w:shd w:val="clear" w:color="auto" w:fill="CCEEFF"/>
          </w:tcPr>
          <w:p>
            <w:pPr>
              <w:ind w:left="340"/>
              <w:spacing w:after="0"/>
              <w:rPr>
                <w:sz w:val="20"/>
                <w:szCs w:val="20"/>
                <w:color w:val="auto"/>
              </w:rPr>
            </w:pPr>
            <w:r>
              <w:rPr>
                <w:rFonts w:ascii="Arial" w:cs="Arial" w:eastAsia="Arial" w:hAnsi="Arial"/>
                <w:sz w:val="16"/>
                <w:szCs w:val="16"/>
                <w:i w:val="1"/>
                <w:iCs w:val="1"/>
                <w:color w:val="auto"/>
              </w:rPr>
              <w:t>Percentage of revenue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5.8 %</w:t>
            </w:r>
          </w:p>
        </w:tc>
        <w:tc>
          <w:tcPr>
            <w:tcW w:w="2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8.0 %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03"/>
        </w:trPr>
        <w:tc>
          <w:tcPr>
            <w:tcW w:w="5820" w:type="dxa"/>
            <w:vAlign w:val="bottom"/>
          </w:tcPr>
          <w:p>
            <w:pPr>
              <w:ind w:left="340"/>
              <w:spacing w:after="0"/>
              <w:rPr>
                <w:sz w:val="20"/>
                <w:szCs w:val="20"/>
                <w:color w:val="auto"/>
              </w:rPr>
            </w:pPr>
            <w:r>
              <w:rPr>
                <w:rFonts w:ascii="Arial" w:cs="Arial" w:eastAsia="Arial" w:hAnsi="Arial"/>
                <w:sz w:val="16"/>
                <w:szCs w:val="16"/>
                <w:color w:val="auto"/>
              </w:rPr>
              <w:t>Total revenue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$ 118,991</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91,477</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27,514</w:t>
            </w:r>
          </w:p>
        </w:tc>
        <w:tc>
          <w:tcPr>
            <w:tcW w:w="20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i w:val="1"/>
                <w:iCs w:val="1"/>
                <w:color w:val="auto"/>
                <w:w w:val="96"/>
              </w:rPr>
              <w:t xml:space="preserve">30.1 </w:t>
            </w:r>
            <w:r>
              <w:rPr>
                <w:rFonts w:ascii="Arial" w:cs="Arial" w:eastAsia="Arial" w:hAnsi="Arial"/>
                <w:sz w:val="16"/>
                <w:szCs w:val="16"/>
                <w:color w:val="auto"/>
                <w:w w:val="96"/>
              </w:rPr>
              <w:t>%</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Three months ended March 31, 2020 Compared with Three months ended March 31, 2019</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Product revenue, which includes systems sales, sales of spare parts, product upgrades and used systems was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$112.1 million, or 94.2% of revenue during the three months ended March 31, 2020, compared with $84.2 million, or 92.0%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revenue for the three months ended March 31, 2019. The $27.9 million increase in product revenue for the three</w:t>
      </w:r>
    </w:p>
    <w:p>
      <w:pPr>
        <w:spacing w:after="0" w:line="200" w:lineRule="exact"/>
        <w:rPr>
          <w:sz w:val="20"/>
          <w:szCs w:val="20"/>
          <w:color w:val="auto"/>
        </w:rPr>
      </w:pPr>
    </w:p>
    <w:p>
      <w:pPr>
        <w:spacing w:after="0" w:line="22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280"/>
          </w:cols>
          <w:pgMar w:left="1360" w:top="125" w:right="125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month period ending March 31, 2020, in comparison to the same period in 2019, was primarily driven by an increase in the number of systems sold.</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 portion of our revenue from systems sales is deferred until installation and other services related to future performance obligations are performed. The total amount of deferred revenue at March 31, 2020 and December 31, 2019 was $34.1 million and $29.3 million, respectively. The net increase in deferred revenue was primarily due to collection of advance payments on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Services revenue, which includes the labor component of maintenance and service contracts and fees for service hours provided by on-site service personnel, was $6.9 million, or 5.8% of revenue for the three months ended March 31, 2020, compared with $7.3 million, or 8.0% of revenue for the three months ended March 31, 2019.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Categories used by Management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to the line item revenue categories discussed above, management also regularly disaggregates revenue in the following categories, which it finds relevant and useful:</w:t>
      </w:r>
    </w:p>
    <w:p>
      <w:pPr>
        <w:spacing w:after="0" w:line="170" w:lineRule="exact"/>
        <w:rPr>
          <w:sz w:val="20"/>
          <w:szCs w:val="20"/>
          <w:color w:val="auto"/>
        </w:rPr>
      </w:pPr>
    </w:p>
    <w:p>
      <w:pPr>
        <w:ind w:left="1300" w:right="840" w:hanging="334"/>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Ion implant revenue separate from revenue from legacy non-implant product lines, given that ion implantation systems are the primary driver of our growth and strategic objectives;</w:t>
      </w:r>
    </w:p>
    <w:p>
      <w:pPr>
        <w:spacing w:after="0" w:line="146" w:lineRule="exact"/>
        <w:rPr>
          <w:rFonts w:ascii="Arial" w:cs="Arial" w:eastAsia="Arial" w:hAnsi="Arial"/>
          <w:sz w:val="17"/>
          <w:szCs w:val="17"/>
          <w:color w:val="auto"/>
        </w:rPr>
      </w:pPr>
    </w:p>
    <w:p>
      <w:pPr>
        <w:ind w:left="1300" w:hanging="33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Systems and Aftermarket revenues, in which “Aftermarket” is</w:t>
      </w:r>
    </w:p>
    <w:p>
      <w:pPr>
        <w:spacing w:after="0" w:line="23" w:lineRule="exact"/>
        <w:rPr>
          <w:rFonts w:ascii="Arial" w:cs="Arial" w:eastAsia="Arial" w:hAnsi="Arial"/>
          <w:sz w:val="18"/>
          <w:szCs w:val="18"/>
          <w:color w:val="auto"/>
        </w:rPr>
      </w:pPr>
    </w:p>
    <w:p>
      <w:pPr>
        <w:ind w:left="1940" w:hanging="326"/>
        <w:spacing w:after="0" w:line="250" w:lineRule="auto"/>
        <w:tabs>
          <w:tab w:leader="none" w:pos="1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portion of Product revenue relating to spare parts, product upgrades and used systems combined with</w:t>
      </w:r>
    </w:p>
    <w:p>
      <w:pPr>
        <w:ind w:left="1940" w:hanging="326"/>
        <w:spacing w:after="0"/>
        <w:tabs>
          <w:tab w:leader="none" w:pos="1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Services revenue, which is the labor component of Aftermarket revenues;</w:t>
      </w:r>
    </w:p>
    <w:p>
      <w:pPr>
        <w:spacing w:after="0" w:line="211"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Aftermarket purchases reflect current fab utilization as opposed to Systems purchases which reflect capital investment decisions by our customers, which have differing economic drivers;</w:t>
      </w:r>
    </w:p>
    <w:p>
      <w:pPr>
        <w:spacing w:after="0" w:line="170" w:lineRule="exact"/>
        <w:rPr>
          <w:sz w:val="20"/>
          <w:szCs w:val="20"/>
          <w:color w:val="auto"/>
        </w:rPr>
      </w:pPr>
    </w:p>
    <w:p>
      <w:pPr>
        <w:ind w:left="1300" w:right="80" w:hanging="33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by geographic regions, since economic factors impacting customer purchasing decisions may vary by geographic region; and</w:t>
      </w:r>
    </w:p>
    <w:p>
      <w:pPr>
        <w:spacing w:after="0" w:line="170" w:lineRule="exact"/>
        <w:rPr>
          <w:rFonts w:ascii="Arial" w:cs="Arial" w:eastAsia="Arial" w:hAnsi="Arial"/>
          <w:sz w:val="18"/>
          <w:szCs w:val="18"/>
          <w:color w:val="auto"/>
        </w:rPr>
      </w:pPr>
    </w:p>
    <w:p>
      <w:pPr>
        <w:ind w:left="1300" w:right="360" w:hanging="334"/>
        <w:spacing w:after="0" w:line="279"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technology processes and leading edge foundry and logic.</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ion implant and Aftermarket revenue categories for recent periods are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2020 Compared with Three months ended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Ion Implant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Included in total revenue of $119.0 million during the three months ended March 31, 2020 is revenue from sales of ion implant products and services of $115.0 million, or 96.7% of total revenue, compared with $87.0 million, or 95.1%, of total revenue for the three months ended March 31, 2019. The remaining $4.0 million of revenue for the three months ended March 31, 2020 was non-ion implant parts and services.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Aftermarket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Included in total revenue of $119.0 million during the three months ended March 31, 2020 is revenue from our Aftermarket business of $36.7 million, compared to $34.4 million for the three months ended March 31, 2019. The remaining $82.3 million of revenue for the three months ended March 31, 2020 was from system sales.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tools.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 Gross Margin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gross profit /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center"/>
              <w:ind w:left="442"/>
              <w:spacing w:after="0"/>
              <w:rPr>
                <w:sz w:val="20"/>
                <w:szCs w:val="20"/>
                <w:color w:val="auto"/>
              </w:rPr>
            </w:pPr>
            <w:r>
              <w:rPr>
                <w:rFonts w:ascii="Arial" w:cs="Arial" w:eastAsia="Arial" w:hAnsi="Arial"/>
                <w:sz w:val="14"/>
                <w:szCs w:val="14"/>
                <w:b w:val="1"/>
                <w:bCs w:val="1"/>
                <w:color w:val="auto"/>
                <w:w w:val="91"/>
              </w:rPr>
              <w:t>Three months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Period-to-Period</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left="482"/>
              <w:spacing w:after="0"/>
              <w:rPr>
                <w:sz w:val="20"/>
                <w:szCs w:val="20"/>
                <w:color w:val="auto"/>
              </w:rPr>
            </w:pPr>
            <w:r>
              <w:rPr>
                <w:rFonts w:ascii="Arial" w:cs="Arial" w:eastAsia="Arial" w:hAnsi="Arial"/>
                <w:sz w:val="14"/>
                <w:szCs w:val="14"/>
                <w:b w:val="1"/>
                <w:bCs w:val="1"/>
                <w:color w:val="auto"/>
                <w:w w:val="95"/>
              </w:rPr>
              <w:t>March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Change</w:t>
            </w:r>
          </w:p>
        </w:tc>
        <w:tc>
          <w:tcPr>
            <w:tcW w:w="6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1"/>
              <w:spacing w:after="0" w:line="142" w:lineRule="exact"/>
              <w:rPr>
                <w:sz w:val="20"/>
                <w:szCs w:val="20"/>
                <w:color w:val="auto"/>
              </w:rPr>
            </w:pPr>
            <w:r>
              <w:rPr>
                <w:rFonts w:ascii="Arial" w:cs="Arial" w:eastAsia="Arial" w:hAnsi="Arial"/>
                <w:sz w:val="14"/>
                <w:szCs w:val="14"/>
                <w:b w:val="1"/>
                <w:bCs w:val="1"/>
                <w:color w:val="auto"/>
                <w:w w:val="96"/>
              </w:rPr>
              <w:t>2019</w:t>
            </w:r>
          </w:p>
        </w:tc>
        <w:tc>
          <w:tcPr>
            <w:tcW w:w="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01"/>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260" w:type="dxa"/>
            <w:vAlign w:val="bottom"/>
            <w:gridSpan w:val="2"/>
            <w:vMerge w:val="continue"/>
          </w:tcPr>
          <w:p>
            <w:pPr>
              <w:spacing w:after="0"/>
              <w:rPr>
                <w:sz w:val="11"/>
                <w:szCs w:val="11"/>
                <w:color w:val="auto"/>
              </w:rPr>
            </w:pPr>
          </w:p>
        </w:tc>
        <w:tc>
          <w:tcPr>
            <w:tcW w:w="680" w:type="dxa"/>
            <w:vAlign w:val="bottom"/>
          </w:tcPr>
          <w:p>
            <w:pPr>
              <w:jc w:val="right"/>
              <w:ind w:right="47"/>
              <w:spacing w:after="0" w:line="129" w:lineRule="exact"/>
              <w:rPr>
                <w:sz w:val="20"/>
                <w:szCs w:val="20"/>
                <w:color w:val="auto"/>
              </w:rPr>
            </w:pPr>
            <w:r>
              <w:rPr>
                <w:rFonts w:ascii="Arial" w:cs="Arial" w:eastAsia="Arial" w:hAnsi="Arial"/>
                <w:sz w:val="14"/>
                <w:szCs w:val="14"/>
                <w:b w:val="1"/>
                <w:bCs w:val="1"/>
                <w:color w:val="auto"/>
                <w:w w:val="71"/>
              </w:rPr>
              <w:t>thousands)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220"/>
              <w:spacing w:after="0"/>
              <w:rPr>
                <w:sz w:val="20"/>
                <w:szCs w:val="20"/>
                <w:color w:val="auto"/>
              </w:rPr>
            </w:pPr>
            <w:r>
              <w:rPr>
                <w:rFonts w:ascii="Arial" w:cs="Arial" w:eastAsia="Arial" w:hAnsi="Arial"/>
                <w:sz w:val="16"/>
                <w:szCs w:val="16"/>
                <w:color w:val="auto"/>
              </w:rPr>
              <w:t>Product</w:t>
            </w:r>
          </w:p>
        </w:tc>
        <w:tc>
          <w:tcPr>
            <w:tcW w:w="9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44,961</w:t>
            </w:r>
          </w:p>
        </w:tc>
        <w:tc>
          <w:tcPr>
            <w:tcW w:w="180" w:type="dxa"/>
            <w:vAlign w:val="bottom"/>
          </w:tcPr>
          <w:p>
            <w:pPr>
              <w:spacing w:after="0"/>
              <w:rPr>
                <w:sz w:val="18"/>
                <w:szCs w:val="18"/>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36,859</w:t>
            </w:r>
          </w:p>
        </w:tc>
        <w:tc>
          <w:tcPr>
            <w:tcW w:w="200" w:type="dxa"/>
            <w:vAlign w:val="bottom"/>
          </w:tcPr>
          <w:p>
            <w:pPr>
              <w:spacing w:after="0"/>
              <w:rPr>
                <w:sz w:val="18"/>
                <w:szCs w:val="18"/>
                <w:color w:val="auto"/>
              </w:rPr>
            </w:pPr>
          </w:p>
        </w:tc>
        <w:tc>
          <w:tcPr>
            <w:tcW w:w="740" w:type="dxa"/>
            <w:vAlign w:val="bottom"/>
            <w:gridSpan w:val="2"/>
          </w:tcPr>
          <w:p>
            <w:pPr>
              <w:jc w:val="right"/>
              <w:ind w:right="527"/>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8,102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i w:val="1"/>
                <w:iCs w:val="1"/>
                <w:color w:val="auto"/>
              </w:rPr>
              <w:t xml:space="preserve">22.0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Product gross margin</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40.1 %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i w:val="1"/>
                <w:iCs w:val="1"/>
                <w:color w:val="auto"/>
              </w:rPr>
              <w:t>43.8 %</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(9.1)</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500" w:type="dxa"/>
            <w:vAlign w:val="bottom"/>
          </w:tcPr>
          <w:p>
            <w:pPr>
              <w:ind w:left="320"/>
              <w:spacing w:after="0"/>
              <w:rPr>
                <w:sz w:val="20"/>
                <w:szCs w:val="20"/>
                <w:color w:val="auto"/>
              </w:rPr>
            </w:pPr>
            <w:r>
              <w:rPr>
                <w:rFonts w:ascii="Arial" w:cs="Arial" w:eastAsia="Arial" w:hAnsi="Arial"/>
                <w:sz w:val="16"/>
                <w:szCs w:val="16"/>
                <w:i w:val="1"/>
                <w:iCs w:val="1"/>
                <w:color w:val="auto"/>
              </w:rPr>
              <w:t>Services gross margin</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i w:val="1"/>
                <w:iCs w:val="1"/>
                <w:color w:val="auto"/>
              </w:rPr>
              <w:t>8.6 %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4"/>
              <w:spacing w:after="0"/>
              <w:rPr>
                <w:sz w:val="20"/>
                <w:szCs w:val="20"/>
                <w:color w:val="auto"/>
              </w:rPr>
            </w:pPr>
            <w:r>
              <w:rPr>
                <w:rFonts w:ascii="Arial" w:cs="Arial" w:eastAsia="Arial" w:hAnsi="Arial"/>
                <w:sz w:val="16"/>
                <w:szCs w:val="16"/>
                <w:i w:val="1"/>
                <w:iCs w:val="1"/>
                <w:color w:val="auto"/>
              </w:rPr>
              <w:t>8.9 %</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gross profit</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45,549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37,506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 xml:space="preserve">21.4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500" w:type="dxa"/>
            <w:vAlign w:val="bottom"/>
          </w:tcPr>
          <w:p>
            <w:pPr>
              <w:ind w:left="420"/>
              <w:spacing w:after="0"/>
              <w:rPr>
                <w:sz w:val="20"/>
                <w:szCs w:val="20"/>
                <w:color w:val="auto"/>
              </w:rPr>
            </w:pPr>
            <w:r>
              <w:rPr>
                <w:rFonts w:ascii="Arial" w:cs="Arial" w:eastAsia="Arial" w:hAnsi="Arial"/>
                <w:sz w:val="16"/>
                <w:szCs w:val="16"/>
                <w:color w:val="auto"/>
              </w:rPr>
              <w:t>Gross margin</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38.2</w:t>
            </w:r>
          </w:p>
        </w:tc>
        <w:tc>
          <w:tcPr>
            <w:tcW w:w="180" w:type="dxa"/>
            <w:vAlign w:val="bottom"/>
          </w:tcPr>
          <w:p>
            <w:pPr>
              <w:jc w:val="right"/>
              <w:spacing w:after="0"/>
              <w:rPr>
                <w:sz w:val="20"/>
                <w:szCs w:val="20"/>
                <w:color w:val="auto"/>
              </w:rPr>
            </w:pPr>
            <w:r>
              <w:rPr>
                <w:rFonts w:ascii="Arial" w:cs="Arial" w:eastAsia="Arial" w:hAnsi="Arial"/>
                <w:sz w:val="15"/>
                <w:szCs w:val="15"/>
                <w:i w:val="1"/>
                <w:iCs w:val="1"/>
                <w:color w:val="auto"/>
                <w:w w:val="74"/>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41.0</w:t>
            </w:r>
          </w:p>
        </w:tc>
        <w:tc>
          <w:tcPr>
            <w:tcW w:w="200" w:type="dxa"/>
            <w:vAlign w:val="bottom"/>
          </w:tcPr>
          <w:p>
            <w:pPr>
              <w:spacing w:after="0"/>
              <w:rPr>
                <w:sz w:val="20"/>
                <w:szCs w:val="20"/>
                <w:color w:val="auto"/>
              </w:rPr>
            </w:pPr>
            <w:r>
              <w:rPr>
                <w:rFonts w:ascii="Arial" w:cs="Arial" w:eastAsia="Arial" w:hAnsi="Arial"/>
                <w:sz w:val="16"/>
                <w:szCs w:val="16"/>
                <w:i w:val="1"/>
                <w:iCs w:val="1"/>
                <w:color w:val="auto"/>
              </w:rPr>
              <w:t>%</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2020 Compared with Three months ended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Gross margin from product revenue was 40.1% for the three months ended March 31, 2020, compared to 43.8% for the three months ended March 31, 2019. The decrease in gross margin resulted from the successful conversion of three evaluation systems into sales during the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Gross margin from services revenue was 8.6% for the three months ended March 31, 2020, compared to 8.9% for the three months ended March 31, 2019. The decrease in gross margin is attributable to changes in the mix of service contracts.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2" w:name="page23"/>
    <w:bookmarkEnd w:id="22"/>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w w:val="92"/>
              </w:rPr>
              <w:t>Period-to-Period</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4"/>
                <w:szCs w:val="14"/>
                <w:b w:val="1"/>
                <w:bCs w:val="1"/>
                <w:color w:val="auto"/>
                <w:w w:val="89"/>
              </w:rPr>
              <w:t>Change</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36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r>
      <w:tr>
        <w:trPr>
          <w:trHeight w:val="142"/>
        </w:trPr>
        <w:tc>
          <w:tcPr>
            <w:tcW w:w="3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60" w:type="dxa"/>
            <w:vAlign w:val="bottom"/>
            <w:gridSpan w:val="5"/>
          </w:tcPr>
          <w:p>
            <w:pPr>
              <w:ind w:left="1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8"/>
        </w:trPr>
        <w:tc>
          <w:tcPr>
            <w:tcW w:w="3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Research and development</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14,606</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13,685</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w:t>
            </w:r>
          </w:p>
        </w:tc>
        <w:tc>
          <w:tcPr>
            <w:tcW w:w="6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 xml:space="preserve">6.7 </w:t>
            </w: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r>
      <w:tr>
        <w:trPr>
          <w:trHeight w:val="148"/>
        </w:trPr>
        <w:tc>
          <w:tcPr>
            <w:tcW w:w="362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24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Arial" w:cs="Arial" w:eastAsia="Arial" w:hAnsi="Arial"/>
                <w:sz w:val="14"/>
                <w:szCs w:val="14"/>
                <w:i w:val="1"/>
                <w:iCs w:val="1"/>
                <w:color w:val="auto"/>
              </w:rPr>
              <w:t>12.3 %</w:t>
            </w:r>
          </w:p>
        </w:tc>
        <w:tc>
          <w:tcPr>
            <w:tcW w:w="54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i w:val="1"/>
                <w:iCs w:val="1"/>
                <w:color w:val="auto"/>
              </w:rPr>
              <w:t>15.0 %</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9"/>
        </w:trPr>
        <w:tc>
          <w:tcPr>
            <w:tcW w:w="3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Sales and marketing</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8,204</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8,918</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(714)</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(8.0)</w:t>
            </w: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r>
      <w:tr>
        <w:trPr>
          <w:trHeight w:val="148"/>
        </w:trPr>
        <w:tc>
          <w:tcPr>
            <w:tcW w:w="362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24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Arial" w:cs="Arial" w:eastAsia="Arial" w:hAnsi="Arial"/>
                <w:sz w:val="14"/>
                <w:szCs w:val="14"/>
                <w:i w:val="1"/>
                <w:iCs w:val="1"/>
                <w:color w:val="auto"/>
              </w:rPr>
              <w:t>6.9 %</w:t>
            </w:r>
          </w:p>
        </w:tc>
        <w:tc>
          <w:tcPr>
            <w:tcW w:w="54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i w:val="1"/>
                <w:iCs w:val="1"/>
                <w:color w:val="auto"/>
              </w:rPr>
              <w:t>9.7 %</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8"/>
        </w:trPr>
        <w:tc>
          <w:tcPr>
            <w:tcW w:w="3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General and administrative</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9,036</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7,807</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1,229</w:t>
            </w:r>
          </w:p>
        </w:tc>
        <w:tc>
          <w:tcPr>
            <w:tcW w:w="6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 xml:space="preserve">15.7 </w:t>
            </w: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r>
      <w:tr>
        <w:trPr>
          <w:trHeight w:val="148"/>
        </w:trPr>
        <w:tc>
          <w:tcPr>
            <w:tcW w:w="362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24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Arial" w:cs="Arial" w:eastAsia="Arial" w:hAnsi="Arial"/>
                <w:sz w:val="14"/>
                <w:szCs w:val="14"/>
                <w:i w:val="1"/>
                <w:iCs w:val="1"/>
                <w:color w:val="auto"/>
              </w:rPr>
              <w:t>7.6 %</w:t>
            </w:r>
          </w:p>
        </w:tc>
        <w:tc>
          <w:tcPr>
            <w:tcW w:w="54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i w:val="1"/>
                <w:iCs w:val="1"/>
                <w:color w:val="auto"/>
              </w:rPr>
              <w:t>8.5 %</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62"/>
        </w:trPr>
        <w:tc>
          <w:tcPr>
            <w:tcW w:w="36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Total operating expenses</w:t>
            </w: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31,846</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388"/>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30,410</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1,436</w:t>
            </w: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i w:val="1"/>
                <w:iCs w:val="1"/>
                <w:color w:val="auto"/>
              </w:rPr>
              <w:t xml:space="preserve">4.7 </w:t>
            </w:r>
            <w:r>
              <w:rPr>
                <w:rFonts w:ascii="Arial" w:cs="Arial" w:eastAsia="Arial" w:hAnsi="Arial"/>
                <w:sz w:val="14"/>
                <w:szCs w:val="14"/>
                <w:color w:val="auto"/>
              </w:rPr>
              <w:t>%</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9"/>
        </w:trPr>
        <w:tc>
          <w:tcPr>
            <w:tcW w:w="3620" w:type="dxa"/>
            <w:vAlign w:val="bottom"/>
          </w:tcPr>
          <w:p>
            <w:pPr>
              <w:ind w:left="340"/>
              <w:spacing w:after="0"/>
              <w:rPr>
                <w:sz w:val="20"/>
                <w:szCs w:val="20"/>
                <w:color w:val="auto"/>
              </w:rPr>
            </w:pPr>
            <w:r>
              <w:rPr>
                <w:rFonts w:ascii="Arial" w:cs="Arial" w:eastAsia="Arial" w:hAnsi="Arial"/>
                <w:sz w:val="14"/>
                <w:szCs w:val="14"/>
                <w:i w:val="1"/>
                <w:iCs w:val="1"/>
                <w:color w:val="auto"/>
              </w:rPr>
              <w:t>Percentage of revenue</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26.8</w:t>
            </w:r>
          </w:p>
        </w:tc>
        <w:tc>
          <w:tcPr>
            <w:tcW w:w="280" w:type="dxa"/>
            <w:vAlign w:val="bottom"/>
          </w:tcPr>
          <w:p>
            <w:pPr>
              <w:jc w:val="right"/>
              <w:ind w:right="88"/>
              <w:spacing w:after="0"/>
              <w:rPr>
                <w:sz w:val="20"/>
                <w:szCs w:val="20"/>
                <w:color w:val="auto"/>
              </w:rPr>
            </w:pPr>
            <w:r>
              <w:rPr>
                <w:rFonts w:ascii="Arial" w:cs="Arial" w:eastAsia="Arial" w:hAnsi="Arial"/>
                <w:sz w:val="14"/>
                <w:szCs w:val="14"/>
                <w:i w:val="1"/>
                <w:iCs w:val="1"/>
                <w:color w:val="auto"/>
                <w:w w:val="79"/>
              </w:rPr>
              <w:t>%</w:t>
            </w:r>
          </w:p>
        </w:tc>
        <w:tc>
          <w:tcPr>
            <w:tcW w:w="5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i w:val="1"/>
                <w:iCs w:val="1"/>
                <w:color w:val="auto"/>
              </w:rPr>
              <w:t>33.2</w:t>
            </w:r>
          </w:p>
        </w:tc>
        <w:tc>
          <w:tcPr>
            <w:tcW w:w="280" w:type="dxa"/>
            <w:vAlign w:val="bottom"/>
          </w:tcPr>
          <w:p>
            <w:pPr>
              <w:jc w:val="right"/>
              <w:ind w:right="88"/>
              <w:spacing w:after="0"/>
              <w:rPr>
                <w:sz w:val="20"/>
                <w:szCs w:val="20"/>
                <w:color w:val="auto"/>
              </w:rPr>
            </w:pPr>
            <w:r>
              <w:rPr>
                <w:rFonts w:ascii="Arial" w:cs="Arial" w:eastAsia="Arial" w:hAnsi="Arial"/>
                <w:sz w:val="14"/>
                <w:szCs w:val="14"/>
                <w:i w:val="1"/>
                <w:iCs w:val="1"/>
                <w:color w:val="auto"/>
                <w:w w:val="79"/>
              </w:rPr>
              <w:t>%</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168" w:lineRule="exact"/>
        <w:rPr>
          <w:sz w:val="20"/>
          <w:szCs w:val="20"/>
          <w:color w:val="auto"/>
        </w:rPr>
      </w:pPr>
    </w:p>
    <w:p>
      <w:pPr>
        <w:jc w:val="both"/>
        <w:ind w:left="20" w:firstLine="648"/>
        <w:spacing w:after="0" w:line="311" w:lineRule="auto"/>
        <w:rPr>
          <w:sz w:val="20"/>
          <w:szCs w:val="20"/>
          <w:color w:val="auto"/>
        </w:rPr>
      </w:pPr>
      <w:r>
        <w:rPr>
          <w:rFonts w:ascii="Arial" w:cs="Arial" w:eastAsia="Arial" w:hAnsi="Arial"/>
          <w:sz w:val="16"/>
          <w:szCs w:val="16"/>
          <w:color w:val="auto"/>
        </w:rPr>
        <w:t>Our operating expenses consist primarily of personnel costs, including salaries, commissions, expected incentive plan payouts, stock-based compensation and related benefits and taxes; project material costs related to the design and development of new products and enhancement of existing products; and professional fees, travel and depreciation expenses.</w:t>
      </w:r>
    </w:p>
    <w:p>
      <w:pPr>
        <w:spacing w:after="0" w:line="149" w:lineRule="exact"/>
        <w:rPr>
          <w:sz w:val="20"/>
          <w:szCs w:val="20"/>
          <w:color w:val="auto"/>
        </w:rPr>
      </w:pPr>
    </w:p>
    <w:p>
      <w:pPr>
        <w:ind w:left="20" w:right="160" w:firstLine="648"/>
        <w:spacing w:after="0" w:line="259" w:lineRule="auto"/>
        <w:rPr>
          <w:sz w:val="20"/>
          <w:szCs w:val="20"/>
          <w:color w:val="auto"/>
        </w:rPr>
      </w:pPr>
      <w:r>
        <w:rPr>
          <w:rFonts w:ascii="Arial" w:cs="Arial" w:eastAsia="Arial" w:hAnsi="Arial"/>
          <w:sz w:val="18"/>
          <w:szCs w:val="18"/>
          <w:color w:val="auto"/>
        </w:rPr>
        <w:t>Personnel costs are our largest expense, representing $19.9 million or 62.6% of our total operating expenses for the three month period ended March 31, 2020, compared to $17.8 million or 58.4% of our total operating expenses for the three month period ended March 31, 2019. The higher personnel costs for the three month periods ended March 31, 2020 is primarily due to higher incentive based pay expense.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Research and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1"/>
              </w:rPr>
              <w:t>Three months ended</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4"/>
          </w:tcPr>
          <w:p>
            <w:pPr>
              <w:ind w:left="80"/>
              <w:spacing w:after="0"/>
              <w:rPr>
                <w:sz w:val="20"/>
                <w:szCs w:val="20"/>
                <w:color w:val="auto"/>
              </w:rPr>
            </w:pPr>
            <w:r>
              <w:rPr>
                <w:rFonts w:ascii="Arial" w:cs="Arial" w:eastAsia="Arial" w:hAnsi="Arial"/>
                <w:sz w:val="14"/>
                <w:szCs w:val="14"/>
                <w:b w:val="1"/>
                <w:bCs w:val="1"/>
                <w:color w:val="auto"/>
              </w:rPr>
              <w:t>Period-to-Period</w:t>
            </w:r>
          </w:p>
        </w:tc>
      </w:tr>
      <w:tr>
        <w:trPr>
          <w:trHeight w:val="171"/>
        </w:trPr>
        <w:tc>
          <w:tcPr>
            <w:tcW w:w="3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4"/>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14,606</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66"/>
              <w:spacing w:after="0"/>
              <w:rPr>
                <w:sz w:val="20"/>
                <w:szCs w:val="20"/>
                <w:color w:val="auto"/>
              </w:rPr>
            </w:pPr>
            <w:r>
              <w:rPr>
                <w:rFonts w:ascii="Arial" w:cs="Arial" w:eastAsia="Arial" w:hAnsi="Arial"/>
                <w:sz w:val="16"/>
                <w:szCs w:val="16"/>
                <w:color w:val="auto"/>
              </w:rPr>
              <w:t>921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 xml:space="preserve">6.7 </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r>
      <w:tr>
        <w:trPr>
          <w:trHeight w:val="210"/>
        </w:trPr>
        <w:tc>
          <w:tcPr>
            <w:tcW w:w="3900" w:type="dxa"/>
            <w:vAlign w:val="bottom"/>
          </w:tcPr>
          <w:p>
            <w:pPr>
              <w:ind w:left="240"/>
              <w:spacing w:after="0"/>
              <w:rPr>
                <w:sz w:val="20"/>
                <w:szCs w:val="20"/>
                <w:color w:val="auto"/>
              </w:rPr>
            </w:pPr>
            <w:r>
              <w:rPr>
                <w:rFonts w:ascii="Arial" w:cs="Arial" w:eastAsia="Arial" w:hAnsi="Arial"/>
                <w:sz w:val="16"/>
                <w:szCs w:val="16"/>
                <w:i w:val="1"/>
                <w:iCs w:val="1"/>
                <w:color w:val="auto"/>
              </w:rPr>
              <w:t>Percentage of revenue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12.3 %</w:t>
            </w: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15.0 %</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8" w:lineRule="exact"/>
        <w:rPr>
          <w:sz w:val="20"/>
          <w:szCs w:val="20"/>
          <w:color w:val="auto"/>
        </w:rPr>
      </w:pPr>
    </w:p>
    <w:p>
      <w:pPr>
        <w:ind w:left="20" w:right="160" w:firstLine="648"/>
        <w:spacing w:after="0" w:line="259" w:lineRule="auto"/>
        <w:rPr>
          <w:sz w:val="20"/>
          <w:szCs w:val="20"/>
          <w:color w:val="auto"/>
        </w:rPr>
      </w:pPr>
      <w:r>
        <w:rPr>
          <w:rFonts w:ascii="Arial" w:cs="Arial" w:eastAsia="Arial" w:hAnsi="Arial"/>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R&amp;D budgets to fund programs that we expect will solve customers’ high value, high impact, ion implantation challenges.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Three months ended March 31, 2020 Compared with Three months ended March 31, 2019</w:t>
      </w:r>
    </w:p>
    <w:p>
      <w:pPr>
        <w:spacing w:after="0" w:line="225" w:lineRule="exact"/>
        <w:rPr>
          <w:sz w:val="20"/>
          <w:szCs w:val="20"/>
          <w:color w:val="auto"/>
        </w:rPr>
      </w:pPr>
    </w:p>
    <w:p>
      <w:pPr>
        <w:jc w:val="both"/>
        <w:ind w:left="20" w:right="20" w:firstLine="648"/>
        <w:spacing w:after="0" w:line="311" w:lineRule="auto"/>
        <w:rPr>
          <w:sz w:val="20"/>
          <w:szCs w:val="20"/>
          <w:color w:val="auto"/>
        </w:rPr>
      </w:pPr>
      <w:r>
        <w:rPr>
          <w:rFonts w:ascii="Arial" w:cs="Arial" w:eastAsia="Arial" w:hAnsi="Arial"/>
          <w:sz w:val="16"/>
          <w:szCs w:val="16"/>
          <w:color w:val="auto"/>
        </w:rPr>
        <w:t>Research and development expense was $14.6 million during the three months ended March 31, 2020, an increase of $0.9 million, or 6.7%, compared with $13.7 million during the three months ended March 31, 2019. The increase is primarily due to higher incentive based pay expense and increased depreciation associated with capital additions.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Sales and Marketing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224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4"/>
              </w:rPr>
              <w:t>Period-to-Period</w:t>
            </w:r>
          </w:p>
        </w:tc>
      </w:tr>
      <w:tr>
        <w:trPr>
          <w:trHeight w:val="171"/>
        </w:trPr>
        <w:tc>
          <w:tcPr>
            <w:tcW w:w="4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left="344"/>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left="286"/>
              <w:spacing w:after="0"/>
              <w:rPr>
                <w:sz w:val="20"/>
                <w:szCs w:val="20"/>
                <w:color w:val="auto"/>
              </w:rPr>
            </w:pPr>
            <w:r>
              <w:rPr>
                <w:rFonts w:ascii="Arial" w:cs="Arial" w:eastAsia="Arial" w:hAnsi="Arial"/>
                <w:sz w:val="14"/>
                <w:szCs w:val="14"/>
                <w:b w:val="1"/>
                <w:bCs w:val="1"/>
                <w:color w:val="auto"/>
                <w:w w:val="93"/>
              </w:rPr>
              <w:t>Change</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4"/>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766"/>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40" w:type="dxa"/>
            <w:vAlign w:val="bottom"/>
            <w:gridSpan w:val="4"/>
          </w:tcPr>
          <w:p>
            <w:pPr>
              <w:jc w:val="right"/>
              <w:ind w:right="586"/>
              <w:spacing w:after="0" w:line="142" w:lineRule="exact"/>
              <w:rPr>
                <w:sz w:val="20"/>
                <w:szCs w:val="20"/>
                <w:color w:val="auto"/>
              </w:rPr>
            </w:pPr>
            <w:r>
              <w:rPr>
                <w:rFonts w:ascii="Arial" w:cs="Arial" w:eastAsia="Arial" w:hAnsi="Arial"/>
                <w:sz w:val="14"/>
                <w:szCs w:val="14"/>
                <w:b w:val="1"/>
                <w:bCs w:val="1"/>
                <w:color w:val="auto"/>
                <w:w w:val="99"/>
              </w:rPr>
              <w:t>(dollars in thousands)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8,204</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86"/>
              <w:spacing w:after="0"/>
              <w:rPr>
                <w:sz w:val="20"/>
                <w:szCs w:val="20"/>
                <w:color w:val="auto"/>
              </w:rPr>
            </w:pPr>
            <w:r>
              <w:rPr>
                <w:rFonts w:ascii="Arial" w:cs="Arial" w:eastAsia="Arial" w:hAnsi="Arial"/>
                <w:sz w:val="16"/>
                <w:szCs w:val="16"/>
                <w:color w:val="auto"/>
              </w:rPr>
              <w:t>(714)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(8.0)</w:t>
            </w: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r>
      <w:tr>
        <w:trPr>
          <w:trHeight w:val="210"/>
        </w:trPr>
        <w:tc>
          <w:tcPr>
            <w:tcW w:w="4460" w:type="dxa"/>
            <w:vAlign w:val="bottom"/>
          </w:tcPr>
          <w:p>
            <w:pPr>
              <w:ind w:left="240"/>
              <w:spacing w:after="0"/>
              <w:rPr>
                <w:sz w:val="20"/>
                <w:szCs w:val="20"/>
                <w:color w:val="auto"/>
              </w:rPr>
            </w:pPr>
            <w:r>
              <w:rPr>
                <w:rFonts w:ascii="Arial" w:cs="Arial" w:eastAsia="Arial" w:hAnsi="Arial"/>
                <w:sz w:val="16"/>
                <w:szCs w:val="16"/>
                <w:i w:val="1"/>
                <w:iCs w:val="1"/>
                <w:color w:val="auto"/>
              </w:rPr>
              <w:t>Percentage of revenue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6.9 %</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9.7 %</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r>
    </w:tbl>
    <w:p>
      <w:pPr>
        <w:spacing w:after="0" w:line="208" w:lineRule="exact"/>
        <w:rPr>
          <w:sz w:val="20"/>
          <w:szCs w:val="20"/>
          <w:color w:val="auto"/>
        </w:rPr>
      </w:pPr>
    </w:p>
    <w:p>
      <w:pPr>
        <w:ind w:left="20" w:right="320" w:firstLine="648"/>
        <w:spacing w:after="0" w:line="277" w:lineRule="auto"/>
        <w:rPr>
          <w:sz w:val="20"/>
          <w:szCs w:val="20"/>
          <w:color w:val="auto"/>
        </w:rPr>
      </w:pPr>
      <w:r>
        <w:rPr>
          <w:rFonts w:ascii="Arial" w:cs="Arial" w:eastAsia="Arial" w:hAnsi="Arial"/>
          <w:sz w:val="18"/>
          <w:szCs w:val="18"/>
          <w:color w:val="auto"/>
        </w:rPr>
        <w:t>Our sales and marketing expenses result primarily from the sale of our equipment and services through our direct sales force.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40"/>
          </w:cols>
          <w:pgMar w:left="1360" w:top="125" w:right="1399" w:bottom="1440" w:gutter="0" w:footer="0" w:header="0"/>
        </w:sectPr>
      </w:pPr>
    </w:p>
    <w:bookmarkStart w:id="23" w:name="page24"/>
    <w:bookmarkEnd w:id="23"/>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Three months ended March 31, 2020 Compared with Three months ended March 31, 2019</w:t>
      </w:r>
    </w:p>
    <w:p>
      <w:pPr>
        <w:spacing w:after="0" w:line="225" w:lineRule="exact"/>
        <w:rPr>
          <w:sz w:val="20"/>
          <w:szCs w:val="20"/>
          <w:color w:val="auto"/>
        </w:rPr>
      </w:pPr>
    </w:p>
    <w:p>
      <w:pPr>
        <w:ind w:left="20" w:firstLine="648"/>
        <w:spacing w:after="0" w:line="263" w:lineRule="auto"/>
        <w:rPr>
          <w:sz w:val="20"/>
          <w:szCs w:val="20"/>
          <w:color w:val="auto"/>
        </w:rPr>
      </w:pPr>
      <w:r>
        <w:rPr>
          <w:rFonts w:ascii="Arial" w:cs="Arial" w:eastAsia="Arial" w:hAnsi="Arial"/>
          <w:sz w:val="18"/>
          <w:szCs w:val="18"/>
          <w:color w:val="auto"/>
        </w:rPr>
        <w:t>Sales and marketing expense was $8.2 million during the three months ended March 31, 2020, a decrease of $0.7 million, or 8.0%, compared with $8.9 million during the three months ended March 31, 2019. The decrease is primarily due to reduced tariffs.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General and Administrative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1"/>
              </w:rPr>
              <w:t>Three months ended</w:t>
            </w:r>
          </w:p>
        </w:tc>
        <w:tc>
          <w:tcPr>
            <w:tcW w:w="220" w:type="dxa"/>
            <w:vAlign w:val="bottom"/>
          </w:tcPr>
          <w:p>
            <w:pPr>
              <w:spacing w:after="0"/>
              <w:rPr>
                <w:sz w:val="14"/>
                <w:szCs w:val="14"/>
                <w:color w:val="auto"/>
              </w:rPr>
            </w:pPr>
          </w:p>
        </w:tc>
        <w:tc>
          <w:tcPr>
            <w:tcW w:w="224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4"/>
              </w:rPr>
              <w:t>Period-to-Period</w:t>
            </w:r>
          </w:p>
        </w:tc>
      </w:tr>
      <w:tr>
        <w:trPr>
          <w:trHeight w:val="171"/>
        </w:trPr>
        <w:tc>
          <w:tcPr>
            <w:tcW w:w="4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99"/>
              </w:rPr>
              <w:t>March 31,</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306"/>
              <w:spacing w:after="0"/>
              <w:rPr>
                <w:sz w:val="20"/>
                <w:szCs w:val="20"/>
                <w:color w:val="auto"/>
              </w:rPr>
            </w:pPr>
            <w:r>
              <w:rPr>
                <w:rFonts w:ascii="Arial" w:cs="Arial" w:eastAsia="Arial" w:hAnsi="Arial"/>
                <w:sz w:val="14"/>
                <w:szCs w:val="14"/>
                <w:b w:val="1"/>
                <w:bCs w:val="1"/>
                <w:color w:val="auto"/>
                <w:w w:val="93"/>
              </w:rPr>
              <w:t>Change</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44"/>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0" w:type="dxa"/>
            <w:vAlign w:val="bottom"/>
            <w:gridSpan w:val="4"/>
          </w:tcPr>
          <w:p>
            <w:pPr>
              <w:ind w:left="1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9,036</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1,229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 xml:space="preserve">15.7 </w:t>
            </w: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r>
      <w:tr>
        <w:trPr>
          <w:trHeight w:val="210"/>
        </w:trPr>
        <w:tc>
          <w:tcPr>
            <w:tcW w:w="4340" w:type="dxa"/>
            <w:vAlign w:val="bottom"/>
          </w:tcPr>
          <w:p>
            <w:pPr>
              <w:ind w:left="240"/>
              <w:spacing w:after="0"/>
              <w:rPr>
                <w:sz w:val="20"/>
                <w:szCs w:val="20"/>
                <w:color w:val="auto"/>
              </w:rPr>
            </w:pPr>
            <w:r>
              <w:rPr>
                <w:rFonts w:ascii="Arial" w:cs="Arial" w:eastAsia="Arial" w:hAnsi="Arial"/>
                <w:sz w:val="16"/>
                <w:szCs w:val="16"/>
                <w:i w:val="1"/>
                <w:iCs w:val="1"/>
                <w:color w:val="auto"/>
              </w:rPr>
              <w:t>Percentage of revenue</w:t>
            </w:r>
          </w:p>
        </w:tc>
        <w:tc>
          <w:tcPr>
            <w:tcW w:w="20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i w:val="1"/>
                <w:iCs w:val="1"/>
                <w:color w:val="auto"/>
              </w:rPr>
              <w:t>7.6 %</w:t>
            </w:r>
          </w:p>
        </w:tc>
        <w:tc>
          <w:tcPr>
            <w:tcW w:w="3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8.5 %</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r>
    </w:tbl>
    <w:p>
      <w:pPr>
        <w:spacing w:after="0" w:line="208" w:lineRule="exact"/>
        <w:rPr>
          <w:sz w:val="20"/>
          <w:szCs w:val="20"/>
          <w:color w:val="auto"/>
        </w:rPr>
      </w:pPr>
    </w:p>
    <w:p>
      <w:pPr>
        <w:ind w:left="20" w:right="520" w:firstLine="648"/>
        <w:spacing w:after="0" w:line="277" w:lineRule="auto"/>
        <w:rPr>
          <w:sz w:val="20"/>
          <w:szCs w:val="20"/>
          <w:color w:val="auto"/>
        </w:rPr>
      </w:pPr>
      <w:r>
        <w:rPr>
          <w:rFonts w:ascii="Arial" w:cs="Arial" w:eastAsia="Arial" w:hAnsi="Arial"/>
          <w:sz w:val="18"/>
          <w:szCs w:val="18"/>
          <w:color w:val="auto"/>
        </w:rPr>
        <w:t>Our general and administrative expenses result primarily from the costs associated with our executive, finance, information technology, legal and human resource functions.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Three months ended March 31, 2020 Compared with Three months ended March 31, 2019</w:t>
      </w:r>
    </w:p>
    <w:p>
      <w:pPr>
        <w:spacing w:after="0" w:line="144" w:lineRule="exact"/>
        <w:rPr>
          <w:sz w:val="20"/>
          <w:szCs w:val="20"/>
          <w:color w:val="auto"/>
        </w:rPr>
      </w:pPr>
    </w:p>
    <w:p>
      <w:pPr>
        <w:ind w:left="20" w:right="120" w:firstLine="648"/>
        <w:spacing w:after="0" w:line="263" w:lineRule="auto"/>
        <w:rPr>
          <w:sz w:val="20"/>
          <w:szCs w:val="20"/>
          <w:color w:val="auto"/>
        </w:rPr>
      </w:pPr>
      <w:r>
        <w:rPr>
          <w:rFonts w:ascii="Arial" w:cs="Arial" w:eastAsia="Arial" w:hAnsi="Arial"/>
          <w:sz w:val="18"/>
          <w:szCs w:val="18"/>
          <w:color w:val="auto"/>
        </w:rPr>
        <w:t>General and administrative expense was $9.0 million during the three months ended March 31, 2020, an increase of $1.2 million, or 15.7%, compared with $7.8 million during the three months ended March 31, 2019. The increase is primarily due to an increase in incentive based pay expense.</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(Expense)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left="64"/>
              <w:spacing w:after="0"/>
              <w:rPr>
                <w:sz w:val="20"/>
                <w:szCs w:val="20"/>
                <w:color w:val="auto"/>
              </w:rPr>
            </w:pPr>
            <w:r>
              <w:rPr>
                <w:rFonts w:ascii="Arial" w:cs="Arial" w:eastAsia="Arial" w:hAnsi="Arial"/>
                <w:sz w:val="14"/>
                <w:szCs w:val="14"/>
                <w:b w:val="1"/>
                <w:bCs w:val="1"/>
                <w:color w:val="auto"/>
                <w:w w:val="91"/>
              </w:rPr>
              <w:t>Three months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Period-to-period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4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left="64"/>
              <w:spacing w:after="0"/>
              <w:rPr>
                <w:sz w:val="20"/>
                <w:szCs w:val="20"/>
                <w:color w:val="auto"/>
              </w:rPr>
            </w:pPr>
            <w:r>
              <w:rPr>
                <w:rFonts w:ascii="Arial" w:cs="Arial" w:eastAsia="Arial" w:hAnsi="Arial"/>
                <w:sz w:val="14"/>
                <w:szCs w:val="14"/>
                <w:b w:val="1"/>
                <w:bCs w:val="1"/>
                <w:color w:val="auto"/>
                <w:w w:val="95"/>
              </w:rPr>
              <w:t>March 31,</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4"/>
              <w:spacing w:after="0" w:line="142"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946"/>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40" w:type="dxa"/>
            <w:vAlign w:val="bottom"/>
            <w:gridSpan w:val="5"/>
          </w:tcPr>
          <w:p>
            <w:pPr>
              <w:jc w:val="right"/>
              <w:ind w:right="946"/>
              <w:spacing w:after="0" w:line="142"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(1,441)</w:t>
            </w:r>
          </w:p>
        </w:tc>
        <w:tc>
          <w:tcPr>
            <w:tcW w:w="72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0"/>
              </w:rPr>
              <w:t>(562)</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446"/>
              <w:spacing w:after="0"/>
              <w:rPr>
                <w:sz w:val="20"/>
                <w:szCs w:val="20"/>
                <w:color w:val="auto"/>
              </w:rPr>
            </w:pPr>
            <w:r>
              <w:rPr>
                <w:rFonts w:ascii="Arial" w:cs="Arial" w:eastAsia="Arial" w:hAnsi="Arial"/>
                <w:sz w:val="16"/>
                <w:szCs w:val="16"/>
                <w:color w:val="auto"/>
              </w:rPr>
              <w:t>(879)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i w:val="1"/>
                <w:iCs w:val="1"/>
                <w:color w:val="auto"/>
              </w:rPr>
              <w:t>(156.4)</w:t>
            </w: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r>
      <w:tr>
        <w:trPr>
          <w:trHeight w:val="223"/>
        </w:trPr>
        <w:tc>
          <w:tcPr>
            <w:tcW w:w="4100" w:type="dxa"/>
            <w:vAlign w:val="bottom"/>
          </w:tcPr>
          <w:p>
            <w:pPr>
              <w:ind w:left="240"/>
              <w:spacing w:after="0"/>
              <w:rPr>
                <w:sz w:val="20"/>
                <w:szCs w:val="20"/>
                <w:color w:val="auto"/>
              </w:rPr>
            </w:pPr>
            <w:r>
              <w:rPr>
                <w:rFonts w:ascii="Arial" w:cs="Arial" w:eastAsia="Arial" w:hAnsi="Arial"/>
                <w:sz w:val="16"/>
                <w:szCs w:val="16"/>
                <w:i w:val="1"/>
                <w:iCs w:val="1"/>
                <w:color w:val="auto"/>
              </w:rPr>
              <w:t>Percentage of revenue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(1.2)%</w:t>
            </w:r>
          </w:p>
        </w:tc>
        <w:tc>
          <w:tcPr>
            <w:tcW w:w="7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(0.6)%</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left="20" w:right="160" w:firstLine="648"/>
        <w:spacing w:after="0" w:line="259" w:lineRule="auto"/>
        <w:rPr>
          <w:sz w:val="20"/>
          <w:szCs w:val="20"/>
          <w:color w:val="auto"/>
        </w:rPr>
      </w:pPr>
      <w:r>
        <w:rPr>
          <w:rFonts w:ascii="Arial" w:cs="Arial" w:eastAsia="Arial" w:hAnsi="Arial"/>
          <w:sz w:val="18"/>
          <w:szCs w:val="18"/>
          <w:color w:val="auto"/>
        </w:rPr>
        <w:t>Other (expense) income consists primarily of interest expense relating to the finance lease obligation we incurred in connection with the 2015 sale of our headquarters facility and other financing obligations, foreign exchange gains and losses attributable to fluctuations of the US dollar against local currencies of certain of the countries in which we operate as well as interest earned on our invested cash balances.</w:t>
      </w:r>
    </w:p>
    <w:p>
      <w:pPr>
        <w:spacing w:after="0" w:line="187" w:lineRule="exact"/>
        <w:rPr>
          <w:sz w:val="20"/>
          <w:szCs w:val="20"/>
          <w:color w:val="auto"/>
        </w:rPr>
      </w:pPr>
    </w:p>
    <w:p>
      <w:pPr>
        <w:ind w:left="20" w:right="100" w:firstLine="648"/>
        <w:spacing w:after="0" w:line="259" w:lineRule="auto"/>
        <w:rPr>
          <w:sz w:val="20"/>
          <w:szCs w:val="20"/>
          <w:color w:val="auto"/>
        </w:rPr>
      </w:pPr>
      <w:r>
        <w:rPr>
          <w:rFonts w:ascii="Arial" w:cs="Arial" w:eastAsia="Arial" w:hAnsi="Arial"/>
          <w:sz w:val="18"/>
          <w:szCs w:val="18"/>
          <w:color w:val="auto"/>
        </w:rPr>
        <w:t>Other expense was $1.4 million for the three months ended March 31, 2020, compared with $0.6 million for the three months ended March 31, 2019. The increase in other expense of $0.9 million for the three month period ended March 31, 2020 compared to the three month period ended March 31, 2019, was primarily due to higher foreign currency exchange losses in the current year period compared to the prior year.</w:t>
      </w:r>
    </w:p>
    <w:p>
      <w:pPr>
        <w:spacing w:after="0" w:line="106" w:lineRule="exact"/>
        <w:rPr>
          <w:sz w:val="20"/>
          <w:szCs w:val="20"/>
          <w:color w:val="auto"/>
        </w:rPr>
      </w:pPr>
    </w:p>
    <w:p>
      <w:pPr>
        <w:ind w:left="20" w:right="20" w:firstLine="648"/>
        <w:spacing w:after="0" w:line="277" w:lineRule="auto"/>
        <w:rPr>
          <w:sz w:val="20"/>
          <w:szCs w:val="20"/>
          <w:color w:val="auto"/>
        </w:rPr>
      </w:pPr>
      <w:r>
        <w:rPr>
          <w:rFonts w:ascii="Arial" w:cs="Arial" w:eastAsia="Arial" w:hAnsi="Arial"/>
          <w:sz w:val="18"/>
          <w:szCs w:val="18"/>
          <w:color w:val="auto"/>
        </w:rPr>
        <w:t>During the three month periods ended March 31, 2020 and 2019, we had no significant off-balance-sheet risk such as exchange contracts, option contracts or other hedging arrangements.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Provision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center"/>
              <w:ind w:left="84"/>
              <w:spacing w:after="0"/>
              <w:rPr>
                <w:sz w:val="20"/>
                <w:szCs w:val="20"/>
                <w:color w:val="auto"/>
              </w:rPr>
            </w:pPr>
            <w:r>
              <w:rPr>
                <w:rFonts w:ascii="Arial" w:cs="Arial" w:eastAsia="Arial" w:hAnsi="Arial"/>
                <w:sz w:val="14"/>
                <w:szCs w:val="14"/>
                <w:b w:val="1"/>
                <w:bCs w:val="1"/>
                <w:color w:val="auto"/>
                <w:w w:val="91"/>
              </w:rPr>
              <w:t>Three months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93"/>
              </w:rPr>
              <w:t>Period-to-period</w:t>
            </w:r>
          </w:p>
        </w:tc>
      </w:tr>
      <w:tr>
        <w:trPr>
          <w:trHeight w:val="171"/>
        </w:trPr>
        <w:tc>
          <w:tcPr>
            <w:tcW w:w="4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left="84"/>
              <w:spacing w:after="0"/>
              <w:rPr>
                <w:sz w:val="20"/>
                <w:szCs w:val="20"/>
                <w:color w:val="auto"/>
              </w:rPr>
            </w:pPr>
            <w:r>
              <w:rPr>
                <w:rFonts w:ascii="Arial" w:cs="Arial" w:eastAsia="Arial" w:hAnsi="Arial"/>
                <w:sz w:val="14"/>
                <w:szCs w:val="14"/>
                <w:b w:val="1"/>
                <w:bCs w:val="1"/>
                <w:color w:val="auto"/>
                <w:w w:val="95"/>
              </w:rPr>
              <w:t>March 31,</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left="406"/>
              <w:spacing w:after="0"/>
              <w:rPr>
                <w:sz w:val="20"/>
                <w:szCs w:val="20"/>
                <w:color w:val="auto"/>
              </w:rPr>
            </w:pPr>
            <w:r>
              <w:rPr>
                <w:rFonts w:ascii="Arial" w:cs="Arial" w:eastAsia="Arial" w:hAnsi="Arial"/>
                <w:sz w:val="14"/>
                <w:szCs w:val="14"/>
                <w:b w:val="1"/>
                <w:bCs w:val="1"/>
                <w:color w:val="auto"/>
                <w:w w:val="85"/>
              </w:rPr>
              <w:t>change</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4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846"/>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142"/>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40" w:type="dxa"/>
            <w:vAlign w:val="bottom"/>
            <w:gridSpan w:val="5"/>
          </w:tcPr>
          <w:p>
            <w:pPr>
              <w:jc w:val="right"/>
              <w:ind w:right="726"/>
              <w:spacing w:after="0" w:line="142" w:lineRule="exact"/>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98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46"/>
              <w:spacing w:after="0"/>
              <w:rPr>
                <w:sz w:val="20"/>
                <w:szCs w:val="20"/>
                <w:color w:val="auto"/>
              </w:rPr>
            </w:pPr>
            <w:r>
              <w:rPr>
                <w:rFonts w:ascii="Arial" w:cs="Arial" w:eastAsia="Arial" w:hAnsi="Arial"/>
                <w:sz w:val="16"/>
                <w:szCs w:val="16"/>
                <w:color w:val="auto"/>
              </w:rPr>
              <w:t>569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i w:val="1"/>
                <w:iCs w:val="1"/>
                <w:color w:val="auto"/>
              </w:rPr>
              <w:t xml:space="preserve">120.6 </w:t>
            </w: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r>
      <w:tr>
        <w:trPr>
          <w:trHeight w:val="223"/>
        </w:trPr>
        <w:tc>
          <w:tcPr>
            <w:tcW w:w="4000" w:type="dxa"/>
            <w:vAlign w:val="bottom"/>
          </w:tcPr>
          <w:p>
            <w:pPr>
              <w:ind w:left="340"/>
              <w:spacing w:after="0"/>
              <w:rPr>
                <w:sz w:val="20"/>
                <w:szCs w:val="20"/>
                <w:color w:val="auto"/>
              </w:rPr>
            </w:pPr>
            <w:r>
              <w:rPr>
                <w:rFonts w:ascii="Arial" w:cs="Arial" w:eastAsia="Arial" w:hAnsi="Arial"/>
                <w:sz w:val="16"/>
                <w:szCs w:val="16"/>
                <w:i w:val="1"/>
                <w:iCs w:val="1"/>
                <w:color w:val="auto"/>
              </w:rPr>
              <w:t>Percentage of revenue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0.9</w:t>
            </w:r>
          </w:p>
        </w:tc>
        <w:tc>
          <w:tcPr>
            <w:tcW w:w="980" w:type="dxa"/>
            <w:vAlign w:val="bottom"/>
          </w:tcPr>
          <w:p>
            <w:pPr>
              <w:jc w:val="right"/>
              <w:ind w:right="744"/>
              <w:spacing w:after="0"/>
              <w:rPr>
                <w:sz w:val="20"/>
                <w:szCs w:val="20"/>
                <w:color w:val="auto"/>
              </w:rPr>
            </w:pPr>
            <w:r>
              <w:rPr>
                <w:rFonts w:ascii="Arial" w:cs="Arial" w:eastAsia="Arial" w:hAnsi="Arial"/>
                <w:sz w:val="16"/>
                <w:szCs w:val="16"/>
                <w:i w:val="1"/>
                <w:iCs w:val="1"/>
                <w:color w:val="auto"/>
                <w:w w:val="98"/>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w w:val="84"/>
              </w:rPr>
              <w: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60"/>
          </w:cols>
          <w:pgMar w:left="1360" w:top="125" w:right="137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Income tax expense was $1.0 million for the three months ended March 31, 2020, compared to $0.5 million the three months ended March 31, 2019. The $0.5 million increase was primarily due to a $5.7 million increase in pretax income, which was slightly offset by excess tax benefits associated with stock option exercises for the three months ended March 31, 2020, compared to the three months ended March 31, 2019.</w:t>
      </w:r>
    </w:p>
    <w:p>
      <w:pPr>
        <w:spacing w:after="0" w:line="18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had $66.6 million and $68.1 million of net deferred tax assets worldwide relating to net operating loss carryforwards, tax credit carryforwards and other temporary differences, as of March 31, 2020 and December 31, 2019, respectively. These deferred tax assets are available to reduce income taxes in future years. We have a $9.1 million valuation allowance in the U.S. against certain tax credits and state net operating losses due to the uncertainty of their realization based on long-term Company forecasts and the expiration dates on these tax assets. If future operating results of the U.S. or these foreign jurisdictions are significantly less than our expectations, it is reasonably possible that we would be required to record an additional valuation allowance on our deferred tax assets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had $174.7 million in unrestricted cash and cash equivalents at March 31, 2020, in addition to $6.7 million in restricted cash, primarily comprised of the $5.9 million security for the lease of our corporate headquarters. Management believes that maintaining a strong cash balance is necessary to provide funding for potential ramps in our business which can require significant cash investment to meet sudden demand. Additionally, we are considering both organic and inorganic opportunities to drive future growth, for which cash resources will be necessary.</w:t>
      </w:r>
    </w:p>
    <w:p>
      <w:pPr>
        <w:spacing w:after="0" w:line="8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Our liquidity is affected by many factors. Some of these relate specifically to the operations of our business, for example, the rate of sale of our products, and others relate to the uncertainties of global economic conditions, including the availability of credit and the condition of the overall semiconductor equipment industry. Our established cost structure, other than cost of goods sold, does not vary significantly with changes in volume. We experience fluctuations in operating results and cash flows depending on these factors. We may also engage in stock repurchases, as discussed below.</w:t>
      </w:r>
    </w:p>
    <w:p>
      <w:pPr>
        <w:spacing w:after="0" w:line="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the three months ended March 31, 2020, we generated $39.7 million of cash related to operating activities.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comparison, during the three months ended March 31, 2019, we used $12.3 million of cash from operations.</w:t>
      </w:r>
    </w:p>
    <w:p>
      <w:pPr>
        <w:spacing w:after="0" w:line="11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Investing activities for the three months ended March 31, 2020 and 2019 resulted in cash outflows of $1.3 million and $4.3 million, respectively, used for capital expenditures.</w:t>
      </w:r>
    </w:p>
    <w:p>
      <w:pPr>
        <w:spacing w:after="0" w:line="7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Financing activities for the three months ended March 31, 2020 resulted in a net cash usage of $4.1 million. During the quarter, $7.5 million in cash was used to repurchase common stock and $1.2 million was used for payments to government tax authorities for income tax withholding on RSU vesting, where shares are withheld by the Company. These amounts were partially offset by $4.5 million of proceeds from the exercise of stock options and purchases under the ESPP. Financing activities for the three months ended March 31, 2019 generated net cash of $1.5 million, of which $1.8 million related to the exercise of stock options, partially offset by $0.3 million related to payments made to government tax authorities for income tax withholding on RSU vesting.</w:t>
      </w:r>
    </w:p>
    <w:p>
      <w:pPr>
        <w:spacing w:after="0" w:line="10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believe that based on our current market, revenue, expense and cash flow forecasts, our existing cash, cash equivalents and borrowing capacity will be sufficient to satisfy our anticipated cash requirements for the short and long-term. We currently have no credit facility but management believes we would be able to borrow if needed.</w:t>
      </w:r>
    </w:p>
    <w:p>
      <w:pPr>
        <w:spacing w:after="0" w:line="7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December 2019, our Board of Directors authorized an increase and extension of the share repurchase program, of up to $50 million of the Company's common stock through 2020. These shares could be purchased in the open market or through privately negotiated transactions. As of March 31, 2020, we had approximately $24.8 million remaining under the share repurchase program but have suspended the repurchase program while we continue to invest in the business during these difficult times. See Part II, Item 2 of this report for purchases under this program. The timing and actual number of shares repurchased in 2020 will depend on various factors, including the price of our common stock, general business and market conditions, and alternative investment opportunities. Consideration of each of these factors will include an evaluation of the known and anticipated effects of the COVID-19 pandemic on our business and industry. See Note 15 to the financial statements above.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99" w:firstLine="648"/>
        <w:spacing w:after="0" w:line="286" w:lineRule="auto"/>
        <w:rPr>
          <w:sz w:val="20"/>
          <w:szCs w:val="20"/>
          <w:color w:val="auto"/>
        </w:rPr>
      </w:pPr>
      <w:r>
        <w:rPr>
          <w:rFonts w:ascii="Arial" w:cs="Arial" w:eastAsia="Arial" w:hAnsi="Arial"/>
          <w:sz w:val="17"/>
          <w:szCs w:val="17"/>
          <w:color w:val="auto"/>
        </w:rPr>
        <w:t>Significant commitments and contingencies at March 31, 2020 are consistent with those discussed in Item 7, “Management’s Discussion and Analysis of Financial Condition and Results of Operations,” and Note 16 to the consolidated financial statements in our Annual Report on Form 10-K for the fiscal year ended December 31, 2019.</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079"/>
          </w:cols>
          <w:pgMar w:left="1380" w:top="125" w:right="1440"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As of March 31, 2020, there have been no material changes to the quantitative information about market risk disclosed in Item 7A to our annual report on Form 10-K for the year ended December 31,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the evaluation of our internal control that occurred during the three months ended March 31, 2020 that has materially affected, or is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00"/>
          </w:cols>
          <w:pgMar w:left="138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As of March 31, 2020, there have been no material changes to the risk factors described in Item 1A to our annual report on Form 10-K for the year ended December 31, 2019, other than the addition of the risk factor set forth below.</w:t>
      </w:r>
    </w:p>
    <w:p>
      <w:pPr>
        <w:spacing w:after="0" w:line="124"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b w:val="1"/>
          <w:bCs w:val="1"/>
          <w:i w:val="1"/>
          <w:iCs w:val="1"/>
          <w:color w:val="auto"/>
        </w:rPr>
        <w:t xml:space="preserve">Our financial condition and results of operations could be adversely affected by the recent coronavirus outbreak. </w:t>
      </w:r>
      <w:r>
        <w:rPr>
          <w:rFonts w:ascii="Arial" w:cs="Arial" w:eastAsia="Arial" w:hAnsi="Arial"/>
          <w:sz w:val="16"/>
          <w:szCs w:val="16"/>
          <w:color w:val="auto"/>
        </w:rPr>
        <w:t>The novel strain of coronavirus which causes the illness referred to as COVID-19, as with other contagious diseases or other adverse public health developments, may have a material and adverse effect on our business operations. In the case of COVID-19, governmental orders and employee health and safety concerns have caused Axcelis to continue its operations using a combination of work from home and social distancing protocols in our facilities. Business travel has also been substantially curtailed. These and potential other disruptions or restrictions on our operations and ability to travel, and similar disruptions and restrictions impacting our suppliers or customers could adversely affect our sales and operating</w:t>
      </w:r>
    </w:p>
    <w:p>
      <w:pPr>
        <w:spacing w:after="0" w:line="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results. Axcelis’ products rely on an extensive global supply chain, and shortages of certain parts could impact our ability to meet customer’s shipment expectations, negatively affecting our revenues. The COVID-19 pandemic may drive changes in the demand for certain of our customers’ products, resulting in their delay or cancelation of purchases from us. The extent to which the COVID-19 coronavirus may impact our results will depend on future developments, which are highly uncertain and cannot be predicted, including the severity of the coronavirus and the duration of the current pandemic.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1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December 2019, our Board of Directors authorized an increase and extension of the share repurchase program, of up to $50 million of the Company's common stock. The timing and actual number of shares repurchased in 2020 will depend on various factors, including the price of our common stock, general business and market conditions, and alternative investment opportunities or other uses of cash.</w:t>
      </w:r>
    </w:p>
    <w:p>
      <w:pPr>
        <w:spacing w:after="0" w:line="52"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following table summarizes the stock repurchase activity for the three months ended March 31, 2020 and the approximate dollar value of shares that may yet be purchased pursuant to our stock repurchase program:</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4"/>
              </w:rPr>
              <w:t>Total Number of</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Average Price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8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Value of Shares that May</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18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Yet Be Purchased Under</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Shares Purchased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8"/>
              </w:rPr>
              <w:t>Program*</w:t>
            </w:r>
          </w:p>
        </w:tc>
        <w:tc>
          <w:tcPr>
            <w:tcW w:w="18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142"/>
        </w:trPr>
        <w:tc>
          <w:tcPr>
            <w:tcW w:w="2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March 1, 2020 through March 31, 2020</w:t>
            </w:r>
          </w:p>
        </w:tc>
        <w:tc>
          <w:tcPr>
            <w:tcW w:w="14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358</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$20.92</w:t>
            </w:r>
          </w:p>
        </w:tc>
        <w:tc>
          <w:tcPr>
            <w:tcW w:w="15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358</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24,756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64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8" w:name="page29"/>
    <w:bookmarkEnd w:id="28"/>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ind w:left="20"/>
              <w:spacing w:after="0"/>
              <w:rPr>
                <w:sz w:val="20"/>
                <w:szCs w:val="20"/>
                <w:color w:val="auto"/>
              </w:rPr>
            </w:pPr>
            <w:r>
              <w:rPr>
                <w:rFonts w:ascii="Arial" w:cs="Arial" w:eastAsia="Arial" w:hAnsi="Arial"/>
                <w:sz w:val="18"/>
                <w:szCs w:val="18"/>
                <w:b w:val="1"/>
                <w:bCs w:val="1"/>
                <w:color w:val="auto"/>
              </w:rPr>
              <w:t>Item 6.</w:t>
            </w:r>
          </w:p>
        </w:tc>
        <w:tc>
          <w:tcPr>
            <w:tcW w:w="8500" w:type="dxa"/>
            <w:vAlign w:val="bottom"/>
            <w:gridSpan w:val="12"/>
          </w:tcPr>
          <w:p>
            <w:pPr>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640" w:type="dxa"/>
            <w:vAlign w:val="bottom"/>
          </w:tcPr>
          <w:p>
            <w:pPr>
              <w:spacing w:after="0"/>
              <w:rPr>
                <w:sz w:val="24"/>
                <w:szCs w:val="24"/>
                <w:color w:val="auto"/>
              </w:rPr>
            </w:pPr>
          </w:p>
        </w:tc>
        <w:tc>
          <w:tcPr>
            <w:tcW w:w="8500" w:type="dxa"/>
            <w:vAlign w:val="bottom"/>
            <w:gridSpan w:val="12"/>
          </w:tcPr>
          <w:p>
            <w:pPr>
              <w:ind w:left="20"/>
              <w:spacing w:after="0"/>
              <w:rPr>
                <w:sz w:val="20"/>
                <w:szCs w:val="20"/>
                <w:color w:val="auto"/>
              </w:rPr>
            </w:pPr>
            <w:r>
              <w:rPr>
                <w:rFonts w:ascii="Arial" w:cs="Arial" w:eastAsia="Arial" w:hAnsi="Arial"/>
                <w:sz w:val="18"/>
                <w:szCs w:val="18"/>
                <w:color w:val="auto"/>
              </w:rPr>
              <w:t>The following exhibits are filed herewith:</w:t>
            </w:r>
          </w:p>
        </w:tc>
      </w:tr>
      <w:tr>
        <w:trPr>
          <w:trHeight w:val="369"/>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9"/>
          </w:tcPr>
          <w:p>
            <w:pPr>
              <w:ind w:left="360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640" w:type="dxa"/>
            <w:vAlign w:val="bottom"/>
          </w:tcPr>
          <w:p>
            <w:pPr>
              <w:jc w:val="center"/>
              <w:ind w:left="214"/>
              <w:spacing w:after="0"/>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tcBorders>
              <w:bottom w:val="single" w:sz="8" w:color="0000EE"/>
            </w:tcBorders>
            <w:gridSpan w:val="7"/>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Restated Certificate of Incorporation of the Company filed November 2, 2017. Incorporated by reference to</w:t>
              </w:r>
            </w:hyperlink>
          </w:p>
        </w:tc>
        <w:tc>
          <w:tcPr>
            <w:tcW w:w="180" w:type="dxa"/>
            <w:vAlign w:val="bottom"/>
            <w:gridSpan w:val="2"/>
          </w:tcPr>
          <w:p>
            <w:pPr>
              <w:spacing w:after="0"/>
              <w:rPr>
                <w:sz w:val="24"/>
                <w:szCs w:val="24"/>
                <w:color w:val="auto"/>
              </w:rPr>
            </w:pPr>
          </w:p>
        </w:tc>
      </w:tr>
      <w:tr>
        <w:trPr>
          <w:trHeight w:val="237"/>
        </w:trPr>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20" w:type="dxa"/>
            <w:vAlign w:val="bottom"/>
            <w:gridSpan w:val="9"/>
          </w:tcPr>
          <w:p>
            <w:pPr>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Exhibit 3.1 of the Company’s Form 10-Q filed with the Commission on November 3, 2017.</w:t>
              </w:r>
            </w:hyperlink>
          </w:p>
        </w:tc>
      </w:tr>
      <w:tr>
        <w:trPr>
          <w:trHeight w:val="392"/>
        </w:trPr>
        <w:tc>
          <w:tcPr>
            <w:tcW w:w="640" w:type="dxa"/>
            <w:vAlign w:val="bottom"/>
          </w:tcPr>
          <w:p>
            <w:pPr>
              <w:jc w:val="center"/>
              <w:ind w:left="214"/>
              <w:spacing w:after="0"/>
              <w:rPr>
                <w:sz w:val="20"/>
                <w:szCs w:val="20"/>
                <w:color w:val="auto"/>
              </w:rPr>
            </w:pPr>
            <w:r>
              <w:rPr>
                <w:rFonts w:ascii="Arial" w:cs="Arial" w:eastAsia="Arial" w:hAnsi="Arial"/>
                <w:sz w:val="18"/>
                <w:szCs w:val="18"/>
                <w:color w:val="auto"/>
                <w:w w:val="87"/>
              </w:rPr>
              <w:t>3.2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40" w:type="dxa"/>
            <w:vAlign w:val="bottom"/>
            <w:tcBorders>
              <w:bottom w:val="single" w:sz="8" w:color="0000EE"/>
            </w:tcBorders>
            <w:gridSpan w:val="6"/>
          </w:tcPr>
          <w:p>
            <w:pPr>
              <w:spacing w:after="0"/>
              <w:rPr>
                <w:rFonts w:ascii="Arial" w:cs="Arial" w:eastAsia="Arial" w:hAnsi="Arial"/>
                <w:sz w:val="18"/>
                <w:szCs w:val="18"/>
                <w:color w:val="0000EE"/>
                <w:w w:val="90"/>
              </w:rPr>
            </w:pPr>
            <w:hyperlink r:id="rId41">
              <w:r>
                <w:rPr>
                  <w:rFonts w:ascii="Arial" w:cs="Arial" w:eastAsia="Arial" w:hAnsi="Arial"/>
                  <w:sz w:val="18"/>
                  <w:szCs w:val="18"/>
                  <w:color w:val="0000EE"/>
                  <w:w w:val="90"/>
                </w:rPr>
                <w:t>Bylaws of the Company, as amended as of May 13, 2014. Incorporated by reference to Exhibit 3.2 of the</w:t>
              </w:r>
            </w:hyperlink>
          </w:p>
        </w:tc>
        <w:tc>
          <w:tcPr>
            <w:tcW w:w="380" w:type="dxa"/>
            <w:vAlign w:val="bottom"/>
            <w:gridSpan w:val="3"/>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Company’s Form 8-K filed with the Commission on May 19, 2014.</w:t>
              </w:r>
            </w:hyperlink>
          </w:p>
        </w:tc>
        <w:tc>
          <w:tcPr>
            <w:tcW w:w="3060" w:type="dxa"/>
            <w:vAlign w:val="bottom"/>
            <w:gridSpan w:val="6"/>
          </w:tcPr>
          <w:p>
            <w:pPr>
              <w:spacing w:after="0"/>
              <w:rPr>
                <w:sz w:val="17"/>
                <w:szCs w:val="17"/>
                <w:color w:val="auto"/>
              </w:rPr>
            </w:pPr>
          </w:p>
        </w:tc>
      </w:tr>
      <w:tr>
        <w:trPr>
          <w:trHeight w:val="412"/>
        </w:trPr>
        <w:tc>
          <w:tcPr>
            <w:tcW w:w="640" w:type="dxa"/>
            <w:vAlign w:val="bottom"/>
          </w:tcPr>
          <w:p>
            <w:pPr>
              <w:jc w:val="center"/>
              <w:ind w:left="234"/>
              <w:spacing w:after="0"/>
              <w:rPr>
                <w:sz w:val="20"/>
                <w:szCs w:val="20"/>
                <w:color w:val="auto"/>
              </w:rPr>
            </w:pPr>
            <w:r>
              <w:rPr>
                <w:rFonts w:ascii="Arial" w:cs="Arial" w:eastAsia="Arial" w:hAnsi="Arial"/>
                <w:sz w:val="18"/>
                <w:szCs w:val="18"/>
                <w:color w:val="auto"/>
                <w:w w:val="91"/>
              </w:rPr>
              <w:t>31.1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20" w:type="dxa"/>
            <w:vAlign w:val="bottom"/>
            <w:gridSpan w:val="9"/>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Certification of the Principal Executive Officer under Exchange Act Rule 13a-14(a)/15d-14(a) (Section 302</w:t>
              </w:r>
            </w:hyperlink>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of the Sarbanes-Oxley Act), dated May 6, 2020. Filed herewith.</w:t>
              </w:r>
            </w:hyperlink>
          </w:p>
        </w:tc>
        <w:tc>
          <w:tcPr>
            <w:tcW w:w="3100" w:type="dxa"/>
            <w:vAlign w:val="bottom"/>
            <w:tcBorders>
              <w:top w:val="single" w:sz="8" w:color="0000EE"/>
            </w:tcBorders>
            <w:gridSpan w:val="5"/>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412"/>
        </w:trPr>
        <w:tc>
          <w:tcPr>
            <w:tcW w:w="640" w:type="dxa"/>
            <w:vAlign w:val="bottom"/>
          </w:tcPr>
          <w:p>
            <w:pPr>
              <w:jc w:val="center"/>
              <w:ind w:left="234"/>
              <w:spacing w:after="0"/>
              <w:rPr>
                <w:sz w:val="20"/>
                <w:szCs w:val="20"/>
                <w:color w:val="auto"/>
              </w:rPr>
            </w:pPr>
            <w:r>
              <w:rPr>
                <w:rFonts w:ascii="Arial" w:cs="Arial" w:eastAsia="Arial" w:hAnsi="Arial"/>
                <w:sz w:val="18"/>
                <w:szCs w:val="18"/>
                <w:color w:val="auto"/>
                <w:w w:val="91"/>
              </w:rPr>
              <w:t>31.2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the Principal Financial Officer under Exchange Act Rule 13a-14(a)/15d-14(a) (Section 302 of</w:t>
              </w:r>
            </w:hyperlink>
          </w:p>
        </w:tc>
        <w:tc>
          <w:tcPr>
            <w:tcW w:w="2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the Sarbanes-Oxley Act), dated May 6, 2020. Filed herewith.</w:t>
              </w:r>
            </w:hyperlink>
          </w:p>
        </w:tc>
        <w:tc>
          <w:tcPr>
            <w:tcW w:w="3480" w:type="dxa"/>
            <w:vAlign w:val="bottom"/>
            <w:gridSpan w:val="8"/>
          </w:tcPr>
          <w:p>
            <w:pPr>
              <w:spacing w:after="0"/>
              <w:rPr>
                <w:sz w:val="17"/>
                <w:szCs w:val="17"/>
                <w:color w:val="auto"/>
              </w:rPr>
            </w:pPr>
          </w:p>
        </w:tc>
      </w:tr>
      <w:tr>
        <w:trPr>
          <w:trHeight w:val="412"/>
        </w:trPr>
        <w:tc>
          <w:tcPr>
            <w:tcW w:w="640" w:type="dxa"/>
            <w:vAlign w:val="bottom"/>
          </w:tcPr>
          <w:p>
            <w:pPr>
              <w:jc w:val="center"/>
              <w:ind w:left="234"/>
              <w:spacing w:after="0"/>
              <w:rPr>
                <w:sz w:val="20"/>
                <w:szCs w:val="20"/>
                <w:color w:val="auto"/>
              </w:rPr>
            </w:pPr>
            <w:r>
              <w:rPr>
                <w:rFonts w:ascii="Arial" w:cs="Arial" w:eastAsia="Arial" w:hAnsi="Arial"/>
                <w:sz w:val="18"/>
                <w:szCs w:val="18"/>
                <w:color w:val="auto"/>
                <w:w w:val="91"/>
              </w:rPr>
              <w:t>32.1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20" w:type="dxa"/>
            <w:vAlign w:val="bottom"/>
            <w:gridSpan w:val="9"/>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Certification of the Principal Executive Officer pursuant to Section 1350 of Chapter 63 of title 18 of the</w:t>
              </w:r>
            </w:hyperlink>
          </w:p>
        </w:tc>
      </w:tr>
      <w:tr>
        <w:trPr>
          <w:trHeight w:val="237"/>
        </w:trPr>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tcBorders>
              <w:top w:val="single" w:sz="8" w:color="0000EE"/>
            </w:tcBorders>
            <w:gridSpan w:val="5"/>
          </w:tcPr>
          <w:p>
            <w:pPr>
              <w:spacing w:after="0"/>
              <w:rPr>
                <w:rFonts w:ascii="Arial" w:cs="Arial" w:eastAsia="Arial" w:hAnsi="Arial"/>
                <w:sz w:val="18"/>
                <w:szCs w:val="18"/>
                <w:u w:val="single" w:color="auto"/>
                <w:color w:val="0000EE"/>
                <w:w w:val="96"/>
              </w:rPr>
            </w:pPr>
            <w:hyperlink w:anchor="page33">
              <w:r>
                <w:rPr>
                  <w:rFonts w:ascii="Arial" w:cs="Arial" w:eastAsia="Arial" w:hAnsi="Arial"/>
                  <w:sz w:val="18"/>
                  <w:szCs w:val="18"/>
                  <w:u w:val="single" w:color="auto"/>
                  <w:color w:val="0000EE"/>
                  <w:w w:val="96"/>
                </w:rPr>
                <w:t>United States Code (Section 906 of the Sarbanes-Oxley Act), dated May 6, 2020. Filed herewith.</w:t>
              </w:r>
            </w:hyperlink>
          </w:p>
        </w:tc>
        <w:tc>
          <w:tcPr>
            <w:tcW w:w="460" w:type="dxa"/>
            <w:vAlign w:val="bottom"/>
            <w:gridSpan w:val="4"/>
          </w:tcPr>
          <w:p>
            <w:pPr>
              <w:spacing w:after="0"/>
              <w:rPr>
                <w:sz w:val="20"/>
                <w:szCs w:val="20"/>
                <w:color w:val="auto"/>
              </w:rPr>
            </w:pPr>
          </w:p>
        </w:tc>
      </w:tr>
      <w:tr>
        <w:trPr>
          <w:trHeight w:val="392"/>
        </w:trPr>
        <w:tc>
          <w:tcPr>
            <w:tcW w:w="640" w:type="dxa"/>
            <w:vAlign w:val="bottom"/>
          </w:tcPr>
          <w:p>
            <w:pPr>
              <w:jc w:val="center"/>
              <w:ind w:left="234"/>
              <w:spacing w:after="0"/>
              <w:rPr>
                <w:sz w:val="20"/>
                <w:szCs w:val="20"/>
                <w:color w:val="auto"/>
              </w:rPr>
            </w:pPr>
            <w:r>
              <w:rPr>
                <w:rFonts w:ascii="Arial" w:cs="Arial" w:eastAsia="Arial" w:hAnsi="Arial"/>
                <w:sz w:val="18"/>
                <w:szCs w:val="18"/>
                <w:color w:val="auto"/>
                <w:w w:val="91"/>
              </w:rPr>
              <w:t>32.2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the Principal Financial Officer pursuant to Section 1350 of Chapter 63 of title 18 of the</w:t>
              </w:r>
            </w:hyperlink>
          </w:p>
        </w:tc>
        <w:tc>
          <w:tcPr>
            <w:tcW w:w="500" w:type="dxa"/>
            <w:vAlign w:val="bottom"/>
            <w:gridSpan w:val="5"/>
          </w:tcPr>
          <w:p>
            <w:pPr>
              <w:spacing w:after="0"/>
              <w:rPr>
                <w:sz w:val="24"/>
                <w:szCs w:val="24"/>
                <w:color w:val="auto"/>
              </w:rPr>
            </w:pPr>
          </w:p>
        </w:tc>
      </w:tr>
      <w:tr>
        <w:trPr>
          <w:trHeight w:val="237"/>
        </w:trPr>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20" w:type="dxa"/>
            <w:vAlign w:val="bottom"/>
            <w:gridSpan w:val="9"/>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United States Code (Section 906 of the Sarbanes-Oxley Act), dated May 6, 2020. Filed herewith.</w:t>
              </w:r>
            </w:hyperlink>
          </w:p>
        </w:tc>
      </w:tr>
    </w:tbl>
    <w:p>
      <w:pPr>
        <w:spacing w:after="0" w:line="202" w:lineRule="exact"/>
        <w:rPr>
          <w:sz w:val="20"/>
          <w:szCs w:val="20"/>
          <w:color w:val="auto"/>
        </w:rPr>
      </w:pPr>
    </w:p>
    <w:p>
      <w:pPr>
        <w:ind w:left="1220" w:right="60" w:hanging="882"/>
        <w:spacing w:after="0" w:line="274" w:lineRule="auto"/>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following materials from the Company’s Form 10-Q for the quarter ended March 31, 2020, formatted in eXtensible Business Reporting Language (XBRL): (i) Consolidated Statements of Operations,</w:t>
      </w:r>
    </w:p>
    <w:p>
      <w:pPr>
        <w:ind w:left="1220" w:right="80"/>
        <w:spacing w:after="0" w:line="323" w:lineRule="auto"/>
        <w:rPr>
          <w:rFonts w:ascii="Arial" w:cs="Arial" w:eastAsia="Arial" w:hAnsi="Arial"/>
          <w:sz w:val="17"/>
          <w:szCs w:val="17"/>
          <w:color w:val="auto"/>
        </w:rPr>
      </w:pPr>
      <w:r>
        <w:rPr>
          <w:rFonts w:ascii="Arial" w:cs="Arial" w:eastAsia="Arial" w:hAnsi="Arial"/>
          <w:sz w:val="16"/>
          <w:szCs w:val="16"/>
          <w:color w:val="auto"/>
        </w:rPr>
        <w:t>(ii) Consolidated Statements of Comprehensive Income, (iii) Consolidated Balance Sheets, (iv) Consolidated Statements of Cash Flows and (v) Notes to Consolidated Financial Statements (Unaudited). Filed herewith.</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40"/>
          </w:cols>
          <w:pgMar w:left="1360" w:top="125" w:right="1399" w:bottom="1440" w:gutter="0" w:footer="0" w:header="0"/>
        </w:sectPr>
      </w:pPr>
    </w:p>
    <w:bookmarkStart w:id="29" w:name="page30"/>
    <w:bookmarkEnd w:id="29"/>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 w:right="1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6060" w:type="dxa"/>
            <w:vAlign w:val="bottom"/>
            <w:gridSpan w:val="2"/>
          </w:tcPr>
          <w:p>
            <w:pPr>
              <w:ind w:left="1520"/>
              <w:spacing w:after="0"/>
              <w:rPr>
                <w:sz w:val="20"/>
                <w:szCs w:val="20"/>
                <w:color w:val="auto"/>
              </w:rPr>
            </w:pPr>
            <w:r>
              <w:rPr>
                <w:rFonts w:ascii="Arial" w:cs="Arial" w:eastAsia="Arial" w:hAnsi="Arial"/>
                <w:sz w:val="18"/>
                <w:szCs w:val="18"/>
                <w:color w:val="auto"/>
              </w:rPr>
              <w:t>AXCELIS TECHNOLOGIES, INC.</w:t>
            </w:r>
          </w:p>
        </w:tc>
        <w:tc>
          <w:tcPr>
            <w:tcW w:w="20" w:type="dxa"/>
            <w:vAlign w:val="bottom"/>
          </w:tcPr>
          <w:p>
            <w:pPr>
              <w:spacing w:after="0"/>
              <w:rPr>
                <w:sz w:val="17"/>
                <w:szCs w:val="17"/>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DATED: May 6, 2020</w:t>
            </w:r>
          </w:p>
        </w:tc>
        <w:tc>
          <w:tcPr>
            <w:tcW w:w="6060" w:type="dxa"/>
            <w:vAlign w:val="bottom"/>
            <w:gridSpan w:val="2"/>
          </w:tcPr>
          <w:p>
            <w:pPr>
              <w:ind w:left="1520"/>
              <w:spacing w:after="0"/>
              <w:rPr>
                <w:sz w:val="20"/>
                <w:szCs w:val="20"/>
                <w:color w:val="auto"/>
              </w:rPr>
            </w:pPr>
            <w:r>
              <w:rPr>
                <w:rFonts w:ascii="Arial" w:cs="Arial" w:eastAsia="Arial" w:hAnsi="Arial"/>
                <w:sz w:val="18"/>
                <w:szCs w:val="18"/>
                <w:color w:val="auto"/>
              </w:rPr>
              <w:t>By:  /s/ KEVIN J. BREWER</w:t>
            </w:r>
          </w:p>
        </w:tc>
        <w:tc>
          <w:tcPr>
            <w:tcW w:w="20" w:type="dxa"/>
            <w:vAlign w:val="bottom"/>
          </w:tcPr>
          <w:p>
            <w:pPr>
              <w:spacing w:after="0"/>
              <w:rPr>
                <w:sz w:val="18"/>
                <w:szCs w:val="18"/>
                <w:color w:val="auto"/>
              </w:rPr>
            </w:pPr>
          </w:p>
        </w:tc>
      </w:tr>
      <w:tr>
        <w:trPr>
          <w:trHeight w:val="384"/>
        </w:trPr>
        <w:tc>
          <w:tcPr>
            <w:tcW w:w="3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Kevin J. Brewer</w:t>
            </w:r>
          </w:p>
        </w:tc>
        <w:tc>
          <w:tcPr>
            <w:tcW w:w="20" w:type="dxa"/>
            <w:vAlign w:val="bottom"/>
          </w:tcPr>
          <w:p>
            <w:pPr>
              <w:spacing w:after="0"/>
              <w:rPr>
                <w:sz w:val="24"/>
                <w:szCs w:val="24"/>
                <w:color w:val="auto"/>
              </w:rPr>
            </w:pPr>
          </w:p>
        </w:tc>
      </w:tr>
      <w:tr>
        <w:trPr>
          <w:trHeight w:val="203"/>
        </w:trPr>
        <w:tc>
          <w:tcPr>
            <w:tcW w:w="3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i w:val="1"/>
                <w:iCs w:val="1"/>
                <w:color w:val="auto"/>
                <w:w w:val="99"/>
              </w:rPr>
              <w:t>Executive Vice President and Chief Financial Officer</w:t>
            </w:r>
          </w:p>
        </w:tc>
        <w:tc>
          <w:tcPr>
            <w:tcW w:w="20" w:type="dxa"/>
            <w:vAlign w:val="bottom"/>
          </w:tcPr>
          <w:p>
            <w:pPr>
              <w:spacing w:after="0"/>
              <w:rPr>
                <w:sz w:val="17"/>
                <w:szCs w:val="17"/>
                <w:color w:val="auto"/>
              </w:rPr>
            </w:pPr>
          </w:p>
        </w:tc>
      </w:tr>
      <w:tr>
        <w:trPr>
          <w:trHeight w:val="230"/>
        </w:trPr>
        <w:tc>
          <w:tcPr>
            <w:tcW w:w="3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i w:val="1"/>
                <w:iCs w:val="1"/>
                <w:color w:val="auto"/>
                <w:w w:val="96"/>
              </w:rPr>
              <w:t>Duly Authorized Officer and Principal Financial Officer</w:t>
            </w:r>
          </w:p>
        </w:tc>
        <w:tc>
          <w:tcPr>
            <w:tcW w:w="20" w:type="dxa"/>
            <w:vAlign w:val="bottom"/>
          </w:tcPr>
          <w:p>
            <w:pPr>
              <w:spacing w:after="0"/>
              <w:rPr>
                <w:sz w:val="20"/>
                <w:szCs w:val="20"/>
                <w:color w:val="auto"/>
              </w:rPr>
            </w:pPr>
          </w:p>
        </w:tc>
      </w:tr>
      <w:tr>
        <w:trPr>
          <w:trHeight w:val="850"/>
        </w:trPr>
        <w:tc>
          <w:tcPr>
            <w:tcW w:w="3080" w:type="dxa"/>
            <w:vAlign w:val="bottom"/>
          </w:tcPr>
          <w:p>
            <w:pPr>
              <w:spacing w:after="0"/>
              <w:rPr>
                <w:sz w:val="24"/>
                <w:szCs w:val="24"/>
                <w:color w:val="auto"/>
              </w:rPr>
            </w:pPr>
          </w:p>
        </w:tc>
        <w:tc>
          <w:tcPr>
            <w:tcW w:w="1900" w:type="dxa"/>
            <w:vAlign w:val="bottom"/>
          </w:tcPr>
          <w:p>
            <w:pPr>
              <w:jc w:val="right"/>
              <w:ind w:right="210"/>
              <w:spacing w:after="0"/>
              <w:rPr>
                <w:sz w:val="20"/>
                <w:szCs w:val="20"/>
                <w:color w:val="auto"/>
              </w:rPr>
            </w:pPr>
            <w:r>
              <w:rPr>
                <w:rFonts w:ascii="Arial" w:cs="Arial" w:eastAsia="Arial" w:hAnsi="Arial"/>
                <w:sz w:val="18"/>
                <w:szCs w:val="18"/>
                <w:color w:val="auto"/>
              </w:rPr>
              <w:t>30</w:t>
            </w: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0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160"/>
          </w:cols>
          <w:pgMar w:left="1360" w:top="125" w:right="1379" w:bottom="1440" w:gutter="0" w:footer="0" w:header="0"/>
        </w:sectPr>
      </w:pPr>
    </w:p>
    <w:bookmarkStart w:id="30" w:name="page31"/>
    <w:bookmarkEnd w:id="3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jc w:val="center"/>
        <w:ind w:right="19"/>
        <w:spacing w:after="0" w:line="203" w:lineRule="auto"/>
        <w:rPr>
          <w:sz w:val="20"/>
          <w:szCs w:val="20"/>
          <w:color w:val="auto"/>
        </w:rPr>
      </w:pPr>
      <w:r>
        <w:rPr>
          <w:rFonts w:ascii="Arial" w:cs="Arial" w:eastAsia="Arial" w:hAnsi="Arial"/>
          <w:sz w:val="18"/>
          <w:szCs w:val="18"/>
          <w:b w:val="1"/>
          <w:bCs w:val="1"/>
          <w:color w:val="auto"/>
        </w:rPr>
        <w:t>of the Principal Executive Officer</w:t>
      </w:r>
    </w:p>
    <w:p>
      <w:pPr>
        <w:jc w:val="center"/>
        <w:ind w:right="19"/>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Mary G. Puma, certify that:</w:t>
      </w:r>
    </w:p>
    <w:p>
      <w:pPr>
        <w:spacing w:after="0" w:line="144" w:lineRule="exact"/>
        <w:rPr>
          <w:sz w:val="20"/>
          <w:szCs w:val="20"/>
          <w:color w:val="auto"/>
        </w:rPr>
      </w:pPr>
    </w:p>
    <w:p>
      <w:pPr>
        <w:ind w:left="540" w:hanging="49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144" w:lineRule="exact"/>
        <w:rPr>
          <w:rFonts w:ascii="Arial" w:cs="Arial" w:eastAsia="Arial" w:hAnsi="Arial"/>
          <w:sz w:val="18"/>
          <w:szCs w:val="18"/>
          <w:color w:val="auto"/>
        </w:rPr>
      </w:pPr>
    </w:p>
    <w:p>
      <w:pPr>
        <w:ind w:left="540" w:right="59" w:hanging="496"/>
        <w:spacing w:after="0" w:line="22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40" w:right="339" w:hanging="496"/>
        <w:spacing w:after="0" w:line="22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40" w:right="179" w:hanging="496"/>
        <w:spacing w:after="0" w:line="237" w:lineRule="auto"/>
        <w:tabs>
          <w:tab w:leader="none" w:pos="53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ind w:left="1060" w:right="179" w:hanging="501"/>
        <w:spacing w:after="0" w:line="227" w:lineRule="auto"/>
        <w:tabs>
          <w:tab w:leader="none" w:pos="1057"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8"/>
          <w:szCs w:val="18"/>
          <w:color w:val="auto"/>
        </w:rPr>
      </w:pPr>
    </w:p>
    <w:p>
      <w:pPr>
        <w:ind w:left="1060" w:right="279" w:hanging="501"/>
        <w:spacing w:after="0" w:line="227" w:lineRule="auto"/>
        <w:tabs>
          <w:tab w:leader="none" w:pos="1067"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jc w:val="both"/>
        <w:ind w:left="1060" w:right="159" w:hanging="501"/>
        <w:spacing w:after="0" w:line="235" w:lineRule="auto"/>
        <w:tabs>
          <w:tab w:leader="none" w:pos="1057"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8"/>
          <w:szCs w:val="18"/>
          <w:color w:val="auto"/>
        </w:rPr>
      </w:pPr>
    </w:p>
    <w:p>
      <w:pPr>
        <w:ind w:left="1060" w:right="79" w:hanging="501"/>
        <w:spacing w:after="0" w:line="227" w:lineRule="auto"/>
        <w:tabs>
          <w:tab w:leader="none" w:pos="1067"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8"/>
          <w:szCs w:val="18"/>
          <w:color w:val="auto"/>
        </w:rPr>
      </w:pPr>
    </w:p>
    <w:p>
      <w:pPr>
        <w:jc w:val="both"/>
        <w:ind w:left="540" w:right="499" w:hanging="496"/>
        <w:spacing w:after="0" w:line="224" w:lineRule="auto"/>
        <w:tabs>
          <w:tab w:leader="none" w:pos="53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060" w:right="259" w:hanging="501"/>
        <w:spacing w:after="0" w:line="235" w:lineRule="auto"/>
        <w:tabs>
          <w:tab w:leader="none" w:pos="1057"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8"/>
          <w:szCs w:val="18"/>
          <w:color w:val="auto"/>
        </w:rPr>
      </w:pPr>
    </w:p>
    <w:p>
      <w:pPr>
        <w:ind w:left="1060" w:right="379" w:hanging="501"/>
        <w:spacing w:after="0" w:line="261" w:lineRule="auto"/>
        <w:tabs>
          <w:tab w:leader="none" w:pos="1067"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7"/>
          <w:szCs w:val="17"/>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8289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Mary G. Puma,</w:t>
      </w:r>
    </w:p>
    <w:p>
      <w:pPr>
        <w:ind w:left="45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441960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jc w:val="center"/>
        <w:ind w:right="19"/>
        <w:spacing w:after="0" w:line="203" w:lineRule="auto"/>
        <w:rPr>
          <w:sz w:val="20"/>
          <w:szCs w:val="20"/>
          <w:color w:val="auto"/>
        </w:rPr>
      </w:pPr>
      <w:r>
        <w:rPr>
          <w:rFonts w:ascii="Arial" w:cs="Arial" w:eastAsia="Arial" w:hAnsi="Arial"/>
          <w:sz w:val="18"/>
          <w:szCs w:val="18"/>
          <w:b w:val="1"/>
          <w:bCs w:val="1"/>
          <w:color w:val="auto"/>
        </w:rPr>
        <w:t>of the Principal Financial Officer</w:t>
      </w:r>
    </w:p>
    <w:p>
      <w:pPr>
        <w:jc w:val="center"/>
        <w:ind w:right="19"/>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Kevin J. Brewer, certify that:</w:t>
      </w:r>
    </w:p>
    <w:p>
      <w:pPr>
        <w:spacing w:after="0" w:line="144" w:lineRule="exact"/>
        <w:rPr>
          <w:sz w:val="20"/>
          <w:szCs w:val="20"/>
          <w:color w:val="auto"/>
        </w:rPr>
      </w:pPr>
    </w:p>
    <w:p>
      <w:pPr>
        <w:ind w:left="540" w:hanging="49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144" w:lineRule="exact"/>
        <w:rPr>
          <w:rFonts w:ascii="Arial" w:cs="Arial" w:eastAsia="Arial" w:hAnsi="Arial"/>
          <w:sz w:val="18"/>
          <w:szCs w:val="18"/>
          <w:color w:val="auto"/>
        </w:rPr>
      </w:pPr>
    </w:p>
    <w:p>
      <w:pPr>
        <w:ind w:left="540" w:right="59" w:hanging="496"/>
        <w:spacing w:after="0" w:line="22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40" w:right="339" w:hanging="496"/>
        <w:spacing w:after="0" w:line="22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40" w:right="179" w:hanging="496"/>
        <w:spacing w:after="0" w:line="237" w:lineRule="auto"/>
        <w:tabs>
          <w:tab w:leader="none" w:pos="53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ind w:left="1060" w:right="179" w:hanging="501"/>
        <w:spacing w:after="0" w:line="227" w:lineRule="auto"/>
        <w:tabs>
          <w:tab w:leader="none" w:pos="1057"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8"/>
          <w:szCs w:val="18"/>
          <w:color w:val="auto"/>
        </w:rPr>
      </w:pPr>
    </w:p>
    <w:p>
      <w:pPr>
        <w:ind w:left="1060" w:right="279" w:hanging="501"/>
        <w:spacing w:after="0" w:line="227" w:lineRule="auto"/>
        <w:tabs>
          <w:tab w:leader="none" w:pos="1067"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jc w:val="both"/>
        <w:ind w:left="1060" w:right="159" w:hanging="501"/>
        <w:spacing w:after="0" w:line="235" w:lineRule="auto"/>
        <w:tabs>
          <w:tab w:leader="none" w:pos="1057"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8"/>
          <w:szCs w:val="18"/>
          <w:color w:val="auto"/>
        </w:rPr>
      </w:pPr>
    </w:p>
    <w:p>
      <w:pPr>
        <w:ind w:left="1060" w:right="79" w:hanging="501"/>
        <w:spacing w:after="0" w:line="227" w:lineRule="auto"/>
        <w:tabs>
          <w:tab w:leader="none" w:pos="1067"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8"/>
          <w:szCs w:val="18"/>
          <w:color w:val="auto"/>
        </w:rPr>
      </w:pPr>
    </w:p>
    <w:p>
      <w:pPr>
        <w:jc w:val="both"/>
        <w:ind w:left="540" w:right="499" w:hanging="496"/>
        <w:spacing w:after="0" w:line="224" w:lineRule="auto"/>
        <w:tabs>
          <w:tab w:leader="none" w:pos="53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060" w:right="259" w:hanging="501"/>
        <w:spacing w:after="0" w:line="235" w:lineRule="auto"/>
        <w:tabs>
          <w:tab w:leader="none" w:pos="1057"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8"/>
          <w:szCs w:val="18"/>
          <w:color w:val="auto"/>
        </w:rPr>
      </w:pPr>
    </w:p>
    <w:p>
      <w:pPr>
        <w:ind w:left="1060" w:right="379" w:hanging="501"/>
        <w:spacing w:after="0" w:line="261" w:lineRule="auto"/>
        <w:tabs>
          <w:tab w:leader="none" w:pos="1067"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7"/>
          <w:szCs w:val="17"/>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8289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J. Brewer,</w:t>
      </w:r>
    </w:p>
    <w:p>
      <w:pPr>
        <w:ind w:left="45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441960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 w:name="page33"/>
    <w:bookmarkEnd w:id="3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jc w:val="center"/>
        <w:ind w:right="19"/>
        <w:spacing w:after="0" w:line="203" w:lineRule="auto"/>
        <w:rPr>
          <w:sz w:val="20"/>
          <w:szCs w:val="20"/>
          <w:color w:val="auto"/>
        </w:rPr>
      </w:pPr>
      <w:r>
        <w:rPr>
          <w:rFonts w:ascii="Arial" w:cs="Arial" w:eastAsia="Arial" w:hAnsi="Arial"/>
          <w:sz w:val="18"/>
          <w:szCs w:val="18"/>
          <w:b w:val="1"/>
          <w:bCs w:val="1"/>
          <w:color w:val="auto"/>
        </w:rPr>
        <w:t>Certification of the Principal Executive Officer</w:t>
      </w: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28" w:lineRule="exact"/>
        <w:rPr>
          <w:sz w:val="20"/>
          <w:szCs w:val="20"/>
          <w:color w:val="auto"/>
        </w:rPr>
      </w:pPr>
    </w:p>
    <w:p>
      <w:pPr>
        <w:ind w:left="40" w:right="59" w:firstLine="495"/>
        <w:spacing w:after="0" w:line="224" w:lineRule="auto"/>
        <w:rPr>
          <w:sz w:val="20"/>
          <w:szCs w:val="20"/>
          <w:color w:val="auto"/>
        </w:rPr>
      </w:pPr>
      <w:r>
        <w:rPr>
          <w:rFonts w:ascii="Arial" w:cs="Arial" w:eastAsia="Arial" w:hAnsi="Arial"/>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22" w:lineRule="exact"/>
        <w:rPr>
          <w:sz w:val="20"/>
          <w:szCs w:val="20"/>
          <w:color w:val="auto"/>
        </w:rPr>
      </w:pPr>
    </w:p>
    <w:p>
      <w:pPr>
        <w:ind w:left="40" w:right="439" w:firstLine="495"/>
        <w:spacing w:after="0" w:line="224"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May 6, 2020.</w:t>
      </w:r>
    </w:p>
    <w:p>
      <w:pPr>
        <w:spacing w:after="0" w:line="15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8289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Mary G. Puma</w:t>
      </w:r>
    </w:p>
    <w:p>
      <w:pPr>
        <w:ind w:left="4500"/>
        <w:spacing w:after="0" w:line="203" w:lineRule="auto"/>
        <w:rPr>
          <w:sz w:val="20"/>
          <w:szCs w:val="20"/>
          <w:color w:val="auto"/>
        </w:rPr>
      </w:pPr>
      <w:r>
        <w:rPr>
          <w:rFonts w:ascii="Arial" w:cs="Arial" w:eastAsia="Arial" w:hAnsi="Arial"/>
          <w:sz w:val="18"/>
          <w:szCs w:val="18"/>
          <w:i w:val="1"/>
          <w:iCs w:val="1"/>
          <w:color w:val="auto"/>
        </w:rPr>
        <w:t>President and Chief Executive Officer of Axcelis</w:t>
      </w:r>
    </w:p>
    <w:p>
      <w:pPr>
        <w:ind w:left="4500"/>
        <w:spacing w:after="0"/>
        <w:rPr>
          <w:sz w:val="20"/>
          <w:szCs w:val="20"/>
          <w:color w:val="auto"/>
        </w:rPr>
      </w:pPr>
      <w:r>
        <w:rPr>
          <w:rFonts w:ascii="Arial" w:cs="Arial" w:eastAsia="Arial" w:hAnsi="Arial"/>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441960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 w:name="page34"/>
    <w:bookmarkEnd w:id="33"/>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jc w:val="center"/>
        <w:ind w:right="19"/>
        <w:spacing w:after="0" w:line="203" w:lineRule="auto"/>
        <w:rPr>
          <w:sz w:val="20"/>
          <w:szCs w:val="20"/>
          <w:color w:val="auto"/>
        </w:rPr>
      </w:pPr>
      <w:r>
        <w:rPr>
          <w:rFonts w:ascii="Arial" w:cs="Arial" w:eastAsia="Arial" w:hAnsi="Arial"/>
          <w:sz w:val="18"/>
          <w:szCs w:val="18"/>
          <w:b w:val="1"/>
          <w:bCs w:val="1"/>
          <w:color w:val="auto"/>
        </w:rPr>
        <w:t>Certification of the Principal Financial Officer</w:t>
      </w: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28" w:lineRule="exact"/>
        <w:rPr>
          <w:sz w:val="20"/>
          <w:szCs w:val="20"/>
          <w:color w:val="auto"/>
        </w:rPr>
      </w:pPr>
    </w:p>
    <w:p>
      <w:pPr>
        <w:ind w:left="40" w:right="119" w:firstLine="495"/>
        <w:spacing w:after="0" w:line="224" w:lineRule="auto"/>
        <w:rPr>
          <w:sz w:val="20"/>
          <w:szCs w:val="20"/>
          <w:color w:val="auto"/>
        </w:rPr>
      </w:pPr>
      <w:r>
        <w:rPr>
          <w:rFonts w:ascii="Arial" w:cs="Arial" w:eastAsia="Arial" w:hAnsi="Arial"/>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22" w:lineRule="exact"/>
        <w:rPr>
          <w:sz w:val="20"/>
          <w:szCs w:val="20"/>
          <w:color w:val="auto"/>
        </w:rPr>
      </w:pPr>
    </w:p>
    <w:p>
      <w:pPr>
        <w:ind w:left="40" w:right="439" w:firstLine="495"/>
        <w:spacing w:after="0" w:line="224"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May 6, 2020.</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8289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J. Brewer</w:t>
      </w:r>
    </w:p>
    <w:p>
      <w:pPr>
        <w:ind w:left="4500"/>
        <w:spacing w:after="0" w:line="203" w:lineRule="auto"/>
        <w:rPr>
          <w:sz w:val="20"/>
          <w:szCs w:val="20"/>
          <w:color w:val="auto"/>
        </w:rPr>
      </w:pPr>
      <w:r>
        <w:rPr>
          <w:rFonts w:ascii="Arial" w:cs="Arial" w:eastAsia="Arial" w:hAnsi="Arial"/>
          <w:sz w:val="18"/>
          <w:szCs w:val="18"/>
          <w:i w:val="1"/>
          <w:iCs w:val="1"/>
          <w:color w:val="auto"/>
        </w:rPr>
        <w:t>Executive Vice President and Chief Financial Officer of</w:t>
      </w:r>
    </w:p>
    <w:p>
      <w:pPr>
        <w:ind w:left="4500"/>
        <w:spacing w:after="0"/>
        <w:rPr>
          <w:sz w:val="20"/>
          <w:szCs w:val="20"/>
          <w:color w:val="auto"/>
        </w:rPr>
      </w:pPr>
      <w:r>
        <w:rPr>
          <w:rFonts w:ascii="Arial" w:cs="Arial" w:eastAsia="Arial" w:hAnsi="Arial"/>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441960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upperLetter"/>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0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28" Type="http://schemas.openxmlformats.org/officeDocument/2006/relationships/hyperlink" Target="http://www.sec.gov/Archives/edgar/data/1113232/000155837020001858/acls-20191231x10k.htm" TargetMode="External"/><Relationship Id="rId40" Type="http://schemas.openxmlformats.org/officeDocument/2006/relationships/hyperlink" Target="http://www.sec.gov/Archives/edgar/data/1113232/000155837017008078/acls-20170930ex31a83feb6.htm" TargetMode="External"/><Relationship Id="rId41" Type="http://schemas.openxmlformats.org/officeDocument/2006/relationships/hyperlink" Target="http://www.sec.gov/Archives/edgar/data/1113232/000110465914040101/a14-8383_4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2020-05-06T10:49:00Z</dcterms:created>
  <dcterms:modified xsi:type="dcterms:W3CDTF">2020-05-06T10:49:00Z</dcterms:modified>
</cp:coreProperties>
</file>