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31, 2024</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Axcelis Technologies,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3"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000-30941</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34-1818596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673" w:right="339" w:bottom="1440" w:gutter="0" w:footer="0" w:header="0"/>
          <w:type w:val="continuous"/>
        </w:sectPr>
      </w:pPr>
    </w:p>
    <w:p>
      <w:pPr>
        <w:spacing w:after="0" w:line="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108 Cherry Hill Drive, Beverly, Massachusetts</w:t>
      </w:r>
    </w:p>
    <w:p>
      <w:pPr>
        <w:spacing w:after="0" w:line="43"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01915</w:t>
      </w:r>
    </w:p>
    <w:p>
      <w:pPr>
        <w:spacing w:after="0" w:line="3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820" w:space="720"/>
            <w:col w:w="2700"/>
          </w:cols>
          <w:pgMar w:left="320" w:top="67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(978) 787-4000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ACLS</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64"/>
        </w:trPr>
        <w:tc>
          <w:tcPr>
            <w:tcW w:w="452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4480" w:type="dxa"/>
            <w:vAlign w:val="bottom"/>
            <w:tcBorders>
              <w:bottom w:val="single" w:sz="8" w:color="auto"/>
            </w:tcBorders>
          </w:tcPr>
          <w:p>
            <w:pPr>
              <w:spacing w:after="0"/>
              <w:rPr>
                <w:sz w:val="22"/>
                <w:szCs w:val="22"/>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459"/>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July 31, 2024, Axcelis Technologies, Inc. (the “Company”) issued a press release regarding its financial results for its quarter ended June 30, 2024. The Company’s press release is attached as Exhibit 99.1 to this Current Report on Form 8-K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620" w:type="dxa"/>
            <w:vAlign w:val="bottom"/>
          </w:tcPr>
          <w:p>
            <w:pPr>
              <w:spacing w:after="0"/>
              <w:rPr>
                <w:sz w:val="20"/>
                <w:szCs w:val="20"/>
                <w:color w:val="auto"/>
              </w:rPr>
            </w:pPr>
          </w:p>
        </w:tc>
        <w:tc>
          <w:tcPr>
            <w:tcW w:w="5800" w:type="dxa"/>
            <w:vAlign w:val="bottom"/>
          </w:tcPr>
          <w:p>
            <w:pPr>
              <w:jc w:val="right"/>
              <w:ind w:right="417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24"/>
                <w:szCs w:val="24"/>
                <w:color w:val="auto"/>
              </w:rPr>
            </w:pPr>
          </w:p>
        </w:tc>
        <w:tc>
          <w:tcPr>
            <w:tcW w:w="9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July 31, 2024. Filed herewith.</w:t>
            </w:r>
          </w:p>
        </w:tc>
      </w:tr>
      <w:tr>
        <w:trPr>
          <w:trHeight w:val="20"/>
        </w:trPr>
        <w:tc>
          <w:tcPr>
            <w:tcW w:w="3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48"/>
        </w:trPr>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31, 2024</w:t>
      </w:r>
      <w:r>
        <w:rPr>
          <w:sz w:val="20"/>
          <w:szCs w:val="20"/>
          <w:color w:val="auto"/>
        </w:rPr>
        <w:tab/>
      </w:r>
      <w:r>
        <w:rPr>
          <w:rFonts w:ascii="Times New Roman" w:cs="Times New Roman" w:eastAsia="Times New Roman" w:hAnsi="Times New Roman"/>
          <w:sz w:val="17"/>
          <w:szCs w:val="17"/>
          <w:color w:val="auto"/>
        </w:rPr>
        <w:t>Axcelis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James Coogan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James Coogan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320" w:top="900"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156845</wp:posOffset>
            </wp:positionV>
            <wp:extent cx="1148715" cy="325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87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Announces Financial Results for Second Quarter 2024</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Revenue of $256.5 million</w:t>
      </w:r>
    </w:p>
    <w:p>
      <w:pPr>
        <w:spacing w:after="0" w:line="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Operating margin of 20.6%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Diluted earnings per share of $1.55</w:t>
      </w:r>
    </w:p>
    <w:p>
      <w:pPr>
        <w:spacing w:after="0" w:line="20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BEVERLY, Mass. — July 31, 2024—</w:t>
      </w:r>
      <w:r>
        <w:rPr>
          <w:rFonts w:ascii="Times New Roman" w:cs="Times New Roman" w:eastAsia="Times New Roman" w:hAnsi="Times New Roman"/>
          <w:sz w:val="17"/>
          <w:szCs w:val="17"/>
          <w:u w:val="single" w:color="auto"/>
          <w:color w:val="auto"/>
        </w:rPr>
        <w:t>Axcelis Technologies</w:t>
      </w:r>
      <w:r>
        <w:rPr>
          <w:rFonts w:ascii="Times New Roman" w:cs="Times New Roman" w:eastAsia="Times New Roman" w:hAnsi="Times New Roman"/>
          <w:sz w:val="17"/>
          <w:szCs w:val="17"/>
          <w:color w:val="auto"/>
        </w:rPr>
        <w:t>, Inc. (Nasdaq: ACLS) today announced financial results for the second quarter ended June 30, 2024. The Company reported second quarter revenue of $256.5 million, compared to $252.4 million for the first quarter of 2024. Gross margin for the quarter was 43.8%, compared to 46.0% in the first quarter. Operating profit for the quarter was $52.8 million, compared to $56.5 million for the first quarter. Net income for the quarter was $50.9 million, or $1.55 per diluted share, compared to $51.6 million, or $1.57 per diluted share in the first quarter.</w:t>
      </w:r>
    </w:p>
    <w:p>
      <w:pPr>
        <w:spacing w:after="0" w:line="16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President and CEO Russell Low commented, “Axcelis delivered strong financial results in the second quarter, exceeding our expectations. This was driven by better-than-expected conversion of evaluation units into revenue as well as continued robust demand in our Power segment - particularly silicon carbide, which continues to be a key growth driver for Axcelis. We are well positioned to execute on our long term strategy. As we look to the second half of the year, we expect revenue to be slightly better than the first half with momentum expected to build into 2025.”</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Executive Vice President and Chief Financial Officer Jamie Coogan said, “We are very pleased with our second quarter results. Revenue, operating margin and earnings per share exceeded our guidance for the period, and we delivered another quarter of healthy cash flow. Our product positioning and our disciplined cost structure provide a solid foundation on which to grow revenue and profitability as our markets recover.”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third quarter ending September 30, 2024, Axcelis expects revenues of approximately $255 million, and earnings per diluted share of approximately $1.43.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2024 Conference Call</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host a call to discuss the results for the second quarter 2024 on Thursday, August 1, 2024, at 8:30 a.m. ET. The call will be available via webcast that can be accessed through the Investors page of Axcelis' website at www.axcelis.com, or by registering as a Participant here: </w:t>
      </w:r>
      <w:r>
        <w:rPr>
          <w:rFonts w:ascii="Times New Roman" w:cs="Times New Roman" w:eastAsia="Times New Roman" w:hAnsi="Times New Roman"/>
          <w:sz w:val="18"/>
          <w:szCs w:val="18"/>
          <w:u w:val="single" w:color="auto"/>
          <w:color w:val="auto"/>
        </w:rPr>
        <w:t>https://register.vevent.com/register/BIc2d772b56d7b46c0a39772ba7468e5a0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replays will be available for 30 days following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5591810</wp:posOffset>
            </wp:positionH>
            <wp:positionV relativeFrom="page">
              <wp:posOffset>586105</wp:posOffset>
            </wp:positionV>
            <wp:extent cx="1148715"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257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and the conference call contain forward-looking statements under the Private Securities Litigation Reform Act safe harbor provisions. These statements, which include our expectations for spending in our industry and guidance for future financial performance, are based on management’s current expectations and should be viewed with caution. They are subject to various risks and uncertainties that could cause actual results to differ materially from those in the forward-looking statements, many of which are outside the control of the Company, including that customer decisions to place orders or our product shipments may not occur when we expect, that orders may not be converted to revenue in any particular quarter, or at all, whether demand will continue for the semiconductor equipment we produce or, if not, whether we can successfully meet changing market requirements, and whether we will be able to maintain continuity of business relationships with and purchases by major customers. Increased competitive pressure on sales and pricing, increases in material and other production costs that cannot be recouped in product pricing and instability caused by changing global economic, political or financial conditions could also cause actual results to differ materially from those in our forward-looking statements. These risks and other risk factors relating to Axcelis are described more fully in the most recent Form 10-K filed by Axcelis and in other documents filed from time to time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Axcelis: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Axcelis (Nasdaq: ACLS), headquartered in Beverly, Mass., has been providing innovative, high-productivity solutions for the semiconductor industry for over 45 years. Axcelis is dedicated to developing enabling process applications through the design, manufacture and complete life cycle support of ion implantation systems, one of the most critical and enabling steps in the IC manufacturing process. Learn more about Axcelis at www.axcelis.com.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Ryzhik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Investor Relations and Corporate Strategy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(978) 787-2352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David.Ryzhik@axcelis.com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Press/Media Relations Contact:</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Maureen Hart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Corporate &amp; Marketing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(978) 787-4266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Maureen.Hart@axcelis.com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5591810</wp:posOffset>
            </wp:positionH>
            <wp:positionV relativeFrom="page">
              <wp:posOffset>586105</wp:posOffset>
            </wp:positionV>
            <wp:extent cx="1148715"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25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News Release</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920" w:type="dxa"/>
            <w:vAlign w:val="bottom"/>
          </w:tcPr>
          <w:p>
            <w:pPr>
              <w:spacing w:after="0"/>
              <w:rPr>
                <w:sz w:val="24"/>
                <w:szCs w:val="24"/>
                <w:color w:val="auto"/>
              </w:rPr>
            </w:pPr>
          </w:p>
        </w:tc>
        <w:tc>
          <w:tcPr>
            <w:tcW w:w="272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Axcelis Technologies, Inc.</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3240" w:type="dxa"/>
            <w:vAlign w:val="bottom"/>
            <w:gridSpan w:val="6"/>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320" w:type="dxa"/>
            <w:vAlign w:val="bottom"/>
            <w:gridSpan w:val="8"/>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70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245,380</w:t>
            </w:r>
          </w:p>
        </w:tc>
        <w:tc>
          <w:tcPr>
            <w:tcW w:w="52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265,673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488,798</w:t>
            </w:r>
          </w:p>
        </w:tc>
        <w:tc>
          <w:tcPr>
            <w:tcW w:w="4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511,680</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11,132</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8,297</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16,310</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256,512</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273,970</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508,883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527,990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134,759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146,741</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262,670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289,512</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9,344</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7,526</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14,756</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1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144,103</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154,267</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280,423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25,786</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24,130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51,448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47,903</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17,230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15,537</w:t>
            </w: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34,675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29,681</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16,583</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16,328</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32,988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31,073</w:t>
            </w:r>
          </w:p>
        </w:tc>
        <w:tc>
          <w:tcPr>
            <w:tcW w:w="0" w:type="dxa"/>
            <w:vAlign w:val="bottom"/>
          </w:tcPr>
          <w:p>
            <w:pPr>
              <w:spacing w:after="0"/>
              <w:rPr>
                <w:sz w:val="1"/>
                <w:szCs w:val="1"/>
                <w:color w:val="auto"/>
              </w:rPr>
            </w:pPr>
          </w:p>
        </w:tc>
      </w:tr>
      <w:tr>
        <w:trPr>
          <w:trHeight w:val="210"/>
        </w:trPr>
        <w:tc>
          <w:tcPr>
            <w:tcW w:w="3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6,051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4,307</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8,243</w:t>
            </w: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(1,339)</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(2,050)</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(3,088)</w:t>
            </w: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1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6,399</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3,037</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13,803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8,242</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52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w:t>
            </w:r>
          </w:p>
        </w:tc>
        <w:tc>
          <w:tcPr>
            <w:tcW w:w="42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20" w:type="dxa"/>
            <w:vAlign w:val="bottom"/>
            <w:tcBorders>
              <w:bottom w:val="single" w:sz="8" w:color="CCEEFF"/>
            </w:tcBorders>
            <w:vMerge w:val="continue"/>
          </w:tcPr>
          <w:p>
            <w:pPr>
              <w:spacing w:after="0"/>
              <w:rPr>
                <w:sz w:val="20"/>
                <w:szCs w:val="20"/>
                <w:color w:val="auto"/>
              </w:rPr>
            </w:pPr>
          </w:p>
        </w:tc>
        <w:tc>
          <w:tcPr>
            <w:tcW w:w="11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22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1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of common stock</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32,598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32,775</w:t>
            </w:r>
          </w:p>
        </w:tc>
        <w:tc>
          <w:tcPr>
            <w:tcW w:w="3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32,618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197"/>
        </w:trPr>
        <w:tc>
          <w:tcPr>
            <w:tcW w:w="392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 weighted average shares of common stock</w:t>
            </w: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32,771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33,189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33,237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6" w:name="page7"/>
    <w:bookmarkEnd w:id="6"/>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5591810</wp:posOffset>
            </wp:positionH>
            <wp:positionV relativeFrom="page">
              <wp:posOffset>586105</wp:posOffset>
            </wp:positionV>
            <wp:extent cx="1148715"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148715" cy="3257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News Release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Axcelis Technologies,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amounts)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196"/>
        </w:trPr>
        <w:tc>
          <w:tcPr>
            <w:tcW w:w="8000" w:type="dxa"/>
            <w:vAlign w:val="bottom"/>
            <w:shd w:val="clear" w:color="auto" w:fill="CCEEFF"/>
          </w:tcPr>
          <w:p>
            <w:pPr>
              <w:jc w:val="center"/>
              <w:ind w:left="315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145,166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167,297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403,143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338,851</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188,080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217,964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283,090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306,482</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54,741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49,397</w:t>
            </w: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1,078,327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1,079,991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53,971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30,716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16,632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6,654</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55,441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53,428</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50,662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40,575</w:t>
            </w:r>
          </w:p>
        </w:tc>
      </w:tr>
      <w:tr>
        <w:trPr>
          <w:trHeight w:val="263"/>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1,288,405</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1,281,967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70"/>
        </w:trPr>
        <w:tc>
          <w:tcPr>
            <w:tcW w:w="8000" w:type="dxa"/>
            <w:vAlign w:val="bottom"/>
            <w:shd w:val="clear" w:color="auto" w:fill="CCEEFF"/>
          </w:tcPr>
          <w:p>
            <w:pPr>
              <w:jc w:val="center"/>
              <w:ind w:left="3150"/>
              <w:spacing w:after="0" w:line="170"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45,782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31,445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14,502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14,098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6,164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148,390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164,677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1,511</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17,984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12,834</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43,004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43,674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46,208</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40,653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42,074</w:t>
            </w: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417,085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32,617 shares issued and outstanding at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2024; 32,685 shares issued and outstanding at December 31, 2023</w:t>
            </w:r>
          </w:p>
        </w:tc>
        <w:tc>
          <w:tcPr>
            <w:tcW w:w="2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0"/>
                <w:szCs w:val="20"/>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542,677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547,189</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396,718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319,506</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(1,846)</w:t>
            </w:r>
          </w:p>
        </w:tc>
      </w:tr>
      <w:tr>
        <w:trPr>
          <w:trHeight w:val="210"/>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934,948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1,288,405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8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2024-07-31T15:27:06Z</dcterms:created>
  <dcterms:modified xsi:type="dcterms:W3CDTF">2024-07-31T15:27:06Z</dcterms:modified>
</cp:coreProperties>
</file>