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Bintz William J</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7"/>
                <w:szCs w:val="17"/>
                <w:color w:val="0000FF"/>
              </w:rPr>
              <w:t>108 CHERRY HILL DRIVE</w:t>
            </w:r>
          </w:p>
        </w:tc>
        <w:tc>
          <w:tcPr>
            <w:tcW w:w="14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BEVERLY</w:t>
            </w:r>
          </w:p>
        </w:tc>
        <w:tc>
          <w:tcPr>
            <w:tcW w:w="1220" w:type="dxa"/>
            <w:vAlign w:val="bottom"/>
          </w:tcPr>
          <w:p>
            <w:pPr>
              <w:ind w:left="220"/>
              <w:spacing w:after="0"/>
              <w:rPr>
                <w:sz w:val="20"/>
                <w:szCs w:val="20"/>
                <w:color w:val="auto"/>
              </w:rPr>
            </w:pPr>
            <w:r>
              <w:rPr>
                <w:rFonts w:ascii="Arial" w:cs="Arial" w:eastAsia="Arial" w:hAnsi="Arial"/>
                <w:sz w:val="17"/>
                <w:szCs w:val="17"/>
                <w:color w:val="0000FF"/>
              </w:rPr>
              <w:t>MA</w:t>
            </w:r>
          </w:p>
        </w:tc>
        <w:tc>
          <w:tcPr>
            <w:tcW w:w="1420" w:type="dxa"/>
            <w:vAlign w:val="bottom"/>
          </w:tcPr>
          <w:p>
            <w:pPr>
              <w:ind w:left="220"/>
              <w:spacing w:after="0"/>
              <w:rPr>
                <w:sz w:val="20"/>
                <w:szCs w:val="20"/>
                <w:color w:val="auto"/>
              </w:rPr>
            </w:pPr>
            <w:r>
              <w:rPr>
                <w:rFonts w:ascii="Arial" w:cs="Arial" w:eastAsia="Arial" w:hAnsi="Arial"/>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AXCELIS TECHNOLOGIES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ACLS</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EVP, Product Development</w:t>
            </w:r>
          </w:p>
        </w:tc>
        <w:tc>
          <w:tcPr>
            <w:tcW w:w="0" w:type="dxa"/>
            <w:vAlign w:val="bottom"/>
          </w:tcPr>
          <w:p>
            <w:pPr>
              <w:spacing w:after="0"/>
              <w:rPr>
                <w:sz w:val="1"/>
                <w:szCs w:val="1"/>
                <w:color w:val="auto"/>
              </w:rPr>
            </w:pPr>
          </w:p>
        </w:tc>
      </w:tr>
      <w:tr>
        <w:trPr>
          <w:trHeight w:val="114"/>
        </w:trPr>
        <w:tc>
          <w:tcPr>
            <w:tcW w:w="3060" w:type="dxa"/>
            <w:vAlign w:val="bottom"/>
            <w:gridSpan w:val="3"/>
            <w:vMerge w:val="restart"/>
          </w:tcPr>
          <w:p>
            <w:pPr>
              <w:ind w:left="80"/>
              <w:spacing w:after="0"/>
              <w:rPr>
                <w:sz w:val="20"/>
                <w:szCs w:val="20"/>
                <w:color w:val="auto"/>
              </w:rPr>
            </w:pPr>
            <w:r>
              <w:rPr>
                <w:rFonts w:ascii="Arial" w:cs="Arial" w:eastAsia="Arial" w:hAnsi="Arial"/>
                <w:sz w:val="17"/>
                <w:szCs w:val="17"/>
                <w:color w:val="0000FF"/>
              </w:rPr>
              <w:t>11/23/2022</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0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11/23/2022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6,180</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79.08</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32,971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11/23/2022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1,798</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79.81</w:t>
            </w:r>
            <w:r>
              <w:rPr>
                <w:rFonts w:ascii="Arial" w:cs="Arial" w:eastAsia="Arial" w:hAnsi="Arial"/>
                <w:sz w:val="22"/>
                <w:szCs w:val="22"/>
                <w:color w:val="008000"/>
                <w:w w:val="97"/>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31,173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$78.72 to $79.70, inclusive. The reporting person undertakes to provide to Axcelis Technologies, Inc., any security holder of Axcelis Technologies, Inc., or the staff of the Securities and Exchange Commission, upon request, full information regarding the number of shares sold at each separate price.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Of the shares held as of November 23, 2022, 8,795 were issuable on vesting of restricted stock units granted to the executive under the 2012 Equity Incentive Plan and are subject to forfeiture.</w:t>
      </w:r>
    </w:p>
    <w:p>
      <w:pPr>
        <w:spacing w:after="0" w:line="61" w:lineRule="exact"/>
        <w:rPr>
          <w:rFonts w:ascii="Arial" w:cs="Arial" w:eastAsia="Arial" w:hAnsi="Arial"/>
          <w:sz w:val="12"/>
          <w:szCs w:val="12"/>
          <w:color w:val="008000"/>
        </w:rPr>
      </w:pPr>
    </w:p>
    <w:p>
      <w:pPr>
        <w:ind w:left="40" w:right="3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$79.72 to $79.94, inclusive. The reporting person undertakes to provide to Axcelis Technologies, Inc., any security holder of Axcelis Technologies, Inc., or the staff of the Securities and Exchange Commission, upon request, full information regarding the number of shares sold at each separate price.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Lynnette C. Fallon, as attorney </w:t>
      </w:r>
      <w:r>
        <w:rPr>
          <w:rFonts w:ascii="Arial" w:cs="Arial" w:eastAsia="Arial" w:hAnsi="Arial"/>
          <w:sz w:val="34"/>
          <w:szCs w:val="34"/>
          <w:color w:val="0000FF"/>
          <w:vertAlign w:val="subscript"/>
        </w:rPr>
        <w:t>11/23/2022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 fact for William J. Bintz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81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11134" TargetMode="External"/><Relationship Id="rId13"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2022-11-23T15:34:44Z</dcterms:created>
  <dcterms:modified xsi:type="dcterms:W3CDTF">2022-11-23T15:34:44Z</dcterms:modified>
</cp:coreProperties>
</file>