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434975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1" w:lineRule="exact"/>
        <w:rPr>
          <w:sz w:val="24"/>
          <w:szCs w:val="24"/>
          <w:color w:val="auto"/>
        </w:rPr>
      </w:pPr>
    </w:p>
    <w:p>
      <w:pPr>
        <w:ind w:left="640" w:right="1260" w:hanging="326"/>
        <w:spacing w:after="0" w:line="256" w:lineRule="auto"/>
        <w:tabs>
          <w:tab w:leader="none" w:pos="6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640" w:right="1260" w:hanging="326"/>
        <w:spacing w:after="0" w:line="256" w:lineRule="auto"/>
        <w:tabs>
          <w:tab w:leader="none" w:pos="6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200"/>
        <w:spacing w:after="0"/>
        <w:tabs>
          <w:tab w:leader="none" w:pos="6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000-30941</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AXCELIS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390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630"/>
              <w:spacing w:after="0"/>
              <w:rPr>
                <w:sz w:val="20"/>
                <w:szCs w:val="20"/>
                <w:color w:val="auto"/>
              </w:rPr>
            </w:pPr>
            <w:r>
              <w:rPr>
                <w:rFonts w:ascii="Arial" w:cs="Arial" w:eastAsia="Arial" w:hAnsi="Arial"/>
                <w:sz w:val="18"/>
                <w:szCs w:val="18"/>
                <w:b w:val="1"/>
                <w:bCs w:val="1"/>
                <w:color w:val="auto"/>
                <w:w w:val="89"/>
              </w:rPr>
              <w:t>34-1818596</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(State or other jurisdiction of</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3"/>
              </w:rPr>
              <w:t>(IRS Employer</w:t>
            </w:r>
          </w:p>
        </w:tc>
      </w:tr>
      <w:tr>
        <w:trPr>
          <w:trHeight w:val="243"/>
        </w:trPr>
        <w:tc>
          <w:tcPr>
            <w:tcW w:w="3900" w:type="dxa"/>
            <w:vAlign w:val="bottom"/>
          </w:tcPr>
          <w:p>
            <w:pPr>
              <w:jc w:val="center"/>
              <w:ind w:right="1650"/>
              <w:spacing w:after="0"/>
              <w:rPr>
                <w:sz w:val="20"/>
                <w:szCs w:val="20"/>
                <w:color w:val="auto"/>
              </w:rPr>
            </w:pPr>
            <w:r>
              <w:rPr>
                <w:rFonts w:ascii="Arial" w:cs="Arial" w:eastAsia="Arial" w:hAnsi="Arial"/>
                <w:sz w:val="18"/>
                <w:szCs w:val="18"/>
                <w:color w:val="auto"/>
                <w:w w:val="92"/>
              </w:rPr>
              <w:t>incorporation or organization)</w:t>
            </w:r>
          </w:p>
        </w:tc>
        <w:tc>
          <w:tcPr>
            <w:tcW w:w="3060" w:type="dxa"/>
            <w:vAlign w:val="bottom"/>
          </w:tcPr>
          <w:p>
            <w:pPr>
              <w:jc w:val="center"/>
              <w:ind w:left="1630"/>
              <w:spacing w:after="0"/>
              <w:rPr>
                <w:sz w:val="20"/>
                <w:szCs w:val="20"/>
                <w:color w:val="auto"/>
              </w:rPr>
            </w:pPr>
            <w:r>
              <w:rPr>
                <w:rFonts w:ascii="Arial" w:cs="Arial" w:eastAsia="Arial" w:hAnsi="Arial"/>
                <w:sz w:val="18"/>
                <w:szCs w:val="18"/>
                <w:color w:val="auto"/>
                <w:w w:val="95"/>
              </w:rPr>
              <w:t>Identification No.)</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108 Cherry Hill Drive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Beverly, Massachusetts 01915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(978) 787-4000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p>
      <w:pPr>
        <w:ind w:left="2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ACLS</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67" w:lineRule="exact"/>
        <w:rPr>
          <w:sz w:val="24"/>
          <w:szCs w:val="24"/>
          <w:color w:val="auto"/>
        </w:rPr>
      </w:pPr>
    </w:p>
    <w:p>
      <w:pPr>
        <w:ind w:right="280" w:firstLine="23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1" w:lineRule="exact"/>
        <w:rPr>
          <w:sz w:val="24"/>
          <w:szCs w:val="24"/>
          <w:color w:val="auto"/>
        </w:rPr>
      </w:pPr>
    </w:p>
    <w:p>
      <w:pPr>
        <w:ind w:right="20" w:firstLine="23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49" w:lineRule="exact"/>
        <w:rPr>
          <w:sz w:val="24"/>
          <w:szCs w:val="24"/>
          <w:color w:val="auto"/>
        </w:rPr>
      </w:pPr>
    </w:p>
    <w:p>
      <w:pPr>
        <w:ind w:right="160" w:firstLine="23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43" w:lineRule="exact"/>
        <w:rPr>
          <w:sz w:val="24"/>
          <w:szCs w:val="24"/>
          <w:color w:val="auto"/>
        </w:rPr>
      </w:pPr>
    </w:p>
    <w:p>
      <w:pPr>
        <w:ind w:left="1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16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4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3">
            <w:col w:w="5880" w:space="720"/>
            <w:col w:w="1960" w:space="100"/>
            <w:col w:w="1560"/>
          </w:cols>
          <w:pgMar w:left="840" w:top="665" w:right="839" w:bottom="1440" w:gutter="0" w:footer="0" w:header="0"/>
          <w:type w:val="continuous"/>
        </w:sectPr>
      </w:pPr>
    </w:p>
    <w:p>
      <w:pPr>
        <w:ind w:right="200" w:firstLine="233"/>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 w:lineRule="exact"/>
        <w:rPr>
          <w:sz w:val="24"/>
          <w:szCs w:val="24"/>
          <w:color w:val="auto"/>
        </w:rPr>
      </w:pPr>
    </w:p>
    <w:p>
      <w:pPr>
        <w:ind w:left="220" w:right="840" w:hanging="3"/>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2, 2021 there were 33,311,783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421005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43815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89"/>
              </w:rPr>
              <w:t>Table of Contents</w:t>
            </w:r>
          </w:p>
        </w:tc>
        <w:tc>
          <w:tcPr>
            <w:tcW w:w="360" w:type="dxa"/>
            <w:vAlign w:val="bottom"/>
          </w:tcPr>
          <w:p>
            <w:pPr>
              <w:spacing w:after="0"/>
              <w:rPr>
                <w:sz w:val="20"/>
                <w:szCs w:val="20"/>
                <w:color w:val="auto"/>
              </w:rPr>
            </w:pPr>
          </w:p>
        </w:tc>
      </w:tr>
      <w:tr>
        <w:trPr>
          <w:trHeight w:val="418"/>
        </w:trPr>
        <w:tc>
          <w:tcPr>
            <w:tcW w:w="3120" w:type="dxa"/>
            <w:vAlign w:val="bottom"/>
            <w:tcBorders>
              <w:bottom w:val="single" w:sz="8" w:color="0000EE"/>
            </w:tcBorders>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56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8020" w:type="dxa"/>
            <w:vAlign w:val="bottom"/>
            <w:gridSpan w:val="2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 (Unaudited)</w:t>
              </w:r>
            </w:hyperlink>
          </w:p>
        </w:tc>
        <w:tc>
          <w:tcPr>
            <w:tcW w:w="36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4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Statements of Operations for the three and nine months ended September 30, 2021 and 2020</w:t>
              </w:r>
            </w:hyperlink>
          </w:p>
        </w:tc>
        <w:tc>
          <w:tcPr>
            <w:tcW w:w="380" w:type="dxa"/>
            <w:vAlign w:val="bottom"/>
            <w:gridSpan w:val="3"/>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6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 for the three and nine months ended September 30, 2021</w:t>
              </w:r>
            </w:hyperlink>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and 2020</w:t>
              </w:r>
            </w:hyperlink>
          </w:p>
        </w:tc>
        <w:tc>
          <w:tcPr>
            <w:tcW w:w="7360" w:type="dxa"/>
            <w:vAlign w:val="bottom"/>
            <w:gridSpan w:val="23"/>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September 30, 2021 and December 31, 2020</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Consolidated Statements of Stockholders’ Equity for the three and nine months ended September 30, 2021</w:t>
              </w:r>
            </w:hyperlink>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and 2020</w:t>
              </w:r>
            </w:hyperlink>
          </w:p>
        </w:tc>
        <w:tc>
          <w:tcPr>
            <w:tcW w:w="7000" w:type="dxa"/>
            <w:vAlign w:val="bottom"/>
            <w:tcBorders>
              <w:top w:val="single" w:sz="8" w:color="0000EE"/>
            </w:tcBorders>
            <w:gridSpan w:val="21"/>
          </w:tcPr>
          <w:p>
            <w:pPr>
              <w:spacing w:after="0"/>
              <w:rPr>
                <w:sz w:val="19"/>
                <w:szCs w:val="19"/>
                <w:color w:val="auto"/>
              </w:rPr>
            </w:pPr>
          </w:p>
        </w:tc>
        <w:tc>
          <w:tcPr>
            <w:tcW w:w="36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nine months ended September 30, 2021 and 2020</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Consolidated Financial Statements (Unaudited)</w:t>
              </w:r>
            </w:hyperlink>
          </w:p>
        </w:tc>
        <w:tc>
          <w:tcPr>
            <w:tcW w:w="2920" w:type="dxa"/>
            <w:vAlign w:val="bottom"/>
            <w:tcBorders>
              <w:top w:val="single" w:sz="8" w:color="0000EE"/>
            </w:tcBorders>
            <w:gridSpan w:val="5"/>
          </w:tcPr>
          <w:p>
            <w:pPr>
              <w:spacing w:after="0"/>
              <w:rPr>
                <w:sz w:val="19"/>
                <w:szCs w:val="19"/>
                <w:color w:val="auto"/>
              </w:rPr>
            </w:pPr>
          </w:p>
        </w:tc>
        <w:tc>
          <w:tcPr>
            <w:tcW w:w="1040" w:type="dxa"/>
            <w:vAlign w:val="bottom"/>
            <w:gridSpan w:val="4"/>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w:t>
              </w:r>
            </w:hyperlink>
          </w:p>
        </w:tc>
        <w:tc>
          <w:tcPr>
            <w:tcW w:w="8020" w:type="dxa"/>
            <w:vAlign w:val="bottom"/>
            <w:gridSpan w:val="25"/>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Overview</w:t>
              </w:r>
            </w:hyperlink>
          </w:p>
        </w:tc>
        <w:tc>
          <w:tcPr>
            <w:tcW w:w="1200" w:type="dxa"/>
            <w:vAlign w:val="bottom"/>
            <w:gridSpan w:val="5"/>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Critical Accounting Estimates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Results of Operations</w:t>
              </w:r>
            </w:hyperlink>
          </w:p>
        </w:tc>
        <w:tc>
          <w:tcPr>
            <w:tcW w:w="600" w:type="dxa"/>
            <w:vAlign w:val="bottom"/>
            <w:tcBorders>
              <w:top w:val="single" w:sz="8" w:color="0000EE"/>
            </w:tcBorders>
            <w:gridSpan w:val="4"/>
          </w:tcPr>
          <w:p>
            <w:pPr>
              <w:spacing w:after="0"/>
              <w:rPr>
                <w:sz w:val="19"/>
                <w:szCs w:val="19"/>
                <w:color w:val="auto"/>
              </w:rPr>
            </w:pPr>
          </w:p>
        </w:tc>
        <w:tc>
          <w:tcPr>
            <w:tcW w:w="5860" w:type="dxa"/>
            <w:vAlign w:val="bottom"/>
            <w:gridSpan w:val="14"/>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Liquidity and Capital Resources</w:t>
              </w:r>
            </w:hyperlink>
          </w:p>
        </w:tc>
        <w:tc>
          <w:tcPr>
            <w:tcW w:w="5700" w:type="dxa"/>
            <w:vAlign w:val="bottom"/>
            <w:gridSpan w:val="13"/>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3.</w:t>
              </w:r>
            </w:hyperlink>
          </w:p>
        </w:tc>
        <w:tc>
          <w:tcPr>
            <w:tcW w:w="8020" w:type="dxa"/>
            <w:vAlign w:val="bottom"/>
            <w:gridSpan w:val="2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4.</w:t>
              </w:r>
            </w:hyperlink>
          </w:p>
        </w:tc>
        <w:tc>
          <w:tcPr>
            <w:tcW w:w="8020" w:type="dxa"/>
            <w:vAlign w:val="bottom"/>
            <w:gridSpan w:val="2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8760" w:type="dxa"/>
            <w:vAlign w:val="bottom"/>
            <w:gridSpan w:val="2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4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1.</w:t>
              </w:r>
            </w:hyperlink>
          </w:p>
        </w:tc>
        <w:tc>
          <w:tcPr>
            <w:tcW w:w="208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Legal Proceedings</w:t>
              </w:r>
            </w:hyperlink>
          </w:p>
        </w:tc>
        <w:tc>
          <w:tcPr>
            <w:tcW w:w="5940" w:type="dxa"/>
            <w:vAlign w:val="bottom"/>
            <w:gridSpan w:val="15"/>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rFonts w:ascii="Arial" w:cs="Arial" w:eastAsia="Arial" w:hAnsi="Arial"/>
                <w:sz w:val="18"/>
                <w:szCs w:val="18"/>
                <w:b w:val="1"/>
                <w:bCs w:val="1"/>
                <w:color w:val="0000EE"/>
                <w:w w:val="94"/>
              </w:rPr>
            </w:pPr>
            <w:hyperlink w:anchor="page30">
              <w:r>
                <w:rPr>
                  <w:rFonts w:ascii="Arial" w:cs="Arial" w:eastAsia="Arial" w:hAnsi="Arial"/>
                  <w:sz w:val="18"/>
                  <w:szCs w:val="18"/>
                  <w:b w:val="1"/>
                  <w:bCs w:val="1"/>
                  <w:color w:val="0000EE"/>
                  <w:w w:val="94"/>
                </w:rPr>
                <w:t>Item 1A.</w:t>
              </w:r>
            </w:hyperlink>
          </w:p>
        </w:tc>
        <w:tc>
          <w:tcPr>
            <w:tcW w:w="60" w:type="dxa"/>
            <w:vAlign w:val="bottom"/>
          </w:tcPr>
          <w:p>
            <w:pPr>
              <w:spacing w:after="0"/>
              <w:rPr>
                <w:sz w:val="19"/>
                <w:szCs w:val="19"/>
                <w:color w:val="auto"/>
              </w:rPr>
            </w:pPr>
          </w:p>
        </w:tc>
        <w:tc>
          <w:tcPr>
            <w:tcW w:w="8020" w:type="dxa"/>
            <w:vAlign w:val="bottom"/>
            <w:gridSpan w:val="2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2.</w:t>
              </w:r>
            </w:hyperlink>
          </w:p>
        </w:tc>
        <w:tc>
          <w:tcPr>
            <w:tcW w:w="60" w:type="dxa"/>
            <w:vAlign w:val="bottom"/>
          </w:tcPr>
          <w:p>
            <w:pPr>
              <w:spacing w:after="0"/>
              <w:rPr>
                <w:sz w:val="19"/>
                <w:szCs w:val="19"/>
                <w:color w:val="auto"/>
              </w:rPr>
            </w:pPr>
          </w:p>
        </w:tc>
        <w:tc>
          <w:tcPr>
            <w:tcW w:w="8020" w:type="dxa"/>
            <w:vAlign w:val="bottom"/>
            <w:gridSpan w:val="2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3.</w:t>
              </w:r>
            </w:hyperlink>
          </w:p>
        </w:tc>
        <w:tc>
          <w:tcPr>
            <w:tcW w:w="8020" w:type="dxa"/>
            <w:vAlign w:val="bottom"/>
            <w:gridSpan w:val="2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Defaults Upon Senior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4.</w:t>
              </w:r>
            </w:hyperlink>
          </w:p>
        </w:tc>
        <w:tc>
          <w:tcPr>
            <w:tcW w:w="8020" w:type="dxa"/>
            <w:vAlign w:val="bottom"/>
            <w:gridSpan w:val="2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5.</w:t>
              </w:r>
            </w:hyperlink>
          </w:p>
        </w:tc>
        <w:tc>
          <w:tcPr>
            <w:tcW w:w="8020" w:type="dxa"/>
            <w:vAlign w:val="bottom"/>
            <w:gridSpan w:val="2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658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6.</w:t>
              </w:r>
            </w:hyperlink>
          </w:p>
        </w:tc>
        <w:tc>
          <w:tcPr>
            <w:tcW w:w="8020" w:type="dxa"/>
            <w:vAlign w:val="bottom"/>
            <w:gridSpan w:val="2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420" w:type="dxa"/>
            <w:vAlign w:val="bottom"/>
            <w:gridSpan w:val="15"/>
          </w:tcPr>
          <w:p>
            <w:pPr>
              <w:jc w:val="right"/>
              <w:ind w:right="11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7" w:right="13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w w:val="83"/>
              </w:rPr>
              <w:t>2020</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Product</w:t>
            </w:r>
          </w:p>
        </w:tc>
        <w:tc>
          <w:tcPr>
            <w:tcW w:w="6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169,151</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104,799</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435,916</w:t>
            </w:r>
          </w:p>
        </w:tc>
        <w:tc>
          <w:tcPr>
            <w:tcW w:w="6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334,126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20,828</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176,694</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110,405</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456,744</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352,361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Product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93,201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240,223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189,118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19,560</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cost of revenue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100,182</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62,244</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259,783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206,752</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196,961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145,609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33,979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27,404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11,996</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33,226</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40,118</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34,279</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101,643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(expense)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(3,572)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(5,579)</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provision</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6,698</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12,261</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27,515</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10,785</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62,901</w:t>
            </w: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35,308</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0.81</w:t>
            </w:r>
          </w:p>
        </w:tc>
        <w:tc>
          <w:tcPr>
            <w:tcW w:w="2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0.32</w:t>
            </w: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w:t>
            </w:r>
          </w:p>
        </w:tc>
        <w:tc>
          <w:tcPr>
            <w:tcW w:w="26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8"/>
              </w:rPr>
              <w:t>Shares used in computing net income per share:</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 weighted average common shares</w:t>
            </w:r>
          </w:p>
        </w:tc>
        <w:tc>
          <w:tcPr>
            <w:tcW w:w="4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33,537</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33,477</w:t>
            </w: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33,643</w:t>
            </w:r>
          </w:p>
        </w:tc>
        <w:tc>
          <w:tcPr>
            <w:tcW w:w="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33,159</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 weighted average common shares</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34,089</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34,174</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34,339</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34,070</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97"/>
              </w:rPr>
              <w:t>Three months ended</w:t>
            </w:r>
          </w:p>
        </w:tc>
        <w:tc>
          <w:tcPr>
            <w:tcW w:w="160" w:type="dxa"/>
            <w:vAlign w:val="bottom"/>
          </w:tcPr>
          <w:p>
            <w:pPr>
              <w:spacing w:after="0"/>
              <w:rPr>
                <w:sz w:val="14"/>
                <w:szCs w:val="14"/>
                <w:color w:val="auto"/>
              </w:rPr>
            </w:pPr>
          </w:p>
        </w:tc>
        <w:tc>
          <w:tcPr>
            <w:tcW w:w="17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7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$ 27,515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$ 10,785</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$ 62,901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$ 35,308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520" w:type="dxa"/>
            <w:vAlign w:val="bottom"/>
          </w:tcPr>
          <w:p>
            <w:pPr>
              <w:ind w:left="200"/>
              <w:spacing w:after="0" w:line="201" w:lineRule="exact"/>
              <w:rPr>
                <w:sz w:val="20"/>
                <w:szCs w:val="20"/>
                <w:color w:val="auto"/>
              </w:rPr>
            </w:pPr>
            <w:r>
              <w:rPr>
                <w:rFonts w:ascii="Arial" w:cs="Arial" w:eastAsia="Arial" w:hAnsi="Arial"/>
                <w:sz w:val="18"/>
                <w:szCs w:val="18"/>
                <w:color w:val="auto"/>
                <w:w w:val="93"/>
              </w:rPr>
              <w:t>Amortization of actuarial loss and other adjustments from pension plan,</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comprehensive (loss) income</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Comprehensive income</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$ 26,596</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$ 12,283</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$ 61,216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$ 36,644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380" w:type="dxa"/>
            <w:vAlign w:val="bottom"/>
            <w:gridSpan w:val="4"/>
          </w:tcPr>
          <w:p>
            <w:pPr>
              <w:ind w:left="22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66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271,085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203,479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78,257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86,865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161,076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19,371</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570,144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29,840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Finance lease assets,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19,563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20,544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44,206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40,303</w:t>
            </w:r>
          </w:p>
        </w:tc>
        <w:tc>
          <w:tcPr>
            <w:tcW w:w="8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710,978</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624,624</w:t>
            </w:r>
          </w:p>
        </w:tc>
        <w:tc>
          <w:tcPr>
            <w:tcW w:w="8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660" w:type="dxa"/>
            <w:vAlign w:val="bottom"/>
            <w:shd w:val="clear" w:color="auto" w:fill="CCEEFF"/>
          </w:tcPr>
          <w:p>
            <w:pPr>
              <w:ind w:left="13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Current portion of finance lease obligation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137,195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84,431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lease obligation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199,299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143,022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Common stock, $0.001 par value, 75,000 shares authorized; 33,406 shares issued and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outstanding at September 30, 2021; 33,633 shares issued and outstanding at December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31, 2020</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559,913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570,102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481,602</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710,978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624,624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93"/>
              </w:rPr>
              <w:t>Comprehensive</w:t>
            </w:r>
          </w:p>
        </w:tc>
        <w:tc>
          <w:tcPr>
            <w:tcW w:w="1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Stockholders’</w:t>
            </w:r>
          </w:p>
        </w:tc>
      </w:tr>
      <w:tr>
        <w:trPr>
          <w:trHeight w:val="155"/>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Shares</w:t>
            </w:r>
          </w:p>
        </w:tc>
        <w:tc>
          <w:tcPr>
            <w:tcW w:w="160" w:type="dxa"/>
            <w:vAlign w:val="bottom"/>
          </w:tcPr>
          <w:p>
            <w:pPr>
              <w:spacing w:after="0"/>
              <w:rPr>
                <w:sz w:val="13"/>
                <w:szCs w:val="13"/>
                <w:color w:val="auto"/>
              </w:rPr>
            </w:pPr>
          </w:p>
        </w:tc>
        <w:tc>
          <w:tcPr>
            <w:tcW w:w="5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160"/>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39"/>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196"/>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2019</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32,585</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559,878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(140,226)</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419,427</w:t>
            </w:r>
          </w:p>
        </w:tc>
        <w:tc>
          <w:tcPr>
            <w:tcW w:w="80" w:type="dxa"/>
            <w:vAlign w:val="bottom"/>
            <w:tcBorders>
              <w:top w:val="single" w:sz="8" w:color="CCEEFF"/>
            </w:tcBorders>
            <w:shd w:val="clear" w:color="auto" w:fill="CCEEFF"/>
          </w:tcPr>
          <w:p>
            <w:pPr>
              <w:spacing w:after="0"/>
              <w:rPr>
                <w:sz w:val="17"/>
                <w:szCs w:val="17"/>
                <w:color w:val="auto"/>
              </w:rPr>
            </w:pPr>
          </w:p>
        </w:tc>
      </w:tr>
      <w:tr>
        <w:trPr>
          <w:trHeight w:val="196"/>
        </w:trPr>
        <w:tc>
          <w:tcPr>
            <w:tcW w:w="35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11,221</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80" w:type="dxa"/>
            <w:vAlign w:val="bottom"/>
            <w:shd w:val="clear" w:color="auto" w:fill="CCEEFF"/>
          </w:tcPr>
          <w:p>
            <w:pPr>
              <w:spacing w:after="0"/>
              <w:rPr>
                <w:sz w:val="18"/>
                <w:szCs w:val="18"/>
                <w:color w:val="auto"/>
              </w:rPr>
            </w:pPr>
          </w:p>
        </w:tc>
      </w:tr>
      <w:tr>
        <w:trPr>
          <w:trHeight w:val="213"/>
        </w:trPr>
        <w:tc>
          <w:tcPr>
            <w:tcW w:w="3540" w:type="dxa"/>
            <w:vAlign w:val="bottom"/>
            <w:gridSpan w:val="2"/>
          </w:tcPr>
          <w:p>
            <w:pPr>
              <w:spacing w:after="0"/>
              <w:rPr>
                <w:sz w:val="20"/>
                <w:szCs w:val="20"/>
                <w:color w:val="auto"/>
              </w:rPr>
            </w:pPr>
            <w:r>
              <w:rPr>
                <w:rFonts w:ascii="Arial" w:cs="Arial" w:eastAsia="Arial" w:hAnsi="Arial"/>
                <w:sz w:val="16"/>
                <w:szCs w:val="16"/>
                <w:color w:val="auto"/>
              </w:rPr>
              <w:t>Change in pension obligation</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80" w:type="dxa"/>
            <w:vAlign w:val="bottom"/>
            <w:shd w:val="clear" w:color="auto" w:fill="CCEEFF"/>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Issuance of shares under Employee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3540" w:type="dxa"/>
            <w:vAlign w:val="bottom"/>
            <w:gridSpan w:val="2"/>
          </w:tcPr>
          <w:p>
            <w:pPr>
              <w:spacing w:after="0"/>
              <w:rPr>
                <w:sz w:val="20"/>
                <w:szCs w:val="20"/>
                <w:color w:val="auto"/>
              </w:rPr>
            </w:pPr>
            <w:r>
              <w:rPr>
                <w:rFonts w:ascii="Arial" w:cs="Arial" w:eastAsia="Arial" w:hAnsi="Arial"/>
                <w:sz w:val="16"/>
                <w:szCs w:val="16"/>
                <w:color w:val="auto"/>
              </w:rPr>
              <w:t>Purchase Plan</w:t>
            </w: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shares on restricted stock</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w:t>
            </w:r>
          </w:p>
        </w:tc>
        <w:tc>
          <w:tcPr>
            <w:tcW w:w="80" w:type="dxa"/>
            <w:vAlign w:val="bottom"/>
            <w:shd w:val="clear" w:color="auto" w:fill="CCEEFF"/>
          </w:tcPr>
          <w:p>
            <w:pPr>
              <w:spacing w:after="0"/>
              <w:rPr>
                <w:sz w:val="18"/>
                <w:szCs w:val="18"/>
                <w:color w:val="auto"/>
              </w:rPr>
            </w:pPr>
          </w:p>
        </w:tc>
      </w:tr>
      <w:tr>
        <w:trPr>
          <w:trHeight w:val="213"/>
        </w:trPr>
        <w:tc>
          <w:tcPr>
            <w:tcW w:w="354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1,724</w:t>
            </w:r>
          </w:p>
        </w:tc>
        <w:tc>
          <w:tcPr>
            <w:tcW w:w="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(7,501)</w:t>
            </w:r>
          </w:p>
        </w:tc>
        <w:tc>
          <w:tcPr>
            <w:tcW w:w="80" w:type="dxa"/>
            <w:vAlign w:val="bottom"/>
            <w:shd w:val="clear" w:color="auto" w:fill="CCEEFF"/>
          </w:tcPr>
          <w:p>
            <w:pPr>
              <w:spacing w:after="0"/>
              <w:rPr>
                <w:sz w:val="19"/>
                <w:szCs w:val="19"/>
                <w:color w:val="auto"/>
              </w:rPr>
            </w:pPr>
          </w:p>
        </w:tc>
      </w:tr>
      <w:tr>
        <w:trPr>
          <w:trHeight w:val="236"/>
        </w:trPr>
        <w:tc>
          <w:tcPr>
            <w:tcW w:w="3540" w:type="dxa"/>
            <w:vAlign w:val="bottom"/>
            <w:gridSpan w:val="2"/>
          </w:tcPr>
          <w:p>
            <w:pPr>
              <w:spacing w:after="0"/>
              <w:rPr>
                <w:sz w:val="20"/>
                <w:szCs w:val="20"/>
                <w:color w:val="auto"/>
              </w:rPr>
            </w:pPr>
            <w:r>
              <w:rPr>
                <w:rFonts w:ascii="Arial" w:cs="Arial" w:eastAsia="Arial" w:hAnsi="Arial"/>
                <w:sz w:val="16"/>
                <w:szCs w:val="16"/>
                <w:color w:val="auto"/>
              </w:rPr>
              <w:t>Balance at March 31, 2020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32,837</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559,182</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(130,730)</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427,172</w:t>
            </w:r>
          </w:p>
        </w:tc>
        <w:tc>
          <w:tcPr>
            <w:tcW w:w="8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5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Net income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13,302</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13,302</w:t>
            </w:r>
          </w:p>
        </w:tc>
        <w:tc>
          <w:tcPr>
            <w:tcW w:w="80" w:type="dxa"/>
            <w:vAlign w:val="bottom"/>
            <w:tcBorders>
              <w:top w:val="single" w:sz="8" w:color="CCEEFF"/>
            </w:tcBorders>
            <w:shd w:val="clear" w:color="auto" w:fill="CCEEFF"/>
          </w:tcPr>
          <w:p>
            <w:pPr>
              <w:spacing w:after="0"/>
              <w:rPr>
                <w:sz w:val="15"/>
                <w:szCs w:val="15"/>
                <w:color w:val="auto"/>
              </w:rPr>
            </w:pPr>
          </w:p>
        </w:tc>
      </w:tr>
      <w:tr>
        <w:trPr>
          <w:trHeight w:val="213"/>
        </w:trPr>
        <w:tc>
          <w:tcPr>
            <w:tcW w:w="3540" w:type="dxa"/>
            <w:vAlign w:val="bottom"/>
            <w:gridSpan w:val="2"/>
          </w:tcPr>
          <w:p>
            <w:pPr>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836</w:t>
            </w:r>
          </w:p>
        </w:tc>
        <w:tc>
          <w:tcPr>
            <w:tcW w:w="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Change in pension obligation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9"/>
                <w:szCs w:val="19"/>
                <w:color w:val="auto"/>
              </w:rPr>
            </w:pPr>
          </w:p>
        </w:tc>
      </w:tr>
      <w:tr>
        <w:trPr>
          <w:trHeight w:val="210"/>
        </w:trPr>
        <w:tc>
          <w:tcPr>
            <w:tcW w:w="354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6"/>
                <w:szCs w:val="16"/>
                <w:color w:val="auto"/>
              </w:rPr>
              <w:t>343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2,783</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shares under Employee Stock</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Issuance of common shares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3540" w:type="dxa"/>
            <w:vAlign w:val="bottom"/>
            <w:gridSpan w:val="2"/>
          </w:tcPr>
          <w:p>
            <w:pPr>
              <w:spacing w:after="0"/>
              <w:rPr>
                <w:sz w:val="20"/>
                <w:szCs w:val="20"/>
                <w:color w:val="auto"/>
              </w:rPr>
            </w:pPr>
            <w:r>
              <w:rPr>
                <w:rFonts w:ascii="Arial" w:cs="Arial" w:eastAsia="Arial" w:hAnsi="Arial"/>
                <w:sz w:val="16"/>
                <w:szCs w:val="16"/>
                <w:color w:val="auto"/>
              </w:rPr>
              <w:t>units, net of shares withheld</w:t>
            </w:r>
          </w:p>
        </w:tc>
        <w:tc>
          <w:tcPr>
            <w:tcW w:w="540" w:type="dxa"/>
            <w:vAlign w:val="bottom"/>
          </w:tcPr>
          <w:p>
            <w:pPr>
              <w:jc w:val="right"/>
              <w:spacing w:after="0"/>
              <w:rPr>
                <w:sz w:val="20"/>
                <w:szCs w:val="20"/>
                <w:color w:val="auto"/>
              </w:rPr>
            </w:pPr>
            <w:r>
              <w:rPr>
                <w:rFonts w:ascii="Arial" w:cs="Arial" w:eastAsia="Arial" w:hAnsi="Arial"/>
                <w:sz w:val="16"/>
                <w:szCs w:val="16"/>
                <w:color w:val="auto"/>
              </w:rPr>
              <w:t>232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(2,698)</w:t>
            </w:r>
          </w:p>
        </w:tc>
        <w:tc>
          <w:tcPr>
            <w:tcW w:w="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3,082</w:t>
            </w:r>
          </w:p>
        </w:tc>
        <w:tc>
          <w:tcPr>
            <w:tcW w:w="80" w:type="dxa"/>
            <w:vAlign w:val="bottom"/>
            <w:shd w:val="clear" w:color="auto" w:fill="CCEEFF"/>
          </w:tcPr>
          <w:p>
            <w:pPr>
              <w:spacing w:after="0"/>
              <w:rPr>
                <w:sz w:val="19"/>
                <w:szCs w:val="19"/>
                <w:color w:val="auto"/>
              </w:rPr>
            </w:pPr>
          </w:p>
        </w:tc>
      </w:tr>
      <w:tr>
        <w:trPr>
          <w:trHeight w:val="236"/>
        </w:trPr>
        <w:tc>
          <w:tcPr>
            <w:tcW w:w="3540" w:type="dxa"/>
            <w:vAlign w:val="bottom"/>
            <w:gridSpan w:val="2"/>
          </w:tcPr>
          <w:p>
            <w:pPr>
              <w:spacing w:after="0"/>
              <w:rPr>
                <w:sz w:val="20"/>
                <w:szCs w:val="20"/>
                <w:color w:val="auto"/>
              </w:rPr>
            </w:pPr>
            <w:r>
              <w:rPr>
                <w:rFonts w:ascii="Arial" w:cs="Arial" w:eastAsia="Arial" w:hAnsi="Arial"/>
                <w:sz w:val="16"/>
                <w:szCs w:val="16"/>
                <w:color w:val="auto"/>
              </w:rPr>
              <w:t>Balance at June 30, 2020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33,433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562,839</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(117,428)</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445,024</w:t>
            </w:r>
          </w:p>
        </w:tc>
        <w:tc>
          <w:tcPr>
            <w:tcW w:w="8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35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Net income</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10,785</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10,785</w:t>
            </w:r>
          </w:p>
        </w:tc>
        <w:tc>
          <w:tcPr>
            <w:tcW w:w="80" w:type="dxa"/>
            <w:vAlign w:val="bottom"/>
            <w:tcBorders>
              <w:top w:val="single" w:sz="8" w:color="CCEEFF"/>
            </w:tcBorders>
            <w:shd w:val="clear" w:color="auto" w:fill="CCEEFF"/>
          </w:tcPr>
          <w:p>
            <w:pPr>
              <w:spacing w:after="0"/>
              <w:rPr>
                <w:sz w:val="15"/>
                <w:szCs w:val="15"/>
                <w:color w:val="auto"/>
              </w:rPr>
            </w:pPr>
          </w:p>
        </w:tc>
      </w:tr>
      <w:tr>
        <w:trPr>
          <w:trHeight w:val="213"/>
        </w:trPr>
        <w:tc>
          <w:tcPr>
            <w:tcW w:w="3540" w:type="dxa"/>
            <w:vAlign w:val="bottom"/>
            <w:gridSpan w:val="2"/>
          </w:tcPr>
          <w:p>
            <w:pPr>
              <w:spacing w:after="0"/>
              <w:rPr>
                <w:sz w:val="20"/>
                <w:szCs w:val="20"/>
                <w:color w:val="auto"/>
              </w:rPr>
            </w:pPr>
            <w:r>
              <w:rPr>
                <w:rFonts w:ascii="Arial" w:cs="Arial" w:eastAsia="Arial" w:hAnsi="Arial"/>
                <w:sz w:val="16"/>
                <w:szCs w:val="16"/>
                <w:color w:val="auto"/>
              </w:rPr>
              <w:t>Foreign currency translation adjustments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1,437</w:t>
            </w:r>
          </w:p>
        </w:tc>
        <w:tc>
          <w:tcPr>
            <w:tcW w:w="8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Change in pension obligation</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9"/>
                <w:szCs w:val="19"/>
                <w:color w:val="auto"/>
              </w:rPr>
            </w:pPr>
          </w:p>
        </w:tc>
      </w:tr>
      <w:tr>
        <w:trPr>
          <w:trHeight w:val="210"/>
        </w:trPr>
        <w:tc>
          <w:tcPr>
            <w:tcW w:w="354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shares on restricted stock</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r>
      <w:tr>
        <w:trPr>
          <w:trHeight w:val="213"/>
        </w:trPr>
        <w:tc>
          <w:tcPr>
            <w:tcW w:w="354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2,926</w:t>
            </w:r>
          </w:p>
        </w:tc>
        <w:tc>
          <w:tcPr>
            <w:tcW w:w="8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2020</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33,491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566,195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(106,643)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460,663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5"/>
                <w:szCs w:val="15"/>
                <w:color w:val="auto"/>
              </w:rPr>
            </w:pPr>
          </w:p>
        </w:tc>
        <w:tc>
          <w:tcPr>
            <w:tcW w:w="7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2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Comprehensive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Shares</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1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Income (Loss)</w:t>
            </w:r>
          </w:p>
        </w:tc>
        <w:tc>
          <w:tcPr>
            <w:tcW w:w="120" w:type="dxa"/>
            <w:vAlign w:val="bottom"/>
          </w:tcPr>
          <w:p>
            <w:pPr>
              <w:spacing w:after="0"/>
              <w:rPr>
                <w:sz w:val="14"/>
                <w:szCs w:val="14"/>
                <w:color w:val="auto"/>
              </w:rPr>
            </w:pPr>
          </w:p>
        </w:tc>
        <w:tc>
          <w:tcPr>
            <w:tcW w:w="78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33,633</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570,102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(91,969)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3,435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481,602</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16,480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16,480</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(1,372)</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Change in pension obligation</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193"/>
        </w:trPr>
        <w:tc>
          <w:tcPr>
            <w:tcW w:w="3560" w:type="dxa"/>
            <w:vAlign w:val="bottom"/>
          </w:tcPr>
          <w:p>
            <w:pPr>
              <w:spacing w:after="0"/>
              <w:rPr>
                <w:sz w:val="20"/>
                <w:szCs w:val="20"/>
                <w:color w:val="auto"/>
              </w:rPr>
            </w:pPr>
            <w:r>
              <w:rPr>
                <w:rFonts w:ascii="Arial" w:cs="Arial" w:eastAsia="Arial" w:hAnsi="Arial"/>
                <w:sz w:val="16"/>
                <w:szCs w:val="16"/>
                <w:color w:val="auto"/>
              </w:rPr>
              <w:t>Issuance of common shares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6"/>
                <w:szCs w:val="16"/>
                <w:color w:val="auto"/>
              </w:rPr>
              <w:t>units, net of shares withheld</w:t>
            </w:r>
          </w:p>
        </w:tc>
        <w:tc>
          <w:tcPr>
            <w:tcW w:w="540" w:type="dxa"/>
            <w:vAlign w:val="bottom"/>
          </w:tcPr>
          <w:p>
            <w:pPr>
              <w:jc w:val="right"/>
              <w:spacing w:after="0"/>
              <w:rPr>
                <w:sz w:val="20"/>
                <w:szCs w:val="20"/>
                <w:color w:val="auto"/>
              </w:rPr>
            </w:pPr>
            <w:r>
              <w:rPr>
                <w:rFonts w:ascii="Arial" w:cs="Arial" w:eastAsia="Arial" w:hAnsi="Arial"/>
                <w:sz w:val="16"/>
                <w:szCs w:val="16"/>
                <w:color w:val="auto"/>
              </w:rPr>
              <w:t>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(2,354)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05"/>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(5,468)</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(6,167)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(11,635)</w:t>
            </w:r>
          </w:p>
        </w:tc>
        <w:tc>
          <w:tcPr>
            <w:tcW w:w="0" w:type="dxa"/>
            <w:vAlign w:val="bottom"/>
          </w:tcPr>
          <w:p>
            <w:pPr>
              <w:spacing w:after="0"/>
              <w:rPr>
                <w:sz w:val="1"/>
                <w:szCs w:val="1"/>
                <w:color w:val="auto"/>
              </w:rPr>
            </w:pPr>
          </w:p>
        </w:tc>
      </w:tr>
      <w:tr>
        <w:trPr>
          <w:trHeight w:val="196"/>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33,679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567,199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(81,656)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487,660</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60" w:type="dxa"/>
            <w:vAlign w:val="bottom"/>
            <w:vMerge w:val="continue"/>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18,906</w:t>
            </w: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18,906</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Change in pension obligation</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06"/>
        </w:trPr>
        <w:tc>
          <w:tcPr>
            <w:tcW w:w="3560" w:type="dxa"/>
            <w:vAlign w:val="bottom"/>
          </w:tcPr>
          <w:p>
            <w:pPr>
              <w:spacing w:after="0"/>
              <w:rPr>
                <w:sz w:val="20"/>
                <w:szCs w:val="20"/>
                <w:color w:val="auto"/>
              </w:rPr>
            </w:pPr>
            <w:r>
              <w:rPr>
                <w:rFonts w:ascii="Arial" w:cs="Arial" w:eastAsia="Arial" w:hAnsi="Arial"/>
                <w:sz w:val="16"/>
                <w:szCs w:val="16"/>
                <w:color w:val="auto"/>
              </w:rPr>
              <w:t>Issuance of shares under Employee Stock</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6"/>
                <w:szCs w:val="16"/>
                <w:color w:val="auto"/>
              </w:rPr>
              <w:t>Purchase Plan</w:t>
            </w: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shares on restricted stock</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(4,141)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3,377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3,377</w:t>
            </w: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(5,827)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(7,531)</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(13,358)</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Balance at June 30, 2021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33,657</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561,680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(70,281)</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2,669</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494,102</w:t>
            </w:r>
          </w:p>
        </w:tc>
        <w:tc>
          <w:tcPr>
            <w:tcW w:w="0" w:type="dxa"/>
            <w:vAlign w:val="bottom"/>
          </w:tcPr>
          <w:p>
            <w:pPr>
              <w:spacing w:after="0"/>
              <w:rPr>
                <w:sz w:val="1"/>
                <w:szCs w:val="1"/>
                <w:color w:val="auto"/>
              </w:rPr>
            </w:pPr>
          </w:p>
        </w:tc>
      </w:tr>
      <w:tr>
        <w:trPr>
          <w:trHeight w:val="183"/>
        </w:trPr>
        <w:tc>
          <w:tcPr>
            <w:tcW w:w="35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27,515</w:t>
            </w:r>
          </w:p>
        </w:tc>
        <w:tc>
          <w:tcPr>
            <w:tcW w:w="0" w:type="dxa"/>
            <w:vAlign w:val="bottom"/>
          </w:tcPr>
          <w:p>
            <w:pPr>
              <w:spacing w:after="0"/>
              <w:rPr>
                <w:sz w:val="1"/>
                <w:szCs w:val="1"/>
                <w:color w:val="auto"/>
              </w:rPr>
            </w:pPr>
          </w:p>
        </w:tc>
      </w:tr>
      <w:tr>
        <w:trPr>
          <w:trHeight w:val="227"/>
        </w:trPr>
        <w:tc>
          <w:tcPr>
            <w:tcW w:w="356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Change in pension obligation</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6"/>
        </w:trPr>
        <w:tc>
          <w:tcPr>
            <w:tcW w:w="356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6"/>
                <w:szCs w:val="16"/>
                <w:color w:val="auto"/>
              </w:rPr>
              <w:t>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shares on restricted stock</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7"/>
        </w:trPr>
        <w:tc>
          <w:tcPr>
            <w:tcW w:w="35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3,186</w:t>
            </w: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(5,249)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(7,251)</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(12,501)</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20"/>
                <w:szCs w:val="20"/>
                <w:color w:val="auto"/>
              </w:rPr>
            </w:pPr>
            <w:r>
              <w:rPr>
                <w:rFonts w:ascii="Arial" w:cs="Arial" w:eastAsia="Arial" w:hAnsi="Arial"/>
                <w:sz w:val="16"/>
                <w:szCs w:val="16"/>
                <w:color w:val="auto"/>
              </w:rPr>
              <w:t>Balance at September 30, 2021</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33,406</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559,913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(50,017)</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1,750</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511,679</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Nine months ended</w:t>
      </w:r>
    </w:p>
    <w:p>
      <w:pPr>
        <w:spacing w:after="0" w:line="32" w:lineRule="exact"/>
        <w:rPr>
          <w:sz w:val="20"/>
          <w:szCs w:val="20"/>
          <w:color w:val="auto"/>
        </w:rPr>
      </w:pPr>
    </w:p>
    <w:p>
      <w:pPr>
        <w:jc w:val="center"/>
        <w:ind w:left="654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4380865</wp:posOffset>
            </wp:positionH>
            <wp:positionV relativeFrom="paragraph">
              <wp:posOffset>20320</wp:posOffset>
            </wp:positionV>
            <wp:extent cx="1200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62,901</w:t>
            </w:r>
          </w:p>
        </w:tc>
        <w:tc>
          <w:tcPr>
            <w:tcW w:w="18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35,308</w:t>
            </w: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7,993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7,346</w:t>
            </w: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11,558</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3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8,970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7,727</w:t>
            </w: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excess and obsolete inventory</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3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39,109</w:t>
            </w:r>
          </w:p>
        </w:tc>
        <w:tc>
          <w:tcPr>
            <w:tcW w:w="3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(39,595)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(18,611)</w:t>
            </w: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3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17,933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10,540</w:t>
            </w: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35,189</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3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 and liabilities</w:t>
            </w:r>
          </w:p>
        </w:tc>
        <w:tc>
          <w:tcPr>
            <w:tcW w:w="4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340" w:type="dxa"/>
            <w:vAlign w:val="bottom"/>
            <w:shd w:val="clear" w:color="auto" w:fill="CCEEFF"/>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112,081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75,667</w:t>
            </w:r>
          </w:p>
        </w:tc>
        <w:tc>
          <w:tcPr>
            <w:tcW w:w="3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4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Expenditures for property, plant and equipment and capitalized software</w:t>
            </w:r>
          </w:p>
        </w:tc>
        <w:tc>
          <w:tcPr>
            <w:tcW w:w="4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340" w:type="dxa"/>
            <w:vAlign w:val="bottom"/>
            <w:shd w:val="clear" w:color="auto" w:fill="CCEEFF"/>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(5,567)</w:t>
            </w:r>
          </w:p>
        </w:tc>
        <w:tc>
          <w:tcPr>
            <w:tcW w:w="3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4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settlement on restricted stock grants</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3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Repurchase of common stock</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(37,493)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(7,501)</w:t>
            </w: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3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Principal payments on finance lease obligation</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4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340" w:type="dxa"/>
            <w:vAlign w:val="bottom"/>
            <w:shd w:val="clear" w:color="auto" w:fill="CCEEFF"/>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64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(3,392)</w:t>
            </w:r>
          </w:p>
        </w:tc>
        <w:tc>
          <w:tcPr>
            <w:tcW w:w="3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43"/>
        </w:trPr>
        <w:tc>
          <w:tcPr>
            <w:tcW w:w="64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1,899</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w:t>
            </w:r>
          </w:p>
        </w:tc>
        <w:tc>
          <w:tcPr>
            <w:tcW w:w="34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67,609</w:t>
            </w: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66,183</w:t>
            </w:r>
          </w:p>
        </w:tc>
        <w:tc>
          <w:tcPr>
            <w:tcW w:w="340" w:type="dxa"/>
            <w:vAlign w:val="bottom"/>
            <w:tcBorders>
              <w:top w:val="single" w:sz="8" w:color="CCEEFF"/>
            </w:tcBorders>
            <w:shd w:val="clear" w:color="auto" w:fill="CCEEFF"/>
          </w:tcPr>
          <w:p>
            <w:pPr>
              <w:spacing w:after="0"/>
              <w:rPr>
                <w:sz w:val="19"/>
                <w:szCs w:val="19"/>
                <w:color w:val="auto"/>
              </w:rPr>
            </w:pPr>
          </w:p>
        </w:tc>
      </w:tr>
      <w:tr>
        <w:trPr>
          <w:trHeight w:val="243"/>
        </w:trPr>
        <w:tc>
          <w:tcPr>
            <w:tcW w:w="648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204,232</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146,534</w:t>
            </w:r>
          </w:p>
        </w:tc>
        <w:tc>
          <w:tcPr>
            <w:tcW w:w="340" w:type="dxa"/>
            <w:vAlign w:val="bottom"/>
            <w:shd w:val="clear" w:color="auto" w:fill="CCEEFF"/>
          </w:tcPr>
          <w:p>
            <w:pPr>
              <w:spacing w:after="0"/>
              <w:rPr>
                <w:sz w:val="21"/>
                <w:szCs w:val="21"/>
                <w:color w:val="auto"/>
              </w:rPr>
            </w:pPr>
          </w:p>
        </w:tc>
      </w:tr>
      <w:tr>
        <w:trPr>
          <w:trHeight w:val="210"/>
        </w:trPr>
        <w:tc>
          <w:tcPr>
            <w:tcW w:w="64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271,841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212,717</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 (Unaudited)</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394335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w:t>
      </w:r>
    </w:p>
    <w:p>
      <w:pPr>
        <w:spacing w:after="0" w:line="162"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10"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The balance sheet at December 31, 2020 has been derived from the audited consolidated financial statements at that date but does not include all the information and footnotes required by generally accepted accounting principles for complete financial statements. For further information, refer to the consolidated financial statements and footnotes thereto included in Axcelis Technologies, Inc.’s Annual Report on Form 10-K for the year ended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Stock-Based Compensation</w:t>
      </w:r>
    </w:p>
    <w:p>
      <w:pPr>
        <w:spacing w:after="0" w:line="16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We maintain the Axcelis Technologies, Inc. 2012 Equity Incentive Plan, as amended (the “2012 Equity Plan”), which became effective on May 2, 2012, and permits the issuance of options, restricted stock, restricted stock units (“RSUs”) and performance awards to selected employees, directors and consultants of the Company. We also maintain the Axcelis Technologies, Inc. 2020 Employee Stock Purchase Plan (the “2020 ESPP”), an Internal Revenue Code Section 423 plan. The Company’s Employee Stock Purchase Plan, which was effective in June 2000 (the “2000 ESPP”), expired in June 2020.</w:t>
      </w:r>
    </w:p>
    <w:p>
      <w:pPr>
        <w:spacing w:after="0" w:line="16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2012 Equity Plan is more fully described in Note 13 to the consolidated financial statements in our Annual Report on Form 10-K for the year ended December 31, 2020.</w:t>
      </w:r>
    </w:p>
    <w:p>
      <w:pPr>
        <w:spacing w:after="0" w:line="170"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We recognized stock-based compensation expense of $3.2 million and $2.9 million for the three-month periods ended September 30, 2021 and 2020, respectively. We recognized stock-based compensation expense of $9.0 million and $7.7 million for the nine-month periods ended September 30, 2021 and 2020, respectively. These amounts include compensation expense related to RSUs, non-qualified stock options and stock issued to participants under the 2020 ESPP and 2000 ESPP.</w:t>
      </w:r>
    </w:p>
    <w:p>
      <w:pPr>
        <w:spacing w:after="0" w:line="1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both the three-month periods ended September 30, 2021 and 2020, we issued forty thousand and 0.1 million shares of common stock, respectively, upon stock option exercises and vesting of RSUs. In the three-month periods ended September 30, 2021 and 2020, we received proceeds of $0.3 million and $0.5 million, respectively, in connection with the exercise of stock options.</w:t>
      </w:r>
    </w:p>
    <w:p>
      <w:pPr>
        <w:spacing w:after="0" w:line="18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In the nine-month periods ended September 30, 2021 and 2020, we issued 0.7 million and 1.3 million shares of common stock, respectively, upon stock option exercises, purchases under the employee stock purchase plans and vesting of RSUs. In the nine-month periods ended September 30, 2021 and 2020, we received proceeds of $3.9 million and $8.2 million, respectively, in connection with the exercise of stock options and purchases under the employee stock purchase plans.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have operating leases for office space, warehouse space, computer and office equipment and vehicles used in our business operations. We have a finance lease as a result of the 2015 sale-leaseback of our corporate headquarters in Beverly, Massachusetts. All new agreements are reviewed to determine if they contain a lease component. A lease is a contract, or part of a contract, that conveys the right to control the use of identified property, plant or equipment over a period of time in exchange for consideration. We recognize the lease obligation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1 to 3 years. The exercise of lease renewal options is at our sole discretion. For lease extensions that are reasonably certain to occur, we have included these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Leases</w:t>
            </w:r>
          </w:p>
        </w:tc>
        <w:tc>
          <w:tcPr>
            <w:tcW w:w="368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3060" w:type="dxa"/>
            <w:vAlign w:val="bottom"/>
            <w:gridSpan w:val="2"/>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40" w:type="dxa"/>
            <w:vAlign w:val="bottom"/>
          </w:tcPr>
          <w:p>
            <w:pPr>
              <w:spacing w:after="0" w:line="142" w:lineRule="exact"/>
              <w:rPr>
                <w:sz w:val="20"/>
                <w:szCs w:val="20"/>
                <w:color w:val="auto"/>
              </w:rPr>
            </w:pPr>
            <w:r>
              <w:rPr>
                <w:rFonts w:ascii="Arial" w:cs="Arial" w:eastAsia="Arial" w:hAnsi="Arial"/>
                <w:sz w:val="14"/>
                <w:szCs w:val="14"/>
                <w:b w:val="1"/>
                <w:bCs w:val="1"/>
                <w:color w:val="auto"/>
              </w:rPr>
              <w:t>Assets</w:t>
            </w:r>
          </w:p>
        </w:tc>
        <w:tc>
          <w:tcPr>
            <w:tcW w:w="3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leases</w:t>
            </w:r>
          </w:p>
        </w:tc>
        <w:tc>
          <w:tcPr>
            <w:tcW w:w="3680" w:type="dxa"/>
            <w:vAlign w:val="bottom"/>
            <w:shd w:val="clear" w:color="auto" w:fill="CCEEFF"/>
          </w:tcPr>
          <w:p>
            <w:pPr>
              <w:ind w:left="1820"/>
              <w:spacing w:after="0" w:line="149" w:lineRule="exact"/>
              <w:rPr>
                <w:sz w:val="20"/>
                <w:szCs w:val="20"/>
                <w:color w:val="auto"/>
              </w:rPr>
            </w:pPr>
            <w:r>
              <w:rPr>
                <w:rFonts w:ascii="Arial" w:cs="Arial" w:eastAsia="Arial" w:hAnsi="Arial"/>
                <w:sz w:val="14"/>
                <w:szCs w:val="14"/>
                <w:color w:val="auto"/>
              </w:rPr>
              <w:t>Operating lease assets</w:t>
            </w:r>
          </w:p>
        </w:tc>
        <w:tc>
          <w:tcPr>
            <w:tcW w:w="520" w:type="dxa"/>
            <w:vAlign w:val="bottom"/>
            <w:gridSpan w:val="2"/>
            <w:shd w:val="clear" w:color="auto" w:fill="CCEEFF"/>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8,106</w:t>
            </w:r>
          </w:p>
        </w:tc>
        <w:tc>
          <w:tcPr>
            <w:tcW w:w="480" w:type="dxa"/>
            <w:vAlign w:val="bottom"/>
            <w:gridSpan w:val="2"/>
            <w:shd w:val="clear" w:color="auto" w:fill="CCEEFF"/>
          </w:tcPr>
          <w:p>
            <w:pPr>
              <w:jc w:val="right"/>
              <w:ind w:right="162"/>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Finance lease</w:t>
            </w:r>
          </w:p>
        </w:tc>
        <w:tc>
          <w:tcPr>
            <w:tcW w:w="3680" w:type="dxa"/>
            <w:vAlign w:val="bottom"/>
            <w:tcBorders>
              <w:bottom w:val="single" w:sz="8" w:color="CCEEFF"/>
            </w:tcBorders>
          </w:tcPr>
          <w:p>
            <w:pPr>
              <w:ind w:left="1820"/>
              <w:spacing w:after="0" w:line="149" w:lineRule="exact"/>
              <w:rPr>
                <w:sz w:val="20"/>
                <w:szCs w:val="20"/>
                <w:color w:val="auto"/>
              </w:rPr>
            </w:pPr>
            <w:r>
              <w:rPr>
                <w:rFonts w:ascii="Arial" w:cs="Arial" w:eastAsia="Arial" w:hAnsi="Arial"/>
                <w:sz w:val="14"/>
                <w:szCs w:val="14"/>
                <w:color w:val="auto"/>
              </w:rPr>
              <w:t>Finance lease assets *</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19,563</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20,544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leased assets</w:t>
            </w:r>
          </w:p>
        </w:tc>
        <w:tc>
          <w:tcPr>
            <w:tcW w:w="36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27,669</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25,086</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60" w:type="dxa"/>
            <w:vAlign w:val="bottom"/>
            <w:gridSpan w:val="2"/>
            <w:vMerge w:val="continue"/>
          </w:tcPr>
          <w:p>
            <w:pPr>
              <w:spacing w:after="0"/>
              <w:rPr>
                <w:sz w:val="11"/>
                <w:szCs w:val="11"/>
                <w:color w:val="auto"/>
              </w:rPr>
            </w:pPr>
          </w:p>
        </w:tc>
        <w:tc>
          <w:tcPr>
            <w:tcW w:w="3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w:t>
            </w:r>
          </w:p>
        </w:tc>
        <w:tc>
          <w:tcPr>
            <w:tcW w:w="3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color w:val="auto"/>
              </w:rPr>
              <w:t>Operating</w:t>
            </w:r>
          </w:p>
        </w:tc>
        <w:tc>
          <w:tcPr>
            <w:tcW w:w="3680" w:type="dxa"/>
            <w:vAlign w:val="bottom"/>
          </w:tcPr>
          <w:p>
            <w:pPr>
              <w:ind w:left="1820"/>
              <w:spacing w:after="0" w:line="149" w:lineRule="exact"/>
              <w:rPr>
                <w:sz w:val="20"/>
                <w:szCs w:val="20"/>
                <w:color w:val="auto"/>
              </w:rPr>
            </w:pPr>
            <w:r>
              <w:rPr>
                <w:rFonts w:ascii="Arial" w:cs="Arial" w:eastAsia="Arial" w:hAnsi="Arial"/>
                <w:sz w:val="14"/>
                <w:szCs w:val="14"/>
                <w:color w:val="auto"/>
              </w:rPr>
              <w:t>Other current liabilities</w:t>
            </w:r>
          </w:p>
        </w:tc>
        <w:tc>
          <w:tcPr>
            <w:tcW w:w="52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3,874</w:t>
            </w:r>
          </w:p>
        </w:tc>
        <w:tc>
          <w:tcPr>
            <w:tcW w:w="480" w:type="dxa"/>
            <w:vAlign w:val="bottom"/>
            <w:gridSpan w:val="2"/>
          </w:tcPr>
          <w:p>
            <w:pPr>
              <w:jc w:val="right"/>
              <w:ind w:right="162"/>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3680" w:type="dxa"/>
            <w:vAlign w:val="bottom"/>
            <w:shd w:val="clear" w:color="auto" w:fill="CCEEFF"/>
          </w:tcPr>
          <w:p>
            <w:pPr>
              <w:ind w:left="1820"/>
              <w:spacing w:after="0" w:line="130" w:lineRule="exact"/>
              <w:rPr>
                <w:sz w:val="20"/>
                <w:szCs w:val="20"/>
                <w:color w:val="auto"/>
              </w:rPr>
            </w:pPr>
            <w:r>
              <w:rPr>
                <w:rFonts w:ascii="Arial" w:cs="Arial" w:eastAsia="Arial" w:hAnsi="Arial"/>
                <w:sz w:val="14"/>
                <w:szCs w:val="14"/>
                <w:color w:val="auto"/>
                <w:w w:val="94"/>
              </w:rPr>
              <w:t>Current portion of finance lease</w:t>
            </w: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4"/>
                <w:szCs w:val="14"/>
                <w:color w:val="auto"/>
              </w:rPr>
              <w:t>Finance</w:t>
            </w:r>
          </w:p>
        </w:tc>
        <w:tc>
          <w:tcPr>
            <w:tcW w:w="3680" w:type="dxa"/>
            <w:vAlign w:val="bottom"/>
            <w:shd w:val="clear" w:color="auto" w:fill="CCEEFF"/>
          </w:tcPr>
          <w:p>
            <w:pPr>
              <w:ind w:left="1820"/>
              <w:spacing w:after="0"/>
              <w:rPr>
                <w:sz w:val="20"/>
                <w:szCs w:val="20"/>
                <w:color w:val="auto"/>
              </w:rPr>
            </w:pPr>
            <w:r>
              <w:rPr>
                <w:rFonts w:ascii="Arial" w:cs="Arial" w:eastAsia="Arial" w:hAnsi="Arial"/>
                <w:sz w:val="14"/>
                <w:szCs w:val="14"/>
                <w:color w:val="auto"/>
              </w:rPr>
              <w:t>obligation</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Pr>
          <w:p>
            <w:pPr>
              <w:spacing w:after="0" w:line="149" w:lineRule="exact"/>
              <w:rPr>
                <w:sz w:val="20"/>
                <w:szCs w:val="20"/>
                <w:color w:val="auto"/>
              </w:rPr>
            </w:pPr>
            <w:r>
              <w:rPr>
                <w:rFonts w:ascii="Arial" w:cs="Arial" w:eastAsia="Arial" w:hAnsi="Arial"/>
                <w:sz w:val="14"/>
                <w:szCs w:val="14"/>
                <w:b w:val="1"/>
                <w:bCs w:val="1"/>
                <w:color w:val="auto"/>
              </w:rPr>
              <w:t>Noncurrent</w:t>
            </w:r>
          </w:p>
        </w:tc>
        <w:tc>
          <w:tcPr>
            <w:tcW w:w="3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w:t>
            </w:r>
          </w:p>
        </w:tc>
        <w:tc>
          <w:tcPr>
            <w:tcW w:w="3680" w:type="dxa"/>
            <w:vAlign w:val="bottom"/>
            <w:shd w:val="clear" w:color="auto" w:fill="CCEEFF"/>
          </w:tcPr>
          <w:p>
            <w:pPr>
              <w:ind w:left="1820"/>
              <w:spacing w:after="0" w:line="149" w:lineRule="exact"/>
              <w:rPr>
                <w:sz w:val="20"/>
                <w:szCs w:val="20"/>
                <w:color w:val="auto"/>
              </w:rPr>
            </w:pPr>
            <w:r>
              <w:rPr>
                <w:rFonts w:ascii="Arial" w:cs="Arial" w:eastAsia="Arial" w:hAnsi="Arial"/>
                <w:sz w:val="14"/>
                <w:szCs w:val="14"/>
                <w:color w:val="auto"/>
              </w:rPr>
              <w:t>Other long-term liabilities</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Finance</w:t>
            </w:r>
          </w:p>
        </w:tc>
        <w:tc>
          <w:tcPr>
            <w:tcW w:w="3680" w:type="dxa"/>
            <w:vAlign w:val="bottom"/>
            <w:tcBorders>
              <w:bottom w:val="single" w:sz="8" w:color="CCEEFF"/>
            </w:tcBorders>
          </w:tcPr>
          <w:p>
            <w:pPr>
              <w:ind w:left="1820"/>
              <w:spacing w:after="0" w:line="149" w:lineRule="exact"/>
              <w:rPr>
                <w:sz w:val="20"/>
                <w:szCs w:val="20"/>
                <w:color w:val="auto"/>
              </w:rPr>
            </w:pPr>
            <w:r>
              <w:rPr>
                <w:rFonts w:ascii="Arial" w:cs="Arial" w:eastAsia="Arial" w:hAnsi="Arial"/>
                <w:sz w:val="14"/>
                <w:szCs w:val="14"/>
                <w:color w:val="auto"/>
              </w:rPr>
              <w:t>Finance lease obligation</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46,672</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47,393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lease liabilities</w:t>
            </w:r>
          </w:p>
        </w:tc>
        <w:tc>
          <w:tcPr>
            <w:tcW w:w="36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55,687</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100" w:firstLine="8"/>
        <w:spacing w:after="0" w:line="238"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depreciation of $49.2 million and include $0.7 million of prepaid financing costs as of September 30, 2021. Finance lease assets are recorded net of accumulated depreciation of $48.4 million and include $0.7 million of prepaid financing costs as of December 31, 2020.</w:t>
      </w:r>
    </w:p>
    <w:p>
      <w:pPr>
        <w:spacing w:after="0" w:line="11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All of our operating lease office locations support selling and servicing functions. Operating lease expense, and depreciation and interest expense relating to our finance lease obligation, are recognized within our consolidated statement of operations for the three and nine months ended September 30, 2021 and 2020 as follows: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6"/>
                <w:szCs w:val="16"/>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201"/>
        </w:trPr>
        <w:tc>
          <w:tcPr>
            <w:tcW w:w="26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Lease cost</w:t>
            </w:r>
          </w:p>
        </w:tc>
        <w:tc>
          <w:tcPr>
            <w:tcW w:w="2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2600" w:type="dxa"/>
            <w:vAlign w:val="bottom"/>
            <w:gridSpan w:val="2"/>
            <w:vMerge w:val="continue"/>
          </w:tcPr>
          <w:p>
            <w:pPr>
              <w:spacing w:after="0"/>
              <w:rPr>
                <w:sz w:val="17"/>
                <w:szCs w:val="17"/>
                <w:color w:val="auto"/>
              </w:rPr>
            </w:pPr>
          </w:p>
        </w:tc>
        <w:tc>
          <w:tcPr>
            <w:tcW w:w="2960" w:type="dxa"/>
            <w:vAlign w:val="bottom"/>
          </w:tcPr>
          <w:p>
            <w:pPr>
              <w:ind w:left="940"/>
              <w:spacing w:after="0"/>
              <w:rPr>
                <w:sz w:val="20"/>
                <w:szCs w:val="20"/>
                <w:color w:val="auto"/>
              </w:rPr>
            </w:pPr>
            <w:r>
              <w:rPr>
                <w:rFonts w:ascii="Arial" w:cs="Arial" w:eastAsia="Arial" w:hAnsi="Arial"/>
                <w:sz w:val="14"/>
                <w:szCs w:val="14"/>
                <w:b w:val="1"/>
                <w:bCs w:val="1"/>
                <w:color w:val="auto"/>
              </w:rPr>
              <w:t>Classification</w:t>
            </w: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0" w:type="dxa"/>
            <w:vAlign w:val="bottom"/>
            <w:gridSpan w:val="2"/>
          </w:tcPr>
          <w:p>
            <w:pPr>
              <w:spacing w:after="0"/>
              <w:rPr>
                <w:sz w:val="20"/>
                <w:szCs w:val="20"/>
                <w:color w:val="auto"/>
              </w:rPr>
            </w:pPr>
            <w:r>
              <w:rPr>
                <w:rFonts w:ascii="Arial" w:cs="Arial" w:eastAsia="Arial" w:hAnsi="Arial"/>
                <w:sz w:val="14"/>
                <w:szCs w:val="14"/>
                <w:b w:val="1"/>
                <w:bCs w:val="1"/>
                <w:color w:val="auto"/>
              </w:rPr>
              <w:t>Operating lease cost</w:t>
            </w:r>
          </w:p>
        </w:tc>
        <w:tc>
          <w:tcPr>
            <w:tcW w:w="2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Service</w:t>
            </w:r>
          </w:p>
        </w:tc>
        <w:tc>
          <w:tcPr>
            <w:tcW w:w="2960" w:type="dxa"/>
            <w:vAlign w:val="bottom"/>
            <w:shd w:val="clear" w:color="auto" w:fill="CCEEFF"/>
          </w:tcPr>
          <w:p>
            <w:pPr>
              <w:ind w:left="940"/>
              <w:spacing w:after="0"/>
              <w:rPr>
                <w:sz w:val="20"/>
                <w:szCs w:val="20"/>
                <w:color w:val="auto"/>
              </w:rPr>
            </w:pPr>
            <w:r>
              <w:rPr>
                <w:rFonts w:ascii="Arial" w:cs="Arial" w:eastAsia="Arial" w:hAnsi="Arial"/>
                <w:sz w:val="14"/>
                <w:szCs w:val="14"/>
                <w:color w:val="auto"/>
              </w:rPr>
              <w:t>Cost of 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2960" w:type="dxa"/>
            <w:vAlign w:val="bottom"/>
          </w:tcPr>
          <w:p>
            <w:pPr>
              <w:ind w:left="9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2960" w:type="dxa"/>
            <w:vAlign w:val="bottom"/>
            <w:shd w:val="clear" w:color="auto" w:fill="CCEEFF"/>
          </w:tcPr>
          <w:p>
            <w:pPr>
              <w:ind w:left="940"/>
              <w:spacing w:after="0"/>
              <w:rPr>
                <w:sz w:val="20"/>
                <w:szCs w:val="20"/>
                <w:color w:val="auto"/>
              </w:rPr>
            </w:pPr>
            <w:r>
              <w:rPr>
                <w:rFonts w:ascii="Arial" w:cs="Arial" w:eastAsia="Arial" w:hAnsi="Arial"/>
                <w:sz w:val="14"/>
                <w:szCs w:val="14"/>
                <w:color w:val="auto"/>
              </w:rPr>
              <w:t>Operating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4"/>
                <w:szCs w:val="14"/>
                <w:color w:val="auto"/>
              </w:rPr>
              <w:t>General and administrative*</w:t>
            </w:r>
          </w:p>
        </w:tc>
        <w:tc>
          <w:tcPr>
            <w:tcW w:w="2960" w:type="dxa"/>
            <w:vAlign w:val="bottom"/>
          </w:tcPr>
          <w:p>
            <w:pPr>
              <w:ind w:left="9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648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Total operating lease cost</w:t>
            </w:r>
          </w:p>
        </w:tc>
        <w:tc>
          <w:tcPr>
            <w:tcW w:w="2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Finance lease cost</w:t>
            </w:r>
          </w:p>
        </w:tc>
        <w:tc>
          <w:tcPr>
            <w:tcW w:w="2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0" w:type="dxa"/>
            <w:vAlign w:val="bottom"/>
            <w:gridSpan w:val="2"/>
            <w:vMerge w:val="continue"/>
          </w:tcPr>
          <w:p>
            <w:pPr>
              <w:spacing w:after="0"/>
              <w:rPr>
                <w:sz w:val="14"/>
                <w:szCs w:val="14"/>
                <w:color w:val="auto"/>
              </w:rPr>
            </w:pPr>
          </w:p>
        </w:tc>
        <w:tc>
          <w:tcPr>
            <w:tcW w:w="2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2960" w:type="dxa"/>
            <w:vAlign w:val="bottom"/>
            <w:shd w:val="clear" w:color="auto" w:fill="CCEEFF"/>
          </w:tcPr>
          <w:p>
            <w:pPr>
              <w:ind w:left="940"/>
              <w:spacing w:after="0" w:line="130" w:lineRule="exact"/>
              <w:rPr>
                <w:sz w:val="20"/>
                <w:szCs w:val="20"/>
                <w:color w:val="auto"/>
              </w:rPr>
            </w:pPr>
            <w:r>
              <w:rPr>
                <w:rFonts w:ascii="Arial" w:cs="Arial" w:eastAsia="Arial" w:hAnsi="Arial"/>
                <w:sz w:val="14"/>
                <w:szCs w:val="14"/>
                <w:color w:val="auto"/>
                <w:w w:val="96"/>
              </w:rPr>
              <w:t>Cost of revenue, R&amp;D, Sales and</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Depreciation of leased assets</w:t>
            </w:r>
          </w:p>
        </w:tc>
        <w:tc>
          <w:tcPr>
            <w:tcW w:w="2960" w:type="dxa"/>
            <w:vAlign w:val="bottom"/>
            <w:shd w:val="clear" w:color="auto" w:fill="CCEEFF"/>
          </w:tcPr>
          <w:p>
            <w:pPr>
              <w:ind w:left="940"/>
              <w:spacing w:after="0"/>
              <w:rPr>
                <w:sz w:val="20"/>
                <w:szCs w:val="20"/>
                <w:color w:val="auto"/>
              </w:rPr>
            </w:pPr>
            <w:r>
              <w:rPr>
                <w:rFonts w:ascii="Arial" w:cs="Arial" w:eastAsia="Arial" w:hAnsi="Arial"/>
                <w:sz w:val="14"/>
                <w:szCs w:val="14"/>
                <w:color w:val="auto"/>
              </w:rPr>
              <w:t>marketing and G&amp;A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4"/>
                <w:szCs w:val="14"/>
                <w:color w:val="auto"/>
              </w:rPr>
              <w:t>Interest on lease liabilities</w:t>
            </w:r>
          </w:p>
        </w:tc>
        <w:tc>
          <w:tcPr>
            <w:tcW w:w="2960" w:type="dxa"/>
            <w:vAlign w:val="bottom"/>
          </w:tcPr>
          <w:p>
            <w:pPr>
              <w:ind w:left="94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3,822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3,898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Total finance lease cost</w:t>
            </w:r>
          </w:p>
        </w:tc>
        <w:tc>
          <w:tcPr>
            <w:tcW w:w="29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4,907</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29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lease cost</w:t>
            </w:r>
          </w:p>
        </w:tc>
        <w:tc>
          <w:tcPr>
            <w:tcW w:w="29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8,702</w:t>
            </w: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0" w:firstLine="8"/>
        <w:spacing w:after="0" w:line="238" w:lineRule="auto"/>
        <w:tabs>
          <w:tab w:leader="none" w:pos="108" w:val="left"/>
        </w:tabs>
        <w:numPr>
          <w:ilvl w:val="0"/>
          <w:numId w:val="4"/>
        </w:numPr>
        <w:rPr>
          <w:rFonts w:ascii="Arial" w:cs="Arial" w:eastAsia="Arial" w:hAnsi="Arial"/>
          <w:sz w:val="14"/>
          <w:szCs w:val="14"/>
          <w:color w:val="auto"/>
        </w:rPr>
      </w:pPr>
      <w:r>
        <w:rPr>
          <w:rFonts w:ascii="Arial" w:cs="Arial" w:eastAsia="Arial" w:hAnsi="Arial"/>
          <w:sz w:val="14"/>
          <w:szCs w:val="14"/>
          <w:color w:val="auto"/>
        </w:rPr>
        <w:t>Sales and marketing and general and administrative expense also includes short-term lease and variable lease costs of approximately $0.6 million and $1.4 million for the three and nine months ended September 30, 2021, respectively, and includes short-term and variable lease costs of approximately $0.3 million and $0.8 million for the three and nine months ended September 30, 2020, respectively.</w:t>
      </w:r>
    </w:p>
    <w:p>
      <w:pPr>
        <w:spacing w:after="0" w:line="187"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lease of our corporate headquarters, shown below under finance leases, had an original lease term of 22 years, beginning in January 2015. All other locations are treated as operating leases, with lease terms ranging from 1 to 10 years. The tables below reflect the minimum cash outflow regarding our current lease obligations as well as the weighted-average remaining lease term and weighted-average discount rates used in our calculation of our lease obligations and right-of-use assets as of September 30,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of Lease Liabilities</w:t>
            </w: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Finance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Leases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4"/>
                <w:szCs w:val="14"/>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9,017</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108,481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Arial" w:cs="Arial" w:eastAsia="Arial" w:hAnsi="Arial"/>
                <w:sz w:val="14"/>
                <w:szCs w:val="14"/>
                <w:color w:val="auto"/>
              </w:rPr>
              <w:t>Less interest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(51,871)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(923)</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(52,794)</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47,593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55,687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 Finance lease interest calculated using the implied interest rate; operating lease interest calculated using estimated corporate borrowing 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Lease term and discount rate</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01"/>
        </w:trPr>
        <w:tc>
          <w:tcPr>
            <w:tcW w:w="7680" w:type="dxa"/>
            <w:vAlign w:val="bottom"/>
            <w:gridSpan w:val="3"/>
            <w:vMerge w:val="continue"/>
          </w:tcPr>
          <w:p>
            <w:pPr>
              <w:spacing w:after="0"/>
              <w:rPr>
                <w:sz w:val="17"/>
                <w:szCs w:val="17"/>
                <w:color w:val="auto"/>
              </w:rPr>
            </w:pPr>
          </w:p>
        </w:tc>
        <w:tc>
          <w:tcPr>
            <w:tcW w:w="130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gridSpan w:val="3"/>
          </w:tcPr>
          <w:p>
            <w:pPr>
              <w:spacing w:after="0"/>
              <w:rPr>
                <w:sz w:val="20"/>
                <w:szCs w:val="20"/>
                <w:color w:val="auto"/>
              </w:rPr>
            </w:pPr>
            <w:r>
              <w:rPr>
                <w:rFonts w:ascii="Arial" w:cs="Arial" w:eastAsia="Arial" w:hAnsi="Arial"/>
                <w:sz w:val="14"/>
                <w:szCs w:val="14"/>
                <w:color w:val="auto"/>
              </w:rPr>
              <w:t>Weighted-average remaining lease term (years):</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130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w w:val="92"/>
              </w:rPr>
              <w:t>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3"/>
          </w:tcPr>
          <w:p>
            <w:pPr>
              <w:spacing w:after="0"/>
              <w:rPr>
                <w:sz w:val="20"/>
                <w:szCs w:val="20"/>
                <w:color w:val="auto"/>
              </w:rPr>
            </w:pPr>
            <w:r>
              <w:rPr>
                <w:rFonts w:ascii="Arial" w:cs="Arial" w:eastAsia="Arial" w:hAnsi="Arial"/>
                <w:sz w:val="14"/>
                <w:szCs w:val="14"/>
                <w:color w:val="auto"/>
              </w:rPr>
              <w:t>Finance leases</w:t>
            </w:r>
          </w:p>
        </w:tc>
        <w:tc>
          <w:tcPr>
            <w:tcW w:w="1300" w:type="dxa"/>
            <w:vAlign w:val="bottom"/>
          </w:tcPr>
          <w:p>
            <w:pPr>
              <w:jc w:val="center"/>
              <w:ind w:left="208"/>
              <w:spacing w:after="0"/>
              <w:rPr>
                <w:sz w:val="20"/>
                <w:szCs w:val="20"/>
                <w:color w:val="auto"/>
              </w:rPr>
            </w:pPr>
            <w:r>
              <w:rPr>
                <w:rFonts w:ascii="Arial" w:cs="Arial" w:eastAsia="Arial" w:hAnsi="Arial"/>
                <w:sz w:val="14"/>
                <w:szCs w:val="14"/>
                <w:color w:val="auto"/>
                <w:w w:val="95"/>
              </w:rPr>
              <w:t>15.3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Weighted-average discount rate: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3"/>
          </w:tcPr>
          <w:p>
            <w:pPr>
              <w:spacing w:after="0"/>
              <w:rPr>
                <w:sz w:val="20"/>
                <w:szCs w:val="20"/>
                <w:color w:val="auto"/>
              </w:rPr>
            </w:pPr>
            <w:r>
              <w:rPr>
                <w:rFonts w:ascii="Arial" w:cs="Arial" w:eastAsia="Arial" w:hAnsi="Arial"/>
                <w:sz w:val="14"/>
                <w:szCs w:val="14"/>
                <w:color w:val="auto"/>
              </w:rPr>
              <w:t>Operating leases</w:t>
            </w:r>
          </w:p>
        </w:tc>
        <w:tc>
          <w:tcPr>
            <w:tcW w:w="1300" w:type="dxa"/>
            <w:vAlign w:val="bottom"/>
          </w:tcPr>
          <w:p>
            <w:pPr>
              <w:jc w:val="center"/>
              <w:ind w:left="208"/>
              <w:spacing w:after="0"/>
              <w:rPr>
                <w:sz w:val="20"/>
                <w:szCs w:val="20"/>
                <w:color w:val="auto"/>
              </w:rPr>
            </w:pPr>
            <w:r>
              <w:rPr>
                <w:rFonts w:ascii="Arial" w:cs="Arial" w:eastAsia="Arial" w:hAnsi="Arial"/>
                <w:sz w:val="14"/>
                <w:szCs w:val="14"/>
                <w:color w:val="auto"/>
                <w:w w:val="93"/>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leases</w:t>
            </w:r>
          </w:p>
        </w:tc>
        <w:tc>
          <w:tcPr>
            <w:tcW w:w="130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w w:val="95"/>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payment of principal component. The table below shows our cash outflows, by lease type and related section of our statement of cash flows, as well as the non-cash amount capitalized on our balance sheet in relation to our operating lease right-of-use assets for the nine months ending September 30, 2021 and 2020, respectively: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201"/>
        </w:trPr>
        <w:tc>
          <w:tcPr>
            <w:tcW w:w="6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 paid for amounts included in the measurement of lease liabilities</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408"/>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Operating cash outflows from operating leases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4,323</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4"/>
                <w:szCs w:val="14"/>
                <w:color w:val="auto"/>
              </w:rPr>
              <w:t>Operating cash outflows from finance leases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3,821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Financing cash outflows from finance leases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4"/>
                <w:szCs w:val="14"/>
                <w:color w:val="auto"/>
              </w:rPr>
              <w:t>Operating lease assets obtained in exchange for operating lease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6,396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Finance lease assets obtained in exchange for new finance lease liabilities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categories used by management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581"/>
              <w:spacing w:after="0"/>
              <w:rPr>
                <w:sz w:val="20"/>
                <w:szCs w:val="20"/>
                <w:color w:val="auto"/>
              </w:rPr>
            </w:pPr>
            <w:r>
              <w:rPr>
                <w:rFonts w:ascii="Arial" w:cs="Arial" w:eastAsia="Arial" w:hAnsi="Arial"/>
                <w:sz w:val="14"/>
                <w:szCs w:val="14"/>
                <w:b w:val="1"/>
                <w:bCs w:val="1"/>
                <w:color w:val="auto"/>
              </w:rPr>
              <w:t>Nine months ended</w:t>
            </w:r>
          </w:p>
        </w:tc>
      </w:tr>
      <w:tr>
        <w:trPr>
          <w:trHeight w:val="255"/>
        </w:trPr>
        <w:tc>
          <w:tcPr>
            <w:tcW w:w="4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22"/>
                <w:szCs w:val="22"/>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22"/>
                <w:szCs w:val="22"/>
                <w:color w:val="auto"/>
              </w:rPr>
            </w:pPr>
          </w:p>
        </w:tc>
      </w:tr>
      <w:tr>
        <w:trPr>
          <w:trHeight w:val="237"/>
        </w:trPr>
        <w:tc>
          <w:tcPr>
            <w:tcW w:w="4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2020</w:t>
            </w:r>
          </w:p>
        </w:tc>
      </w:tr>
      <w:tr>
        <w:trPr>
          <w:trHeight w:val="236"/>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3"/>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Systems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126,166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70,239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307,295</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229,391</w:t>
            </w:r>
          </w:p>
        </w:tc>
      </w:tr>
      <w:tr>
        <w:trPr>
          <w:trHeight w:val="240"/>
        </w:trPr>
        <w:tc>
          <w:tcPr>
            <w:tcW w:w="4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Aftermarket</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50,528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40,166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149,449</w:t>
            </w: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122,970</w:t>
            </w:r>
          </w:p>
        </w:tc>
      </w:tr>
      <w:tr>
        <w:trPr>
          <w:trHeight w:val="213"/>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176,694</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110,405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456,744</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352,361</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right"/>
              <w:ind w:right="30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481"/>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North America</w:t>
            </w:r>
          </w:p>
        </w:tc>
        <w:tc>
          <w:tcPr>
            <w:tcW w:w="22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11,847</w:t>
            </w: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9,022</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31,560</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28,598</w:t>
            </w: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Asia Pacific</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137,870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89,995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357,903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293,427</w:t>
            </w: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6"/>
                <w:szCs w:val="16"/>
                <w:color w:val="auto"/>
              </w:rPr>
              <w:t>Europe</w:t>
            </w:r>
          </w:p>
        </w:tc>
        <w:tc>
          <w:tcPr>
            <w:tcW w:w="20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26,977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67,281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30,336</w:t>
            </w:r>
          </w:p>
        </w:tc>
      </w:tr>
      <w:tr>
        <w:trPr>
          <w:trHeight w:val="196"/>
        </w:trPr>
        <w:tc>
          <w:tcPr>
            <w:tcW w:w="2980" w:type="dxa"/>
            <w:vAlign w:val="bottom"/>
            <w:gridSpan w:val="2"/>
          </w:tcPr>
          <w:p>
            <w:pPr>
              <w:spacing w:after="0"/>
              <w:rPr>
                <w:sz w:val="20"/>
                <w:szCs w:val="20"/>
                <w:color w:val="auto"/>
              </w:rPr>
            </w:pPr>
            <w:r>
              <w:rPr>
                <w:rFonts w:ascii="Arial" w:cs="Arial" w:eastAsia="Arial" w:hAnsi="Arial"/>
                <w:sz w:val="16"/>
                <w:szCs w:val="16"/>
                <w:color w:val="auto"/>
              </w:rPr>
              <w:t>Total Revenue</w:t>
            </w:r>
          </w:p>
        </w:tc>
        <w:tc>
          <w:tcPr>
            <w:tcW w:w="20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176,694</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110,405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456,744</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352,361</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46"/>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58,240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23,058</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4"/>
          </w:tcPr>
          <w:p>
            <w:pPr>
              <w:jc w:val="right"/>
              <w:ind w:right="81"/>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5"/>
          </w:tcPr>
          <w:p>
            <w:pPr>
              <w:jc w:val="right"/>
              <w:ind w:right="141"/>
              <w:spacing w:after="0"/>
              <w:rPr>
                <w:sz w:val="20"/>
                <w:szCs w:val="20"/>
                <w:color w:val="auto"/>
              </w:rPr>
            </w:pPr>
            <w:r>
              <w:rPr>
                <w:rFonts w:ascii="Arial" w:cs="Arial" w:eastAsia="Arial" w:hAnsi="Arial"/>
                <w:sz w:val="14"/>
                <w:szCs w:val="14"/>
                <w:b w:val="1"/>
                <w:bCs w:val="1"/>
                <w:color w:val="auto"/>
                <w:w w:val="93"/>
              </w:rPr>
              <w:t>Nine months ended</w:t>
            </w:r>
          </w:p>
        </w:tc>
      </w:tr>
      <w:tr>
        <w:trPr>
          <w:trHeight w:val="188"/>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281"/>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2020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2020</w:t>
            </w:r>
          </w:p>
        </w:tc>
      </w:tr>
      <w:tr>
        <w:trPr>
          <w:trHeight w:val="18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5"/>
          </w:tcPr>
          <w:p>
            <w:pPr>
              <w:ind w:left="26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the period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23,058</w:t>
            </w: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29,251</w:t>
            </w:r>
          </w:p>
        </w:tc>
      </w:tr>
      <w:tr>
        <w:trPr>
          <w:trHeight w:val="203"/>
        </w:trPr>
        <w:tc>
          <w:tcPr>
            <w:tcW w:w="20" w:type="dxa"/>
            <w:vAlign w:val="bottom"/>
          </w:tcPr>
          <w:p>
            <w:pPr>
              <w:spacing w:after="0"/>
              <w:rPr>
                <w:sz w:val="17"/>
                <w:szCs w:val="17"/>
                <w:color w:val="auto"/>
              </w:rPr>
            </w:pPr>
          </w:p>
        </w:tc>
        <w:tc>
          <w:tcPr>
            <w:tcW w:w="4020" w:type="dxa"/>
            <w:vAlign w:val="bottom"/>
          </w:tcPr>
          <w:p>
            <w:pPr>
              <w:ind w:left="140"/>
              <w:spacing w:after="0"/>
              <w:rPr>
                <w:sz w:val="20"/>
                <w:szCs w:val="20"/>
                <w:color w:val="auto"/>
              </w:rPr>
            </w:pPr>
            <w:r>
              <w:rPr>
                <w:rFonts w:ascii="Arial" w:cs="Arial" w:eastAsia="Arial" w:hAnsi="Arial"/>
                <w:sz w:val="16"/>
                <w:szCs w:val="16"/>
                <w:color w:val="auto"/>
              </w:rPr>
              <w:t>Deferral of revenue</w:t>
            </w: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38,867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4,030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55,011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10,320</w:t>
            </w: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Recognition of deferred revenue</w:t>
            </w:r>
          </w:p>
        </w:tc>
        <w:tc>
          <w:tcPr>
            <w:tcW w:w="1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(17,477)</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(19,829)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(22,602)</w:t>
            </w:r>
          </w:p>
        </w:tc>
      </w:tr>
      <w:tr>
        <w:trPr>
          <w:trHeight w:val="196"/>
        </w:trPr>
        <w:tc>
          <w:tcPr>
            <w:tcW w:w="4040" w:type="dxa"/>
            <w:vAlign w:val="bottom"/>
            <w:gridSpan w:val="2"/>
          </w:tcPr>
          <w:p>
            <w:pPr>
              <w:spacing w:after="0"/>
              <w:rPr>
                <w:sz w:val="20"/>
                <w:szCs w:val="20"/>
                <w:color w:val="auto"/>
              </w:rPr>
            </w:pPr>
            <w:r>
              <w:rPr>
                <w:rFonts w:ascii="Arial" w:cs="Arial" w:eastAsia="Arial" w:hAnsi="Arial"/>
                <w:sz w:val="16"/>
                <w:szCs w:val="16"/>
                <w:color w:val="auto"/>
              </w:rPr>
              <w:t>Balance, end of the period</w:t>
            </w:r>
          </w:p>
        </w:tc>
        <w:tc>
          <w:tcPr>
            <w:tcW w:w="17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58,240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16,969</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58,240</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16,969</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majority of our system transactions have payment terms of 90% due upon shipment of the tool and 10% due upon acceptance. Aftermarket transaction payment terms usually provide that payment is due either within 30 or 60 days after the service is provided or parts delivered.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 and Allowances for Credit Losses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All trade receivables are reported on the Consolidated Balance Sheets at their amortized cost adjusted for any write-offs and net of allowances for credit losses.</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Axcelis maintains an allowance for credit losses, which represent an estimate of expected losses over the remaining contractual life of our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our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estimates for supportable forecasts, when appropriate, and credit risk characteristics.</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Axcelis evaluates the credit risk of the customer when extending credit based on a combination of various financial and qualitative factors that may affect our customers’ ability to pay. These factors may include the customer’s financial condition, past payment experience, and credit bureau report, as well as the value of the underlying collateral.</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Management performs detailed reviews of Axcelis’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shows changes of the allowances for credit losses related to trade receivables for the three and nine months ended September 30, 2021 and 2020, respectively: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17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6"/>
                <w:szCs w:val="16"/>
                <w:color w:val="auto"/>
              </w:rPr>
            </w:pPr>
          </w:p>
        </w:tc>
        <w:tc>
          <w:tcPr>
            <w:tcW w:w="172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w:t>
            </w:r>
          </w:p>
        </w:tc>
      </w:tr>
      <w:tr>
        <w:trPr>
          <w:trHeight w:val="228"/>
        </w:trPr>
        <w:tc>
          <w:tcPr>
            <w:tcW w:w="5440" w:type="dxa"/>
            <w:vAlign w:val="bottom"/>
          </w:tcPr>
          <w:p>
            <w:pPr>
              <w:spacing w:after="0"/>
              <w:rPr>
                <w:sz w:val="19"/>
                <w:szCs w:val="19"/>
                <w:color w:val="auto"/>
              </w:rPr>
            </w:pPr>
          </w:p>
        </w:tc>
        <w:tc>
          <w:tcPr>
            <w:tcW w:w="17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9"/>
                <w:szCs w:val="19"/>
                <w:color w:val="auto"/>
              </w:rPr>
            </w:pPr>
          </w:p>
        </w:tc>
        <w:tc>
          <w:tcPr>
            <w:tcW w:w="1720" w:type="dxa"/>
            <w:vAlign w:val="bottom"/>
            <w:gridSpan w:val="5"/>
          </w:tcPr>
          <w:p>
            <w:pPr>
              <w:ind w:left="260"/>
              <w:spacing w:after="0"/>
              <w:rPr>
                <w:sz w:val="20"/>
                <w:szCs w:val="20"/>
                <w:color w:val="auto"/>
              </w:rPr>
            </w:pPr>
            <w:r>
              <w:rPr>
                <w:rFonts w:ascii="Arial" w:cs="Arial" w:eastAsia="Arial" w:hAnsi="Arial"/>
                <w:sz w:val="14"/>
                <w:szCs w:val="14"/>
                <w:b w:val="1"/>
                <w:bCs w:val="1"/>
                <w:color w:val="auto"/>
              </w:rPr>
              <w:t>September 30,</w:t>
            </w:r>
          </w:p>
        </w:tc>
      </w:tr>
      <w:tr>
        <w:trPr>
          <w:trHeight w:val="209"/>
        </w:trPr>
        <w:tc>
          <w:tcPr>
            <w:tcW w:w="54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r>
      <w:tr>
        <w:trPr>
          <w:trHeight w:val="223"/>
        </w:trPr>
        <w:tc>
          <w:tcPr>
            <w:tcW w:w="5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5"/>
          </w:tcPr>
          <w:p>
            <w:pPr>
              <w:ind w:left="2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6"/>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period</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60" w:type="dxa"/>
            <w:vAlign w:val="bottom"/>
            <w:shd w:val="clear" w:color="auto" w:fill="CCEEFF"/>
          </w:tcPr>
          <w:p>
            <w:pPr>
              <w:spacing w:after="0"/>
              <w:rPr>
                <w:sz w:val="22"/>
                <w:szCs w:val="22"/>
                <w:color w:val="auto"/>
              </w:rPr>
            </w:pPr>
          </w:p>
        </w:tc>
      </w:tr>
      <w:tr>
        <w:trPr>
          <w:trHeight w:val="270"/>
        </w:trPr>
        <w:tc>
          <w:tcPr>
            <w:tcW w:w="5440" w:type="dxa"/>
            <w:vAlign w:val="bottom"/>
          </w:tcPr>
          <w:p>
            <w:pPr>
              <w:ind w:left="160"/>
              <w:spacing w:after="0"/>
              <w:rPr>
                <w:sz w:val="20"/>
                <w:szCs w:val="20"/>
                <w:color w:val="auto"/>
              </w:rPr>
            </w:pPr>
            <w:r>
              <w:rPr>
                <w:rFonts w:ascii="Arial" w:cs="Arial" w:eastAsia="Arial" w:hAnsi="Arial"/>
                <w:sz w:val="16"/>
                <w:szCs w:val="16"/>
                <w:color w:val="auto"/>
              </w:rPr>
              <w:t>Provision for credit losses</w:t>
            </w:r>
          </w:p>
        </w:tc>
        <w:tc>
          <w:tcPr>
            <w:tcW w:w="560" w:type="dxa"/>
            <w:vAlign w:val="bottom"/>
          </w:tcPr>
          <w:p>
            <w:pPr>
              <w:spacing w:after="0"/>
              <w:rPr>
                <w:sz w:val="23"/>
                <w:szCs w:val="23"/>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7"/>
        </w:trPr>
        <w:tc>
          <w:tcPr>
            <w:tcW w:w="5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Charge-offs</w:t>
            </w:r>
          </w:p>
        </w:tc>
        <w:tc>
          <w:tcPr>
            <w:tcW w:w="5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w:t>
            </w:r>
          </w:p>
        </w:tc>
      </w:tr>
      <w:tr>
        <w:trPr>
          <w:trHeight w:val="257"/>
        </w:trPr>
        <w:tc>
          <w:tcPr>
            <w:tcW w:w="54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Recoveries</w:t>
            </w:r>
          </w:p>
        </w:tc>
        <w:tc>
          <w:tcPr>
            <w:tcW w:w="5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2"/>
                <w:szCs w:val="22"/>
                <w:color w:val="auto"/>
              </w:rPr>
            </w:pPr>
          </w:p>
        </w:tc>
      </w:tr>
      <w:tr>
        <w:trPr>
          <w:trHeight w:val="236"/>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Balance, end of period</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Computation of Net Earnings per Share</w:t>
      </w:r>
    </w:p>
    <w:p>
      <w:pPr>
        <w:spacing w:after="0" w:line="229"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by the number of additional common shares that would have been outstanding if the potentially dilutive common shares issuable on exercise of stock options and vesting of RSUs had been issued, calculated using the treasury stock method.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earnings per share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58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20" w:type="dxa"/>
            <w:vAlign w:val="bottom"/>
            <w:gridSpan w:val="10"/>
          </w:tcPr>
          <w:p>
            <w:pPr>
              <w:jc w:val="right"/>
              <w:ind w:right="260"/>
              <w:spacing w:after="0" w:line="129" w:lineRule="exact"/>
              <w:rPr>
                <w:sz w:val="20"/>
                <w:szCs w:val="20"/>
                <w:color w:val="auto"/>
              </w:rPr>
            </w:pPr>
            <w:r>
              <w:rPr>
                <w:rFonts w:ascii="Arial" w:cs="Arial" w:eastAsia="Arial" w:hAnsi="Arial"/>
                <w:sz w:val="14"/>
                <w:szCs w:val="14"/>
                <w:b w:val="1"/>
                <w:bCs w:val="1"/>
                <w:color w:val="auto"/>
                <w:w w:val="99"/>
              </w:rPr>
              <w:t>(in thousands, except per share amounts)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available to common stockholders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27,515</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10,785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62,901</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35,308</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6"/>
                <w:szCs w:val="16"/>
                <w:color w:val="auto"/>
                <w:w w:val="96"/>
              </w:rPr>
              <w:t>Weighted average common shares outstanding used in computing basic income per</w:t>
            </w: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color w:val="auto"/>
              </w:rPr>
              <w:t>share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33,537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33,477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33,643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33,159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Incremental options and RSUs</w:t>
            </w: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7"/>
              </w:rPr>
              <w:t>Weighted average common shares used in computing diluted net income per share</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34,089</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34,174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34,339</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34,070</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per share</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Basic</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0.82</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Diluted weighted average common shares outstanding does not include 347 and 848 common equivalent shares issuable with respect to outstanding equity awards for the three-month periods ended September 30, 2021 and 2020, respectively, or 413 and 8,226 common equivalent shares issuable with respect to outstanding equity awards for the nine-month periods ending September 30, 2021 and 2020, respectively, as their effect would have been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Accumulated Other Comprehensive Income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the changes in accumulated other comprehensive income, net of tax, by component, for the nine months ended September 30,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Foreign</w:t>
            </w:r>
          </w:p>
        </w:tc>
        <w:tc>
          <w:tcPr>
            <w:tcW w:w="1280" w:type="dxa"/>
            <w:vAlign w:val="bottom"/>
            <w:gridSpan w:val="4"/>
          </w:tcPr>
          <w:p>
            <w:pPr>
              <w:ind w:left="180"/>
              <w:spacing w:after="0"/>
              <w:rPr>
                <w:sz w:val="20"/>
                <w:szCs w:val="20"/>
                <w:color w:val="auto"/>
              </w:rPr>
            </w:pPr>
            <w:r>
              <w:rPr>
                <w:rFonts w:ascii="Arial" w:cs="Arial" w:eastAsia="Arial" w:hAnsi="Arial"/>
                <w:sz w:val="14"/>
                <w:szCs w:val="14"/>
                <w:b w:val="1"/>
                <w:bCs w:val="1"/>
                <w:color w:val="auto"/>
              </w:rPr>
              <w:t>Defined benefit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87"/>
              </w:rPr>
              <w:t>pension plan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comprehensive loss and pension reclassification</w:t>
            </w: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(1,769)</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2021</w:t>
            </w: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2,176</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Cash, cash equivalents and restricted cash</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28"/>
        </w:trPr>
        <w:tc>
          <w:tcPr>
            <w:tcW w:w="5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271,085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203,479</w:t>
            </w:r>
          </w:p>
        </w:tc>
        <w:tc>
          <w:tcPr>
            <w:tcW w:w="12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Long-term restricted cash</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tcPr>
          <w:p>
            <w:pPr>
              <w:spacing w:after="0"/>
              <w:rPr>
                <w:sz w:val="18"/>
                <w:szCs w:val="18"/>
                <w:color w:val="auto"/>
              </w:rPr>
            </w:pPr>
          </w:p>
        </w:tc>
      </w:tr>
      <w:tr>
        <w:trPr>
          <w:trHeight w:val="199"/>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271,841</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204,232</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As of September 30, 2021, we had $0.8 million in restricted cash representing the total of (i) cash collateral for a $0.7 million letter of credit relating to workers’ compensation insurance and (ii) a $0.1 million deposit relating to customs activity.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Inventories,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inventories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r>
      <w:tr>
        <w:trPr>
          <w:trHeight w:val="128"/>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24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120,611</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39"/>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100,254</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6"/>
                <w:szCs w:val="16"/>
                <w:color w:val="auto"/>
              </w:rPr>
              <w:t>Work in process</w:t>
            </w: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47,385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33,867</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Finished goods (completed systems)</w:t>
            </w:r>
          </w:p>
        </w:tc>
        <w:tc>
          <w:tcPr>
            <w:tcW w:w="2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26,955</w:t>
            </w:r>
          </w:p>
        </w:tc>
        <w:tc>
          <w:tcPr>
            <w:tcW w:w="1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0" w:type="dxa"/>
            <w:vAlign w:val="bottom"/>
          </w:tcPr>
          <w:p>
            <w:pPr>
              <w:ind w:left="240"/>
              <w:spacing w:after="0"/>
              <w:rPr>
                <w:sz w:val="20"/>
                <w:szCs w:val="20"/>
                <w:color w:val="auto"/>
              </w:rPr>
            </w:pPr>
            <w:r>
              <w:rPr>
                <w:rFonts w:ascii="Arial" w:cs="Arial" w:eastAsia="Arial" w:hAnsi="Arial"/>
                <w:sz w:val="16"/>
                <w:szCs w:val="16"/>
                <w:color w:val="auto"/>
              </w:rPr>
              <w:t>Inventories, net</w:t>
            </w:r>
          </w:p>
        </w:tc>
        <w:tc>
          <w:tcPr>
            <w:tcW w:w="2260" w:type="dxa"/>
            <w:vAlign w:val="bottom"/>
          </w:tcPr>
          <w:p>
            <w:pPr>
              <w:spacing w:after="0"/>
              <w:rPr>
                <w:sz w:val="17"/>
                <w:szCs w:val="17"/>
                <w:color w:val="auto"/>
              </w:rPr>
            </w:pPr>
          </w:p>
        </w:tc>
        <w:tc>
          <w:tcPr>
            <w:tcW w:w="20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196,812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161,076</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Product Warranty</w:t>
      </w:r>
    </w:p>
    <w:p>
      <w:pPr>
        <w:spacing w:after="0" w:line="229" w:lineRule="exact"/>
        <w:rPr>
          <w:sz w:val="20"/>
          <w:szCs w:val="20"/>
          <w:color w:val="auto"/>
        </w:rPr>
      </w:pPr>
    </w:p>
    <w:p>
      <w:pPr>
        <w:ind w:right="300" w:firstLine="648"/>
        <w:spacing w:after="0" w:line="293" w:lineRule="auto"/>
        <w:rPr>
          <w:sz w:val="20"/>
          <w:szCs w:val="20"/>
          <w:color w:val="auto"/>
        </w:rPr>
      </w:pPr>
      <w:r>
        <w:rPr>
          <w:rFonts w:ascii="Arial" w:cs="Arial" w:eastAsia="Arial" w:hAnsi="Arial"/>
          <w:sz w:val="16"/>
          <w:szCs w:val="16"/>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our standard product warranty liability are as follows:</w:t>
      </w:r>
    </w:p>
    <w:p>
      <w:pPr>
        <w:spacing w:after="0" w:line="230"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Nine months ended</w:t>
      </w:r>
    </w:p>
    <w:p>
      <w:pPr>
        <w:jc w:val="center"/>
        <w:ind w:left="71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4"/>
          </w:tcPr>
          <w:p>
            <w:pPr>
              <w:jc w:val="right"/>
              <w:ind w:right="260"/>
              <w:spacing w:after="0" w:line="129"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(beginning of year)</w:t>
            </w:r>
          </w:p>
        </w:tc>
        <w:tc>
          <w:tcPr>
            <w:tcW w:w="124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Arial" w:cs="Arial" w:eastAsia="Arial" w:hAnsi="Arial"/>
                <w:sz w:val="16"/>
                <w:szCs w:val="16"/>
                <w:color w:val="auto"/>
              </w:rPr>
              <w:t>Warranties issued during the period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3,780</w:t>
            </w:r>
          </w:p>
        </w:tc>
        <w:tc>
          <w:tcPr>
            <w:tcW w:w="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Settlements made during the period</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(3,099)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Changes in estimate of liability for pre-existing warranties during the period</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September 30 (end of period)</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Amount classified as current</w:t>
            </w:r>
          </w:p>
        </w:tc>
        <w:tc>
          <w:tcPr>
            <w:tcW w:w="124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Amount classified as long-term</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warranty liability</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Certain assets on our balance sheets are reported at their fair value. 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Fair Value Hierarchy</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applies to assets or liabilities for which there are quoted prices in active markets for identical assets or liabilities.</w:t>
      </w:r>
    </w:p>
    <w:p>
      <w:pPr>
        <w:spacing w:after="0" w:line="23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Fair Value Measurements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money market funds and short-term investments are included in cash and cash equivalents in the consolidated balance sheets.</w:t>
      </w:r>
    </w:p>
    <w:p>
      <w:pPr>
        <w:sectPr>
          <w:pgSz w:w="11900" w:h="16838" w:orient="portrait"/>
          <w:cols w:equalWidth="0" w:num="1">
            <w:col w:w="9120"/>
          </w:cols>
          <w:pgMar w:left="1380" w:top="517"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assets by level within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1"/>
              </w:rPr>
              <w:t>September 30, 2021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w w:val="7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242,119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242,119</w:t>
            </w:r>
          </w:p>
        </w:tc>
        <w:tc>
          <w:tcPr>
            <w:tcW w:w="100" w:type="dxa"/>
            <w:vAlign w:val="bottom"/>
            <w:shd w:val="clear" w:color="auto" w:fill="CCEEFF"/>
          </w:tcPr>
          <w:p>
            <w:pPr>
              <w:spacing w:after="0"/>
              <w:rPr>
                <w:sz w:val="20"/>
                <w:szCs w:val="20"/>
                <w:color w:val="auto"/>
              </w:rPr>
            </w:pPr>
          </w:p>
        </w:tc>
      </w:tr>
      <w:tr>
        <w:trPr>
          <w:trHeight w:val="35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w w:val="72"/>
              </w:rPr>
              <w:t>(in thousands)</w:t>
            </w:r>
          </w:p>
        </w:tc>
        <w:tc>
          <w:tcPr>
            <w:tcW w:w="6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Money market funds, U.S. Government Securities and Agency</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172,119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172,119</w:t>
            </w:r>
          </w:p>
        </w:tc>
        <w:tc>
          <w:tcPr>
            <w:tcW w:w="1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Financial Instruments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Financing Arrangements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$47.6 million as of September 30, 2021. The associated lease payments include both an interest component and payment of principal, with the remaining liability being extinguished at the end of the original lease term. We posted a security deposit of $5.9 million in the form of an irrevocable letter of credit at the time of the closing. This letter of credit reduces our availability under our credit facility, as described in the next paragraph.</w:t>
      </w:r>
    </w:p>
    <w:p>
      <w:pPr>
        <w:spacing w:after="0" w:line="177"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On July 31, 2020, we entered into a Senior Secured Credit Facilities Credit Agreement (the “Credit Agreement”) with Silicon Valley Bank, in its capacity as administrative agent and collateral agent for itself and as a lender, and such other banks and financial institutions or entities that from time to time join as lenders under the Credit Agreement.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September 30, 2021, we were in compliance with all covenant requirements of the Credit Agreement. As of such date, no borrowings had been made under the Credit Agreement, although a letter of credit for $5.9 million reduces the funds available for borrowing under the credit line. We entered into a First Amendment to the Credit Agreement with Silicon Valley Bank in March 2021 to (i) align the covenants with our 2021 stock repurchase program, and (ii) established terms to transition from a Eurodollar based interest rate option to an interest rate benchmark using a secured overnight financing rate (known as “SOFR”) published by the Federal Reserve Bank of New York.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Income tax expense was $6.7 million for the three months ended September 30, 2021, compared to $2.8 million for the three months ended September 30, 2020. The $3.9 million increase was primarily due to a $20.6 million increase in pretax income. Income tax expense was $12.3 million during the nine months ended September 30, 2021, compared with $6.1 million for the nine months ended September 30, 2020. The $6.2 million increase was primarily due to a $33.7 million</w:t>
      </w:r>
    </w:p>
    <w:p>
      <w:pPr>
        <w:sectPr>
          <w:pgSz w:w="11900" w:h="16838" w:orient="portrait"/>
          <w:cols w:equalWidth="0" w:num="1">
            <w:col w:w="9120"/>
          </w:cols>
          <w:pgMar w:left="1380" w:top="517" w:right="13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99"/>
        <w:spacing w:after="0" w:line="286" w:lineRule="auto"/>
        <w:rPr>
          <w:sz w:val="20"/>
          <w:szCs w:val="20"/>
          <w:color w:val="auto"/>
        </w:rPr>
      </w:pPr>
      <w:r>
        <w:rPr>
          <w:rFonts w:ascii="Arial" w:cs="Arial" w:eastAsia="Arial" w:hAnsi="Arial"/>
          <w:sz w:val="17"/>
          <w:szCs w:val="17"/>
          <w:color w:val="auto"/>
        </w:rPr>
        <w:t>increase in pretax income. The effective tax rate for the three and nine months ended September 30, 2021 and 2020, respectively, was less than the U.S. statutory rate of 21% due to favorable discrete items related to equity compensation in those periods and Federal research and development tax credits that reduce the annual tax rate.</w:t>
      </w:r>
    </w:p>
    <w:p>
      <w:pPr>
        <w:spacing w:after="0" w:line="165" w:lineRule="exact"/>
        <w:rPr>
          <w:sz w:val="20"/>
          <w:szCs w:val="20"/>
          <w:color w:val="auto"/>
        </w:rPr>
      </w:pPr>
    </w:p>
    <w:p>
      <w:pPr>
        <w:ind w:right="99" w:firstLine="648"/>
        <w:spacing w:after="0" w:line="272" w:lineRule="auto"/>
        <w:rPr>
          <w:sz w:val="20"/>
          <w:szCs w:val="20"/>
          <w:color w:val="auto"/>
        </w:rPr>
      </w:pPr>
      <w:r>
        <w:rPr>
          <w:rFonts w:ascii="Arial" w:cs="Arial" w:eastAsia="Arial" w:hAnsi="Arial"/>
          <w:sz w:val="17"/>
          <w:szCs w:val="17"/>
          <w:color w:val="auto"/>
        </w:rPr>
        <w:t>The Deferred income taxes of $44.2 million and $57.9 million as of September 30, 2021 and December 31, 2020, respectively, reflect the net tax effect of temporary differences between the carrying amount of assets and liabilities for financial reporting purposes and the amounts used for income tax purposes, as well as the tax effect of carryforwards. We have recorded a $10.2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Concentration of Risk</w:t>
      </w:r>
    </w:p>
    <w:p>
      <w:pPr>
        <w:spacing w:after="0" w:line="229" w:lineRule="exact"/>
        <w:rPr>
          <w:sz w:val="20"/>
          <w:szCs w:val="20"/>
          <w:color w:val="auto"/>
        </w:rPr>
      </w:pPr>
    </w:p>
    <w:p>
      <w:pPr>
        <w:ind w:right="199" w:firstLine="648"/>
        <w:spacing w:after="0" w:line="342" w:lineRule="auto"/>
        <w:rPr>
          <w:sz w:val="20"/>
          <w:szCs w:val="20"/>
          <w:color w:val="auto"/>
        </w:rPr>
      </w:pPr>
      <w:r>
        <w:rPr>
          <w:rFonts w:ascii="Arial" w:cs="Arial" w:eastAsia="Arial" w:hAnsi="Arial"/>
          <w:sz w:val="16"/>
          <w:szCs w:val="16"/>
          <w:color w:val="auto"/>
        </w:rPr>
        <w:t>For the three months ended September 30, 2021, one customer accounted for 26.7% of total revenue. For the three months ended September 30, 2020, three customers accounted for 16.8%, 11.2% and 10.3% of total revenue, respectively.</w:t>
      </w:r>
    </w:p>
    <w:p>
      <w:pPr>
        <w:spacing w:after="0" w:line="124" w:lineRule="exact"/>
        <w:rPr>
          <w:sz w:val="20"/>
          <w:szCs w:val="20"/>
          <w:color w:val="auto"/>
        </w:rPr>
      </w:pPr>
    </w:p>
    <w:p>
      <w:pPr>
        <w:ind w:right="19" w:firstLine="648"/>
        <w:spacing w:after="0" w:line="263" w:lineRule="auto"/>
        <w:rPr>
          <w:sz w:val="20"/>
          <w:szCs w:val="20"/>
          <w:color w:val="auto"/>
        </w:rPr>
      </w:pPr>
      <w:r>
        <w:rPr>
          <w:rFonts w:ascii="Arial" w:cs="Arial" w:eastAsia="Arial" w:hAnsi="Arial"/>
          <w:sz w:val="18"/>
          <w:szCs w:val="18"/>
          <w:color w:val="auto"/>
        </w:rPr>
        <w:t>For the nine months ended September 30, 2021, two customers accounted for 18.5% and 14.1% of total revenue, respectively. For the nine months ended September 30, 2020, three customers accounted for 18.8%, 15.2% and 12.1% of total revenue, respectively.</w:t>
      </w:r>
    </w:p>
    <w:p>
      <w:pPr>
        <w:spacing w:after="0" w:line="184" w:lineRule="exact"/>
        <w:rPr>
          <w:sz w:val="20"/>
          <w:szCs w:val="20"/>
          <w:color w:val="auto"/>
        </w:rPr>
      </w:pPr>
    </w:p>
    <w:p>
      <w:pPr>
        <w:ind w:right="419" w:firstLine="648"/>
        <w:spacing w:after="0" w:line="277" w:lineRule="auto"/>
        <w:rPr>
          <w:sz w:val="20"/>
          <w:szCs w:val="20"/>
          <w:color w:val="auto"/>
        </w:rPr>
      </w:pPr>
      <w:r>
        <w:rPr>
          <w:rFonts w:ascii="Arial" w:cs="Arial" w:eastAsia="Arial" w:hAnsi="Arial"/>
          <w:sz w:val="18"/>
          <w:szCs w:val="18"/>
          <w:color w:val="auto"/>
        </w:rPr>
        <w:t>At September 30, 2021, one customer accounted for 32.2% of accounts receivable. At December 31, 2020, two customers accounted for 23.8% and 11.9% of accounts receivable,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 Repurchase</w:t>
      </w:r>
    </w:p>
    <w:p>
      <w:pPr>
        <w:spacing w:after="0" w:line="229" w:lineRule="exact"/>
        <w:rPr>
          <w:sz w:val="20"/>
          <w:szCs w:val="20"/>
          <w:color w:val="auto"/>
        </w:rPr>
      </w:pPr>
    </w:p>
    <w:p>
      <w:pPr>
        <w:ind w:right="179" w:firstLine="648"/>
        <w:spacing w:after="0" w:line="257" w:lineRule="auto"/>
        <w:rPr>
          <w:sz w:val="20"/>
          <w:szCs w:val="20"/>
          <w:color w:val="auto"/>
        </w:rPr>
      </w:pPr>
      <w:r>
        <w:rPr>
          <w:rFonts w:ascii="Arial" w:cs="Arial" w:eastAsia="Arial" w:hAnsi="Arial"/>
          <w:sz w:val="18"/>
          <w:szCs w:val="18"/>
          <w:color w:val="auto"/>
        </w:rPr>
        <w:t>In December 2020, our Board of Directors approved stock repurchases of up to $100 million of our common stock through the end of 2021. During the nine months ended September 30, 2021, we purchased 0.9 million shares at an average cost of $40.90 per share. The timing and actual number of shares repurchased under this program will depend on various factors including price, corporate and regulatory requirements, alternative investment opportunities and other market conditions.</w:t>
      </w:r>
    </w:p>
    <w:p>
      <w:pPr>
        <w:spacing w:after="0" w:line="188" w:lineRule="exact"/>
        <w:rPr>
          <w:sz w:val="20"/>
          <w:szCs w:val="20"/>
          <w:color w:val="auto"/>
        </w:rPr>
      </w:pPr>
    </w:p>
    <w:p>
      <w:pPr>
        <w:ind w:right="339" w:firstLine="648"/>
        <w:spacing w:after="0" w:line="259" w:lineRule="auto"/>
        <w:rPr>
          <w:sz w:val="20"/>
          <w:szCs w:val="20"/>
          <w:color w:val="auto"/>
        </w:rPr>
      </w:pPr>
      <w:r>
        <w:rPr>
          <w:rFonts w:ascii="Arial" w:cs="Arial" w:eastAsia="Arial" w:hAnsi="Arial"/>
          <w:sz w:val="18"/>
          <w:szCs w:val="18"/>
          <w:color w:val="auto"/>
        </w:rPr>
        <w:t>Shares repurchased by us are accounted for when the transaction is settled. Shares repurchased and retired are deducted from common stock for par value and from additional paid-in capital for the excess over par value. If additional paid-in capital has been exhausted, the excess over par value is deducted from retained earnings. Direct costs incurred to acquire the shares are included in the total cost of the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Litigation</w:t>
      </w:r>
    </w:p>
    <w:p>
      <w:pPr>
        <w:spacing w:after="0" w:line="162" w:lineRule="exact"/>
        <w:rPr>
          <w:sz w:val="20"/>
          <w:szCs w:val="20"/>
          <w:color w:val="auto"/>
        </w:rPr>
      </w:pPr>
    </w:p>
    <w:p>
      <w:pPr>
        <w:ind w:right="119"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Indemnifications</w:t>
      </w:r>
    </w:p>
    <w:p>
      <w:pPr>
        <w:spacing w:after="0" w:line="202" w:lineRule="exact"/>
        <w:rPr>
          <w:sz w:val="20"/>
          <w:szCs w:val="20"/>
          <w:color w:val="auto"/>
        </w:rPr>
      </w:pPr>
    </w:p>
    <w:p>
      <w:pPr>
        <w:ind w:right="19" w:firstLine="648"/>
        <w:spacing w:after="0" w:line="257" w:lineRule="auto"/>
        <w:rPr>
          <w:sz w:val="20"/>
          <w:szCs w:val="20"/>
          <w:color w:val="auto"/>
        </w:rPr>
      </w:pPr>
      <w:r>
        <w:rPr>
          <w:rFonts w:ascii="Arial" w:cs="Arial" w:eastAsia="Arial" w:hAnsi="Arial"/>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Recent Accounting Guidance</w:t>
      </w:r>
    </w:p>
    <w:p>
      <w:pPr>
        <w:spacing w:after="0" w:line="198" w:lineRule="exact"/>
        <w:rPr>
          <w:sz w:val="20"/>
          <w:szCs w:val="20"/>
          <w:color w:val="auto"/>
        </w:rPr>
      </w:pPr>
    </w:p>
    <w:p>
      <w:pPr>
        <w:ind w:left="660" w:hanging="42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 2019-12 Income Taxes (Topic 740)</w:t>
      </w:r>
    </w:p>
    <w:p>
      <w:pPr>
        <w:spacing w:after="0" w:line="229" w:lineRule="exact"/>
        <w:rPr>
          <w:sz w:val="20"/>
          <w:szCs w:val="20"/>
          <w:color w:val="auto"/>
        </w:rPr>
      </w:pPr>
    </w:p>
    <w:p>
      <w:pPr>
        <w:ind w:right="99" w:firstLine="648"/>
        <w:spacing w:after="0" w:line="254" w:lineRule="auto"/>
        <w:rPr>
          <w:sz w:val="20"/>
          <w:szCs w:val="20"/>
          <w:color w:val="auto"/>
        </w:rPr>
      </w:pPr>
      <w:r>
        <w:rPr>
          <w:rFonts w:ascii="Arial" w:cs="Arial" w:eastAsia="Arial" w:hAnsi="Arial"/>
          <w:sz w:val="18"/>
          <w:szCs w:val="18"/>
          <w:color w:val="auto"/>
        </w:rPr>
        <w:t>We adopted Financial Accounting Standards Board ASU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as of January 1, 2021 on a prospective basis. The amendments in this ASU simplify the accounting for income taxes by removing certain exceptions from the previous standard as well as requiring entities to include franchise tax partially based on income as an income based tax and to account for an enacted change in tax laws or rates in the annual effective tax rate computation in the interim period that includes the enactment date. The guidance in ASU 2019-12 is required for annual reporting periods beginning after December 15, 2020. Adoption of ASU 2019-12 had no material effect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69"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w:t>
      </w:r>
      <w:hyperlink r:id="rId31">
        <w:r>
          <w:rPr>
            <w:rFonts w:ascii="Arial" w:cs="Arial" w:eastAsia="Arial" w:hAnsi="Arial"/>
            <w:sz w:val="17"/>
            <w:szCs w:val="17"/>
            <w:i w:val="1"/>
            <w:iCs w:val="1"/>
            <w:color w:val="auto"/>
          </w:rPr>
          <w:t xml:space="preserve">Resources" below and under “Risk Factors” in Part I, Item 1A to our </w:t>
        </w:r>
        <w:r>
          <w:rPr>
            <w:rFonts w:ascii="Arial" w:cs="Arial" w:eastAsia="Arial" w:hAnsi="Arial"/>
            <w:sz w:val="17"/>
            <w:szCs w:val="17"/>
            <w:i w:val="1"/>
            <w:iCs w:val="1"/>
            <w:u w:val="single" w:color="auto"/>
            <w:color w:val="0000EE"/>
          </w:rPr>
          <w:t>annual report on Form 10-K for the year ended</w:t>
        </w:r>
      </w:hyperlink>
      <w:r>
        <w:rPr>
          <w:rFonts w:ascii="Arial" w:cs="Arial" w:eastAsia="Arial" w:hAnsi="Arial"/>
          <w:sz w:val="17"/>
          <w:szCs w:val="17"/>
          <w:i w:val="1"/>
          <w:iCs w:val="1"/>
          <w:color w:val="auto"/>
        </w:rPr>
        <w:t xml:space="preserve"> </w:t>
      </w:r>
      <w:hyperlink r:id="rId31">
        <w:r>
          <w:rPr>
            <w:rFonts w:ascii="Arial" w:cs="Arial" w:eastAsia="Arial" w:hAnsi="Arial"/>
            <w:sz w:val="17"/>
            <w:szCs w:val="17"/>
            <w:i w:val="1"/>
            <w:iCs w:val="1"/>
            <w:u w:val="single" w:color="auto"/>
            <w:color w:val="0000EE"/>
          </w:rPr>
          <w:t>December 31, 2020</w:t>
        </w:r>
        <w:r>
          <w:rPr>
            <w:rFonts w:ascii="Arial" w:cs="Arial" w:eastAsia="Arial" w:hAnsi="Arial"/>
            <w:sz w:val="17"/>
            <w:szCs w:val="17"/>
            <w:i w:val="1"/>
            <w:iCs w:val="1"/>
            <w:color w:val="000000"/>
          </w:rPr>
          <w:t xml:space="preserve">, which discussion is incorporated herein by reference. Readers are cautioned not to place undue </w:t>
        </w:r>
      </w:hyperlink>
      <w:r>
        <w:rPr>
          <w:rFonts w:ascii="Arial" w:cs="Arial" w:eastAsia="Arial" w:hAnsi="Arial"/>
          <w:sz w:val="17"/>
          <w:szCs w:val="17"/>
          <w:i w:val="1"/>
          <w:iCs w:val="1"/>
          <w:color w:val="0000EE"/>
        </w:rPr>
        <w:t xml:space="preserve">reliance </w:t>
      </w:r>
      <w:r>
        <w:rPr>
          <w:rFonts w:ascii="Arial" w:cs="Arial" w:eastAsia="Arial" w:hAnsi="Arial"/>
          <w:sz w:val="17"/>
          <w:szCs w:val="17"/>
          <w:i w:val="1"/>
          <w:iCs w:val="1"/>
          <w:color w:val="000000"/>
        </w:rPr>
        <w:t>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Beginning in 2021, we commenced an initiative to add additional manufacturing capacity in South Korea that is expected to come online by year end 2021.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71.4% of total revenue for the nine months ended September 30, 2021.</w:t>
      </w:r>
    </w:p>
    <w:p>
      <w:pPr>
        <w:spacing w:after="0" w:line="18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the first nine months of 2021, we delivered strong financial performance driven by robust semiconductor industry fundamentals and an increasing demand for our Purion products, especially in the high growth power device market. The rapid acceleration of the electrification of the automotive industry is creating substantial demand for power devices and image sensors, which is driving sustainable growth for the Purion product extensions specifically developed for these markets.</w:t>
      </w:r>
    </w:p>
    <w:p>
      <w:pPr>
        <w:spacing w:after="0" w:line="15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Despite the many difficult logistical challenges brought on by trade tensions between the United States and China and COVID-19, we are continuing to work closely with our customers across market segments to provide them with the best ion implant solutions for their specific manufacturing challenges.</w:t>
      </w:r>
    </w:p>
    <w:p>
      <w:pPr>
        <w:spacing w:after="0" w:line="18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December 2020, the United States Commerce Department placed one of our major Chinese customers, Semiconductor Manufacturing International Corporation (“SMIC”), on the U.S. export controls Entity List. As a result of the Entity List classification, we are required to obtain export controls licenses for all U.S. shipments to this customer. Although we have begun receiving these licenses, this situation did delay some shipments to this customer in the first half of 2021, and could create future delays.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Management’s discussion and analysis of our financial condition and results of operations included herein and in our Annual Report on Form 10-K for the year ended December 31, 2020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ectPr>
          <w:pgSz w:w="11900" w:h="16838" w:orient="portrait"/>
          <w:cols w:equalWidth="0" w:num="1">
            <w:col w:w="9100"/>
          </w:cols>
          <w:pgMar w:left="138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Annual Report on Form 10-K for the year ended December 31,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results of operations as a percentage of total revenue: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04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gridSpan w:val="4"/>
          </w:tcPr>
          <w:p>
            <w:pPr>
              <w:jc w:val="right"/>
              <w:ind w:right="539"/>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060" w:type="dxa"/>
            <w:vAlign w:val="bottom"/>
          </w:tcPr>
          <w:p>
            <w:pPr>
              <w:spacing w:after="0"/>
              <w:rPr>
                <w:sz w:val="14"/>
                <w:szCs w:val="14"/>
                <w:color w:val="auto"/>
              </w:rPr>
            </w:pPr>
          </w:p>
        </w:tc>
        <w:tc>
          <w:tcPr>
            <w:tcW w:w="204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September 30,</w:t>
            </w:r>
          </w:p>
        </w:tc>
        <w:tc>
          <w:tcPr>
            <w:tcW w:w="2020" w:type="dxa"/>
            <w:vAlign w:val="bottom"/>
            <w:gridSpan w:val="4"/>
          </w:tcPr>
          <w:p>
            <w:pPr>
              <w:jc w:val="right"/>
              <w:ind w:right="699"/>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50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2"/>
                <w:szCs w:val="12"/>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Product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95.7 %</w:t>
            </w:r>
          </w:p>
        </w:tc>
        <w:tc>
          <w:tcPr>
            <w:tcW w:w="1140" w:type="dxa"/>
            <w:vAlign w:val="bottom"/>
            <w:gridSpan w:val="2"/>
          </w:tcPr>
          <w:p>
            <w:pPr>
              <w:jc w:val="right"/>
              <w:ind w:right="239"/>
              <w:spacing w:after="0"/>
              <w:rPr>
                <w:sz w:val="20"/>
                <w:szCs w:val="20"/>
                <w:color w:val="auto"/>
              </w:rPr>
            </w:pPr>
            <w:r>
              <w:rPr>
                <w:rFonts w:ascii="Arial" w:cs="Arial" w:eastAsia="Arial" w:hAnsi="Arial"/>
                <w:sz w:val="16"/>
                <w:szCs w:val="16"/>
                <w:color w:val="auto"/>
              </w:rPr>
              <w:t>94.9 %</w:t>
            </w:r>
          </w:p>
        </w:tc>
        <w:tc>
          <w:tcPr>
            <w:tcW w:w="920" w:type="dxa"/>
            <w:vAlign w:val="bottom"/>
            <w:gridSpan w:val="2"/>
          </w:tcPr>
          <w:p>
            <w:pPr>
              <w:jc w:val="right"/>
              <w:ind w:right="24"/>
              <w:spacing w:after="0"/>
              <w:rPr>
                <w:sz w:val="20"/>
                <w:szCs w:val="20"/>
                <w:color w:val="auto"/>
              </w:rPr>
            </w:pPr>
            <w:r>
              <w:rPr>
                <w:rFonts w:ascii="Arial" w:cs="Arial" w:eastAsia="Arial" w:hAnsi="Arial"/>
                <w:sz w:val="16"/>
                <w:szCs w:val="16"/>
                <w:color w:val="auto"/>
              </w:rPr>
              <w:t>95.4 %</w:t>
            </w:r>
          </w:p>
        </w:tc>
        <w:tc>
          <w:tcPr>
            <w:tcW w:w="1100" w:type="dxa"/>
            <w:vAlign w:val="bottom"/>
            <w:gridSpan w:val="2"/>
          </w:tcPr>
          <w:p>
            <w:pPr>
              <w:jc w:val="right"/>
              <w:ind w:right="199"/>
              <w:spacing w:after="0"/>
              <w:rPr>
                <w:sz w:val="20"/>
                <w:szCs w:val="20"/>
                <w:color w:val="auto"/>
              </w:rPr>
            </w:pPr>
            <w:r>
              <w:rPr>
                <w:rFonts w:ascii="Arial" w:cs="Arial" w:eastAsia="Arial" w:hAnsi="Arial"/>
                <w:sz w:val="16"/>
                <w:szCs w:val="16"/>
                <w:color w:val="auto"/>
              </w:rPr>
              <w:t>94.8 %</w:t>
            </w: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Product</w:t>
            </w:r>
          </w:p>
        </w:tc>
        <w:tc>
          <w:tcPr>
            <w:tcW w:w="680" w:type="dxa"/>
            <w:vAlign w:val="bottom"/>
          </w:tcPr>
          <w:p>
            <w:pPr>
              <w:jc w:val="right"/>
              <w:spacing w:after="0"/>
              <w:rPr>
                <w:sz w:val="20"/>
                <w:szCs w:val="20"/>
                <w:color w:val="auto"/>
              </w:rPr>
            </w:pPr>
            <w:r>
              <w:rPr>
                <w:rFonts w:ascii="Arial" w:cs="Arial" w:eastAsia="Arial" w:hAnsi="Arial"/>
                <w:sz w:val="16"/>
                <w:szCs w:val="16"/>
                <w:color w:val="auto"/>
              </w:rPr>
              <w:t>52.7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51.1</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53.7</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Arial" w:cs="Arial" w:eastAsia="Arial" w:hAnsi="Arial"/>
                <w:sz w:val="16"/>
                <w:szCs w:val="16"/>
                <w:color w:val="auto"/>
              </w:rPr>
              <w:t>Total cost of revenue</w:t>
            </w:r>
          </w:p>
        </w:tc>
        <w:tc>
          <w:tcPr>
            <w:tcW w:w="680" w:type="dxa"/>
            <w:vAlign w:val="bottom"/>
          </w:tcPr>
          <w:p>
            <w:pPr>
              <w:jc w:val="right"/>
              <w:spacing w:after="0"/>
              <w:rPr>
                <w:sz w:val="20"/>
                <w:szCs w:val="20"/>
                <w:color w:val="auto"/>
              </w:rPr>
            </w:pPr>
            <w:r>
              <w:rPr>
                <w:rFonts w:ascii="Arial" w:cs="Arial" w:eastAsia="Arial" w:hAnsi="Arial"/>
                <w:sz w:val="16"/>
                <w:szCs w:val="16"/>
                <w:color w:val="auto"/>
              </w:rPr>
              <w:t>56.7</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56.4</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58.7</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Operating expenses: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68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operating expenses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4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spacing w:after="0"/>
              <w:rPr>
                <w:sz w:val="20"/>
                <w:szCs w:val="20"/>
                <w:color w:val="auto"/>
              </w:rPr>
            </w:pPr>
            <w:r>
              <w:rPr>
                <w:rFonts w:ascii="Arial" w:cs="Arial" w:eastAsia="Arial" w:hAnsi="Arial"/>
                <w:sz w:val="16"/>
                <w:szCs w:val="16"/>
                <w:color w:val="auto"/>
              </w:rPr>
              <w:t>Other (expense) income: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90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4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(0.7)</w:t>
            </w:r>
          </w:p>
        </w:tc>
        <w:tc>
          <w:tcPr>
            <w:tcW w:w="1140" w:type="dxa"/>
            <w:vAlign w:val="bottom"/>
            <w:gridSpan w:val="2"/>
          </w:tcPr>
          <w:p>
            <w:pPr>
              <w:jc w:val="right"/>
              <w:ind w:right="379"/>
              <w:spacing w:after="0"/>
              <w:rPr>
                <w:sz w:val="20"/>
                <w:szCs w:val="20"/>
                <w:color w:val="auto"/>
              </w:rPr>
            </w:pPr>
            <w:r>
              <w:rPr>
                <w:rFonts w:ascii="Arial" w:cs="Arial" w:eastAsia="Arial" w:hAnsi="Arial"/>
                <w:sz w:val="16"/>
                <w:szCs w:val="16"/>
                <w:color w:val="auto"/>
              </w:rPr>
              <w:t>(1.2)</w:t>
            </w:r>
          </w:p>
        </w:tc>
        <w:tc>
          <w:tcPr>
            <w:tcW w:w="920" w:type="dxa"/>
            <w:vAlign w:val="bottom"/>
            <w:gridSpan w:val="2"/>
          </w:tcPr>
          <w:p>
            <w:pPr>
              <w:jc w:val="right"/>
              <w:ind w:right="144"/>
              <w:spacing w:after="0"/>
              <w:rPr>
                <w:sz w:val="20"/>
                <w:szCs w:val="20"/>
                <w:color w:val="auto"/>
              </w:rPr>
            </w:pPr>
            <w:r>
              <w:rPr>
                <w:rFonts w:ascii="Arial" w:cs="Arial" w:eastAsia="Arial" w:hAnsi="Arial"/>
                <w:sz w:val="16"/>
                <w:szCs w:val="16"/>
                <w:color w:val="auto"/>
              </w:rPr>
              <w:t>(0.8)</w:t>
            </w:r>
          </w:p>
        </w:tc>
        <w:tc>
          <w:tcPr>
            <w:tcW w:w="1100" w:type="dxa"/>
            <w:vAlign w:val="bottom"/>
            <w:gridSpan w:val="2"/>
          </w:tcPr>
          <w:p>
            <w:pPr>
              <w:jc w:val="right"/>
              <w:ind w:right="319"/>
              <w:spacing w:after="0"/>
              <w:rPr>
                <w:sz w:val="20"/>
                <w:szCs w:val="20"/>
                <w:color w:val="auto"/>
              </w:rPr>
            </w:pPr>
            <w:r>
              <w:rPr>
                <w:rFonts w:ascii="Arial" w:cs="Arial" w:eastAsia="Arial" w:hAnsi="Arial"/>
                <w:sz w:val="16"/>
                <w:szCs w:val="16"/>
                <w:color w:val="auto"/>
              </w:rPr>
              <w:t>(1.1)</w:t>
            </w: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9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(0.5)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4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4"/>
              <w:spacing w:after="0"/>
              <w:rPr>
                <w:sz w:val="20"/>
                <w:szCs w:val="20"/>
                <w:color w:val="auto"/>
              </w:rPr>
            </w:pPr>
            <w:r>
              <w:rPr>
                <w:rFonts w:ascii="Arial" w:cs="Arial" w:eastAsia="Arial" w:hAnsi="Arial"/>
                <w:sz w:val="16"/>
                <w:szCs w:val="16"/>
                <w:color w:val="auto"/>
              </w:rPr>
              <w:t>(0.4)</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other expense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4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4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420" w:type="dxa"/>
            <w:vAlign w:val="bottom"/>
            <w:tcBorders>
              <w:bottom w:val="single" w:sz="8" w:color="CCEEFF"/>
            </w:tcBorders>
          </w:tcPr>
          <w:p>
            <w:pPr>
              <w:spacing w:after="0"/>
              <w:rPr>
                <w:sz w:val="18"/>
                <w:szCs w:val="18"/>
                <w:color w:val="auto"/>
              </w:rPr>
            </w:pPr>
          </w:p>
        </w:tc>
      </w:tr>
      <w:tr>
        <w:trPr>
          <w:trHeight w:val="199"/>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4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4"/>
              </w:rPr>
              <w:t>%</w:t>
            </w:r>
          </w:p>
        </w:tc>
      </w:tr>
      <w:tr>
        <w:trPr>
          <w:trHeight w:val="20"/>
        </w:trPr>
        <w:tc>
          <w:tcPr>
            <w:tcW w:w="5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product and services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Period-to-Period</w:t>
            </w: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c>
          <w:tcPr>
            <w:tcW w:w="14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Period-to-Period</w:t>
            </w:r>
          </w:p>
        </w:tc>
      </w:tr>
      <w:tr>
        <w:trPr>
          <w:trHeight w:val="215"/>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(dollars in thousands)</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4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67"/>
        </w:trPr>
        <w:tc>
          <w:tcPr>
            <w:tcW w:w="20" w:type="dxa"/>
            <w:vAlign w:val="bottom"/>
          </w:tcPr>
          <w:p>
            <w:pPr>
              <w:spacing w:after="0"/>
              <w:rPr>
                <w:sz w:val="23"/>
                <w:szCs w:val="23"/>
                <w:color w:val="auto"/>
              </w:rPr>
            </w:pPr>
          </w:p>
        </w:tc>
        <w:tc>
          <w:tcPr>
            <w:tcW w:w="2160" w:type="dxa"/>
            <w:vAlign w:val="bottom"/>
          </w:tcPr>
          <w:p>
            <w:pPr>
              <w:ind w:left="200"/>
              <w:spacing w:after="0"/>
              <w:rPr>
                <w:sz w:val="20"/>
                <w:szCs w:val="20"/>
                <w:color w:val="auto"/>
              </w:rPr>
            </w:pPr>
            <w:r>
              <w:rPr>
                <w:rFonts w:ascii="Arial" w:cs="Arial" w:eastAsia="Arial" w:hAnsi="Arial"/>
                <w:sz w:val="16"/>
                <w:szCs w:val="16"/>
                <w:color w:val="auto"/>
              </w:rPr>
              <w:t>Product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$ 169,151</w:t>
            </w:r>
          </w:p>
        </w:tc>
        <w:tc>
          <w:tcPr>
            <w:tcW w:w="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2"/>
              </w:rPr>
              <w:t>$ 104,799</w:t>
            </w:r>
          </w:p>
        </w:tc>
        <w:tc>
          <w:tcPr>
            <w:tcW w:w="1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xml:space="preserve">$ </w:t>
            </w:r>
            <w:r>
              <w:rPr>
                <w:rFonts w:ascii="Arial" w:cs="Arial" w:eastAsia="Arial" w:hAnsi="Arial"/>
                <w:sz w:val="16"/>
                <w:szCs w:val="16"/>
                <w:i w:val="1"/>
                <w:iCs w:val="1"/>
                <w:color w:val="auto"/>
                <w:w w:val="96"/>
              </w:rPr>
              <w:t>64,352</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i w:val="1"/>
                <w:iCs w:val="1"/>
                <w:color w:val="auto"/>
                <w:w w:val="95"/>
              </w:rPr>
              <w:t xml:space="preserve">61.4 % </w:t>
            </w:r>
            <w:r>
              <w:rPr>
                <w:rFonts w:ascii="Arial" w:cs="Arial" w:eastAsia="Arial" w:hAnsi="Arial"/>
                <w:sz w:val="16"/>
                <w:szCs w:val="16"/>
                <w:color w:val="auto"/>
                <w:w w:val="95"/>
              </w:rPr>
              <w:t>$ 435,916</w:t>
            </w:r>
          </w:p>
        </w:tc>
        <w:tc>
          <w:tcPr>
            <w:tcW w:w="18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w w:val="95"/>
              </w:rPr>
              <w:t>$ 334,126</w:t>
            </w:r>
          </w:p>
        </w:tc>
        <w:tc>
          <w:tcPr>
            <w:tcW w:w="2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2"/>
              </w:rPr>
              <w:t>$ 101,790</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i w:val="1"/>
                <w:iCs w:val="1"/>
                <w:color w:val="auto"/>
              </w:rPr>
              <w:t>30.5 %</w:t>
            </w:r>
          </w:p>
        </w:tc>
      </w:tr>
      <w:tr>
        <w:trPr>
          <w:trHeight w:val="273"/>
        </w:trPr>
        <w:tc>
          <w:tcPr>
            <w:tcW w:w="20" w:type="dxa"/>
            <w:vAlign w:val="bottom"/>
          </w:tcPr>
          <w:p>
            <w:pPr>
              <w:spacing w:after="0"/>
              <w:rPr>
                <w:sz w:val="23"/>
                <w:szCs w:val="23"/>
                <w:color w:val="auto"/>
              </w:rPr>
            </w:pPr>
          </w:p>
        </w:tc>
        <w:tc>
          <w:tcPr>
            <w:tcW w:w="21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i w:val="1"/>
                <w:iCs w:val="1"/>
                <w:color w:val="auto"/>
              </w:rPr>
              <w:t>95.7 %</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94.9 %</w:t>
            </w: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95.4 %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94.8 %</w:t>
            </w:r>
          </w:p>
        </w:tc>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67"/>
        </w:trPr>
        <w:tc>
          <w:tcPr>
            <w:tcW w:w="20" w:type="dxa"/>
            <w:vAlign w:val="bottom"/>
          </w:tcPr>
          <w:p>
            <w:pPr>
              <w:spacing w:after="0"/>
              <w:rPr>
                <w:sz w:val="23"/>
                <w:szCs w:val="23"/>
                <w:color w:val="auto"/>
              </w:rPr>
            </w:pPr>
          </w:p>
        </w:tc>
        <w:tc>
          <w:tcPr>
            <w:tcW w:w="2160" w:type="dxa"/>
            <w:vAlign w:val="bottom"/>
          </w:tcPr>
          <w:p>
            <w:pPr>
              <w:ind w:left="200"/>
              <w:spacing w:after="0"/>
              <w:rPr>
                <w:sz w:val="20"/>
                <w:szCs w:val="20"/>
                <w:color w:val="auto"/>
              </w:rPr>
            </w:pPr>
            <w:r>
              <w:rPr>
                <w:rFonts w:ascii="Arial" w:cs="Arial" w:eastAsia="Arial" w:hAnsi="Arial"/>
                <w:sz w:val="16"/>
                <w:szCs w:val="16"/>
                <w:color w:val="auto"/>
              </w:rPr>
              <w:t>Services</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7,543</w:t>
            </w:r>
          </w:p>
        </w:tc>
        <w:tc>
          <w:tcPr>
            <w:tcW w:w="18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5,606</w:t>
            </w:r>
          </w:p>
        </w:tc>
        <w:tc>
          <w:tcPr>
            <w:tcW w:w="1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i w:val="1"/>
                <w:iCs w:val="1"/>
                <w:color w:val="auto"/>
              </w:rPr>
              <w:t>1,937</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w w:val="92"/>
              </w:rPr>
              <w:t>34.6 %</w:t>
            </w:r>
          </w:p>
        </w:tc>
        <w:tc>
          <w:tcPr>
            <w:tcW w:w="700" w:type="dxa"/>
            <w:vAlign w:val="bottom"/>
          </w:tcPr>
          <w:p>
            <w:pPr>
              <w:jc w:val="right"/>
              <w:spacing w:after="0"/>
              <w:rPr>
                <w:sz w:val="20"/>
                <w:szCs w:val="20"/>
                <w:color w:val="auto"/>
              </w:rPr>
            </w:pPr>
            <w:r>
              <w:rPr>
                <w:rFonts w:ascii="Arial" w:cs="Arial" w:eastAsia="Arial" w:hAnsi="Arial"/>
                <w:sz w:val="16"/>
                <w:szCs w:val="16"/>
                <w:color w:val="auto"/>
              </w:rPr>
              <w:t>20,828</w:t>
            </w:r>
          </w:p>
        </w:tc>
        <w:tc>
          <w:tcPr>
            <w:tcW w:w="18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18,235</w:t>
            </w:r>
          </w:p>
        </w:tc>
        <w:tc>
          <w:tcPr>
            <w:tcW w:w="2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2,593</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i w:val="1"/>
                <w:iCs w:val="1"/>
                <w:color w:val="auto"/>
              </w:rPr>
              <w:t>14.2 %</w:t>
            </w:r>
          </w:p>
        </w:tc>
      </w:tr>
      <w:tr>
        <w:trPr>
          <w:trHeight w:val="270"/>
        </w:trPr>
        <w:tc>
          <w:tcPr>
            <w:tcW w:w="20" w:type="dxa"/>
            <w:vAlign w:val="bottom"/>
          </w:tcPr>
          <w:p>
            <w:pPr>
              <w:spacing w:after="0"/>
              <w:rPr>
                <w:sz w:val="23"/>
                <w:szCs w:val="23"/>
                <w:color w:val="auto"/>
              </w:rPr>
            </w:pPr>
          </w:p>
        </w:tc>
        <w:tc>
          <w:tcPr>
            <w:tcW w:w="21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4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i w:val="1"/>
                <w:iCs w:val="1"/>
                <w:color w:val="auto"/>
              </w:rPr>
              <w:t>4.3 %</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5.1 %</w:t>
            </w: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4.6 %</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i w:val="1"/>
                <w:iCs w:val="1"/>
                <w:color w:val="auto"/>
              </w:rPr>
              <w:t>5.2 %</w:t>
            </w:r>
          </w:p>
        </w:tc>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2160" w:type="dxa"/>
            <w:vAlign w:val="bottom"/>
          </w:tcPr>
          <w:p>
            <w:pPr>
              <w:ind w:left="320"/>
              <w:spacing w:after="0"/>
              <w:rPr>
                <w:sz w:val="20"/>
                <w:szCs w:val="20"/>
                <w:color w:val="auto"/>
              </w:rPr>
            </w:pPr>
            <w:r>
              <w:rPr>
                <w:rFonts w:ascii="Arial" w:cs="Arial" w:eastAsia="Arial" w:hAnsi="Arial"/>
                <w:sz w:val="16"/>
                <w:szCs w:val="16"/>
                <w:color w:val="auto"/>
              </w:rPr>
              <w:t>Total revenue</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$ 176,694</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2"/>
              </w:rPr>
              <w:t>$ 110,405</w:t>
            </w:r>
          </w:p>
        </w:tc>
        <w:tc>
          <w:tcPr>
            <w:tcW w:w="1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$ 66,289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i w:val="1"/>
                <w:iCs w:val="1"/>
                <w:color w:val="auto"/>
                <w:w w:val="95"/>
              </w:rPr>
              <w:t xml:space="preserve">60.0 % </w:t>
            </w:r>
            <w:r>
              <w:rPr>
                <w:rFonts w:ascii="Arial" w:cs="Arial" w:eastAsia="Arial" w:hAnsi="Arial"/>
                <w:sz w:val="16"/>
                <w:szCs w:val="16"/>
                <w:color w:val="auto"/>
                <w:w w:val="95"/>
              </w:rPr>
              <w:t>$ 456,744</w:t>
            </w: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w w:val="95"/>
              </w:rPr>
              <w:t>$ 352,361</w:t>
            </w:r>
          </w:p>
        </w:tc>
        <w:tc>
          <w:tcPr>
            <w:tcW w:w="2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w w:val="92"/>
              </w:rPr>
              <w:t>$ 104,383</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i w:val="1"/>
                <w:iCs w:val="1"/>
                <w:color w:val="auto"/>
              </w:rPr>
              <w:t xml:space="preserve">29.6 </w:t>
            </w: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2021 compared with three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Product revenue, which includes systems sales, sales of spare parts, product upgrades and used systems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$169.2 million, or 95.7% of revenue during the three months ended September 30, 2021, compared with $104.8 million,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94.9% of revenue for the three months ended September 30, 2020. The $64.4 million increase in product revenue for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three-month period ending September 30, 2021, in comparison to the same period in 2020, was primarily driven by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increase in the number of systems sold.</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 portion of our revenue from systems sales is deferred until installation and other services related to future performance obligations are performed. The total amount of deferred revenue at September 30, 2021 and December 31, 2020 was $58.2 million and $23.1 million, respectively. The increase in deferred revenue was primarily due to customer prepayments for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Services revenue, which includes the labor component of maintenance and service contracts and fees for service hours provided by on-site service personnel, was $7.5 million, or 4.3% of revenue for the three months ended September 30, 2021, compared with $5.6 million, or 5.1% of revenue for the three months ended September 30, 2020.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2021 compared with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Product revenue was $435.9 million, or 95.4% of revenue during the nine months ended September 30, 2021, compared with $334.1 million, or 94.8% of revenue for the nine months ended September 30, 2020. The $101.8 million increase in product revenue for the nine-month period ending September 30, 2021, in comparison to the same period in 2020, was primarily driven by an increase in the number of systems sold.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Services revenue was $20.8 million, or 4.6% of revenue for the nine months ended September 30, 2021, compared with $18.2 million, or 5.2% of revenue for the nine months ended September 30,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Categories used by Management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to the line item revenue categories discussed above, management also regularly disaggregates revenue in the following categories, which it finds relevant and useful:</w:t>
      </w:r>
    </w:p>
    <w:p>
      <w:pPr>
        <w:spacing w:after="0" w:line="170" w:lineRule="exact"/>
        <w:rPr>
          <w:sz w:val="20"/>
          <w:szCs w:val="20"/>
          <w:color w:val="auto"/>
        </w:rPr>
      </w:pPr>
    </w:p>
    <w:p>
      <w:pPr>
        <w:ind w:left="1320" w:hanging="316"/>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Systems and Aftermarket revenues, in which “Aftermarket” is:</w:t>
      </w:r>
    </w:p>
    <w:p>
      <w:pPr>
        <w:spacing w:after="0" w:line="23" w:lineRule="exact"/>
        <w:rPr>
          <w:rFonts w:ascii="Arial" w:cs="Arial" w:eastAsia="Arial" w:hAnsi="Arial"/>
          <w:sz w:val="18"/>
          <w:szCs w:val="18"/>
          <w:color w:val="auto"/>
        </w:rPr>
      </w:pPr>
    </w:p>
    <w:p>
      <w:pPr>
        <w:ind w:left="1980" w:right="380" w:hanging="328"/>
        <w:spacing w:after="0" w:line="250" w:lineRule="auto"/>
        <w:tabs>
          <w:tab w:leader="none" w:pos="1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Services revenue, which is the labor component of Aftermarket revenues</w:t>
      </w:r>
    </w:p>
    <w:p>
      <w:pPr>
        <w:spacing w:after="0" w:line="211" w:lineRule="exact"/>
        <w:rPr>
          <w:sz w:val="20"/>
          <w:szCs w:val="20"/>
          <w:color w:val="auto"/>
        </w:rPr>
      </w:pPr>
    </w:p>
    <w:p>
      <w:pPr>
        <w:ind w:left="1300" w:right="40"/>
        <w:spacing w:after="0" w:line="277" w:lineRule="auto"/>
        <w:rPr>
          <w:sz w:val="20"/>
          <w:szCs w:val="20"/>
          <w:color w:val="auto"/>
        </w:rPr>
      </w:pPr>
      <w:r>
        <w:rPr>
          <w:rFonts w:ascii="Arial" w:cs="Arial" w:eastAsia="Arial" w:hAnsi="Arial"/>
          <w:sz w:val="18"/>
          <w:szCs w:val="18"/>
          <w:color w:val="auto"/>
        </w:rPr>
        <w:t>(Aftermarket purchases reflect current fab utilization as opposed to Systems purchases which reflect capital investment decisions by our customers, which have differing economic drivers);</w:t>
      </w:r>
    </w:p>
    <w:p>
      <w:pPr>
        <w:spacing w:after="0" w:line="170" w:lineRule="exact"/>
        <w:rPr>
          <w:sz w:val="20"/>
          <w:szCs w:val="20"/>
          <w:color w:val="auto"/>
        </w:rPr>
      </w:pPr>
    </w:p>
    <w:p>
      <w:pPr>
        <w:ind w:left="1320" w:hanging="316"/>
        <w:spacing w:after="0" w:line="277"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by geographic regions, since economic factors impacting customer purchasing decisions may vary by geographic region; and</w:t>
      </w:r>
    </w:p>
    <w:p>
      <w:pPr>
        <w:spacing w:after="0" w:line="170" w:lineRule="exact"/>
        <w:rPr>
          <w:rFonts w:ascii="Arial" w:cs="Arial" w:eastAsia="Arial" w:hAnsi="Arial"/>
          <w:sz w:val="18"/>
          <w:szCs w:val="18"/>
          <w:color w:val="auto"/>
        </w:rPr>
      </w:pPr>
    </w:p>
    <w:p>
      <w:pPr>
        <w:ind w:left="1320" w:hanging="316"/>
        <w:spacing w:after="0"/>
        <w:tabs>
          <w:tab w:leader="none" w:pos="1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 by our customer market segments, since they can be subject to different economic drivers at</w:t>
      </w:r>
    </w:p>
    <w:p>
      <w:pPr>
        <w:sectPr>
          <w:pgSz w:w="11900" w:h="16838" w:orient="portrait"/>
          <w:cols w:equalWidth="0" w:num="1">
            <w:col w:w="9080"/>
          </w:cols>
          <w:pgMar w:left="1380" w:top="517" w:right="14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7" w:right="14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1320" w:right="320"/>
        <w:spacing w:after="0" w:line="263" w:lineRule="auto"/>
        <w:rPr>
          <w:sz w:val="20"/>
          <w:szCs w:val="20"/>
          <w:color w:val="auto"/>
        </w:rPr>
      </w:pPr>
      <w:r>
        <w:rPr>
          <w:rFonts w:ascii="Arial" w:cs="Arial" w:eastAsia="Arial" w:hAnsi="Arial"/>
          <w:sz w:val="18"/>
          <w:szCs w:val="18"/>
          <w:color w:val="auto"/>
        </w:rPr>
        <w:t>different periods of time, impacting a customer’s likelihood of purchasing capital equipment during any particular period. Currently, management references three customer market segments: memory, mature technology processes and leading edge foundry and logic.</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Aftermarket revenue categories for recent periods are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2021 compared with three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Included in total revenue of $176.7 million during the three months ended September 30, 2021 is revenue from our Aftermarket business of $50.5 million, compared to $40.2 million for the three months ended September 30, 2020. The remaining $126.2 million of revenue for the three months ended September 30, 2021 was from system sales.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2021 compared with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Aftermarket</w:t>
      </w:r>
    </w:p>
    <w:p>
      <w:pPr>
        <w:spacing w:after="0" w:line="22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Included in total revenue of $456.7 million during the nine months ended September 30, 2021 is revenue from our Aftermarket business of $149.4 million, compared to $123.0 million for the nine months ended September 30, 2020. The remaining $307.3 million of revenue for the nine months ended September 30, 2021 was from system sales.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gross profit /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384"/>
              <w:spacing w:after="0"/>
              <w:rPr>
                <w:sz w:val="20"/>
                <w:szCs w:val="20"/>
                <w:color w:val="auto"/>
              </w:rPr>
            </w:pPr>
            <w:r>
              <w:rPr>
                <w:rFonts w:ascii="Arial" w:cs="Arial" w:eastAsia="Arial" w:hAnsi="Arial"/>
                <w:sz w:val="14"/>
                <w:szCs w:val="14"/>
                <w:b w:val="1"/>
                <w:bCs w:val="1"/>
                <w:color w:val="auto"/>
                <w:w w:val="94"/>
              </w:rPr>
              <w:t>Three months ended</w:t>
            </w:r>
          </w:p>
        </w:tc>
        <w:tc>
          <w:tcPr>
            <w:tcW w:w="40" w:type="dxa"/>
            <w:vAlign w:val="bottom"/>
          </w:tcPr>
          <w:p>
            <w:pPr>
              <w:spacing w:after="0"/>
              <w:rPr>
                <w:sz w:val="14"/>
                <w:szCs w:val="14"/>
                <w:color w:val="auto"/>
              </w:rPr>
            </w:pPr>
          </w:p>
        </w:tc>
        <w:tc>
          <w:tcPr>
            <w:tcW w:w="15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Period-to-Period</w:t>
            </w:r>
          </w:p>
        </w:tc>
        <w:tc>
          <w:tcPr>
            <w:tcW w:w="80" w:type="dxa"/>
            <w:vAlign w:val="bottom"/>
          </w:tcPr>
          <w:p>
            <w:pPr>
              <w:spacing w:after="0"/>
              <w:rPr>
                <w:sz w:val="14"/>
                <w:szCs w:val="14"/>
                <w:color w:val="auto"/>
              </w:rPr>
            </w:pPr>
          </w:p>
        </w:tc>
        <w:tc>
          <w:tcPr>
            <w:tcW w:w="1740" w:type="dxa"/>
            <w:vAlign w:val="bottom"/>
            <w:gridSpan w:val="6"/>
          </w:tcPr>
          <w:p>
            <w:pPr>
              <w:jc w:val="right"/>
              <w:ind w:right="324"/>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6"/>
          </w:tcPr>
          <w:p>
            <w:pPr>
              <w:jc w:val="right"/>
              <w:ind w:right="544"/>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5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1740" w:type="dxa"/>
            <w:vAlign w:val="bottom"/>
            <w:gridSpan w:val="6"/>
          </w:tcPr>
          <w:p>
            <w:pPr>
              <w:jc w:val="right"/>
              <w:ind w:right="484"/>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43"/>
              <w:spacing w:after="0" w:line="119"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01"/>
              <w:spacing w:after="0" w:line="119"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jc w:val="right"/>
              <w:ind w:right="227"/>
              <w:spacing w:after="0" w:line="119" w:lineRule="exact"/>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tcBorders>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108"/>
              <w:spacing w:after="0" w:line="119" w:lineRule="exact"/>
              <w:rPr>
                <w:sz w:val="20"/>
                <w:szCs w:val="20"/>
                <w:color w:val="auto"/>
              </w:rPr>
            </w:pPr>
            <w:r>
              <w:rPr>
                <w:rFonts w:ascii="Arial" w:cs="Arial" w:eastAsia="Arial" w:hAnsi="Arial"/>
                <w:sz w:val="13"/>
                <w:szCs w:val="13"/>
                <w:b w:val="1"/>
                <w:bCs w:val="1"/>
                <w:color w:val="auto"/>
              </w:rPr>
              <w:t>2021</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244"/>
              <w:spacing w:after="0" w:line="119" w:lineRule="exact"/>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203"/>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(dollars</w:t>
            </w:r>
          </w:p>
        </w:tc>
        <w:tc>
          <w:tcPr>
            <w:tcW w:w="280" w:type="dxa"/>
            <w:vAlign w:val="bottom"/>
            <w:gridSpan w:val="2"/>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4"/>
              </w:rPr>
              <w:t>thousands)</w:t>
            </w: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Arial" w:cs="Arial" w:eastAsia="Arial" w:hAnsi="Arial"/>
                <w:sz w:val="16"/>
                <w:szCs w:val="16"/>
                <w:color w:val="auto"/>
              </w:rPr>
              <w:t>Product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75,950</w:t>
            </w:r>
          </w:p>
        </w:tc>
        <w:tc>
          <w:tcPr>
            <w:tcW w:w="180" w:type="dxa"/>
            <w:vAlign w:val="bottom"/>
          </w:tcPr>
          <w:p>
            <w:pPr>
              <w:spacing w:after="0"/>
              <w:rPr>
                <w:sz w:val="18"/>
                <w:szCs w:val="18"/>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48,372</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w w:val="96"/>
              </w:rPr>
              <w:t>$ 27,578</w:t>
            </w:r>
          </w:p>
        </w:tc>
        <w:tc>
          <w:tcPr>
            <w:tcW w:w="1580" w:type="dxa"/>
            <w:vAlign w:val="bottom"/>
            <w:gridSpan w:val="5"/>
          </w:tcPr>
          <w:p>
            <w:pPr>
              <w:jc w:val="right"/>
              <w:spacing w:after="0"/>
              <w:rPr>
                <w:sz w:val="20"/>
                <w:szCs w:val="20"/>
                <w:color w:val="auto"/>
              </w:rPr>
            </w:pPr>
            <w:r>
              <w:rPr>
                <w:rFonts w:ascii="Arial" w:cs="Arial" w:eastAsia="Arial" w:hAnsi="Arial"/>
                <w:sz w:val="16"/>
                <w:szCs w:val="16"/>
                <w:i w:val="1"/>
                <w:iCs w:val="1"/>
                <w:color w:val="auto"/>
              </w:rPr>
              <w:t xml:space="preserve">57.0 % </w:t>
            </w:r>
            <w:r>
              <w:rPr>
                <w:rFonts w:ascii="Arial" w:cs="Arial" w:eastAsia="Arial" w:hAnsi="Arial"/>
                <w:sz w:val="16"/>
                <w:szCs w:val="16"/>
                <w:color w:val="auto"/>
              </w:rPr>
              <w:t>$ 195,693</w:t>
            </w:r>
          </w:p>
        </w:tc>
        <w:tc>
          <w:tcPr>
            <w:tcW w:w="1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6"/>
                <w:szCs w:val="16"/>
                <w:color w:val="auto"/>
                <w:w w:val="95"/>
              </w:rPr>
              <w:t>$ 145,008</w:t>
            </w:r>
          </w:p>
        </w:tc>
        <w:tc>
          <w:tcPr>
            <w:tcW w:w="160" w:type="dxa"/>
            <w:vAlign w:val="bottom"/>
          </w:tcPr>
          <w:p>
            <w:pPr>
              <w:spacing w:after="0"/>
              <w:rPr>
                <w:sz w:val="18"/>
                <w:szCs w:val="18"/>
                <w:color w:val="auto"/>
              </w:rPr>
            </w:pPr>
          </w:p>
        </w:tc>
        <w:tc>
          <w:tcPr>
            <w:tcW w:w="18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50,685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i w:val="1"/>
                <w:iCs w:val="1"/>
                <w:color w:val="auto"/>
              </w:rPr>
              <w:t xml:space="preserve">35.0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6"/>
                <w:szCs w:val="16"/>
                <w:i w:val="1"/>
                <w:iCs w:val="1"/>
                <w:color w:val="auto"/>
                <w:w w:val="99"/>
              </w:rPr>
              <w:t>Product gross margin</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44.9 %</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46.2 %</w:t>
            </w: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44.9 %</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6"/>
                <w:szCs w:val="16"/>
                <w:i w:val="1"/>
                <w:iCs w:val="1"/>
                <w:color w:val="auto"/>
              </w:rPr>
              <w:t>43.4 %</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Services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86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i w:val="1"/>
                <w:iCs w:val="1"/>
                <w:color w:val="auto"/>
              </w:rPr>
              <w:t>366.4 %</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601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w w:val="98"/>
              </w:rPr>
              <w:t xml:space="preserve">111.0 </w:t>
            </w: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6"/>
                <w:szCs w:val="16"/>
                <w:i w:val="1"/>
                <w:iCs w:val="1"/>
                <w:color w:val="auto"/>
                <w:w w:val="96"/>
              </w:rPr>
              <w:t>Services gross margin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i w:val="1"/>
                <w:iCs w:val="1"/>
                <w:color w:val="auto"/>
              </w:rPr>
              <w:t>7.5 %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i w:val="1"/>
                <w:iCs w:val="1"/>
                <w:color w:val="auto"/>
              </w:rPr>
              <w:t>(3.8)%</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i w:val="1"/>
                <w:iCs w:val="1"/>
                <w:color w:val="auto"/>
              </w:rPr>
              <w:t>6.1 %</w:t>
            </w:r>
          </w:p>
        </w:tc>
        <w:tc>
          <w:tcPr>
            <w:tcW w:w="920" w:type="dxa"/>
            <w:vAlign w:val="bottom"/>
            <w:gridSpan w:val="4"/>
          </w:tcPr>
          <w:p>
            <w:pPr>
              <w:jc w:val="right"/>
              <w:spacing w:after="0"/>
              <w:rPr>
                <w:sz w:val="20"/>
                <w:szCs w:val="20"/>
                <w:color w:val="auto"/>
              </w:rPr>
            </w:pPr>
            <w:r>
              <w:rPr>
                <w:rFonts w:ascii="Arial" w:cs="Arial" w:eastAsia="Arial" w:hAnsi="Arial"/>
                <w:sz w:val="16"/>
                <w:szCs w:val="16"/>
                <w:i w:val="1"/>
                <w:iCs w:val="1"/>
                <w:color w:val="auto"/>
              </w:rPr>
              <w:t>3.3 %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gross profit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76,512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48,161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$ 28,351</w:t>
            </w:r>
          </w:p>
        </w:tc>
        <w:tc>
          <w:tcPr>
            <w:tcW w:w="860" w:type="dxa"/>
            <w:vAlign w:val="bottom"/>
            <w:tcBorders>
              <w:top w:val="single" w:sz="8" w:color="CCEEFF"/>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6"/>
                <w:szCs w:val="16"/>
                <w:i w:val="1"/>
                <w:iCs w:val="1"/>
                <w:color w:val="auto"/>
              </w:rPr>
              <w:t>58.9 %</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$ 196,961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$ 145,609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35.3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tcPr>
          <w:p>
            <w:pPr>
              <w:ind w:left="420"/>
              <w:spacing w:after="0"/>
              <w:rPr>
                <w:sz w:val="20"/>
                <w:szCs w:val="20"/>
                <w:color w:val="auto"/>
              </w:rPr>
            </w:pPr>
            <w:r>
              <w:rPr>
                <w:rFonts w:ascii="Arial" w:cs="Arial" w:eastAsia="Arial" w:hAnsi="Arial"/>
                <w:sz w:val="16"/>
                <w:szCs w:val="16"/>
                <w:color w:val="auto"/>
              </w:rPr>
              <w:t>Gross margin</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i w:val="1"/>
                <w:iCs w:val="1"/>
                <w:color w:val="auto"/>
                <w:w w:val="84"/>
              </w:rPr>
              <w:t>%</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i w:val="1"/>
                <w:iCs w:val="1"/>
                <w:color w:val="auto"/>
                <w:w w:val="84"/>
              </w:rPr>
              <w:t>%</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i w:val="1"/>
                <w:iCs w:val="1"/>
                <w:color w:val="auto"/>
                <w:w w:val="74"/>
              </w:rPr>
              <w:t>%</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i w:val="1"/>
                <w:iCs w:val="1"/>
                <w:color w:val="auto"/>
              </w:rPr>
              <w:t>43.3</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i w:val="1"/>
                <w:iCs w:val="1"/>
                <w:color w:val="auto"/>
              </w:rPr>
              <w:t>43.6</w:t>
            </w:r>
          </w:p>
        </w:tc>
        <w:tc>
          <w:tcPr>
            <w:tcW w:w="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i w:val="1"/>
                <w:iCs w:val="1"/>
                <w:color w:val="auto"/>
              </w:rPr>
              <w:t>43.1</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i w:val="1"/>
                <w:iCs w:val="1"/>
                <w:color w:val="auto"/>
              </w:rPr>
              <w:t>41.3</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2021 compared with three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Gross margin from product revenue was 44.9% for the three months ended September 30, 2021, compared to 46.2% for the three months ended September 30, 2020. The decrease in gross margin resulted from a decreased mix of higher margin parts and upgrades and changes in the mix of Purion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Gross margin from services revenue was 7.5% for the three months ended September 30, 2021, compared to (3.8)% for the three months ended September 30, 2020. The increase in gross margin is attributable to changes in the mix of service contracts.</w:t>
      </w:r>
    </w:p>
    <w:p>
      <w:pPr>
        <w:sectPr>
          <w:pgSz w:w="11900" w:h="16838" w:orient="portrait"/>
          <w:cols w:equalWidth="0" w:num="1">
            <w:col w:w="9120"/>
          </w:cols>
          <w:pgMar w:left="1380" w:top="517" w:right="13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2021 compared with nine months ended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Gross margin from product revenue was 44.9% for the nine months ended September 30, 2021, compared to 43.4% for the nine months ended September 30, 2020. The increase resulted from improved margins on Purion systems and increased margins on parts and upgrades.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Gross margin from services revenue was 6.1% for the nine months ended September 30, 2021, compared to 3.3% for the nine months ended September 30, 2020. The increase in gross margin is attributable to changes in the mix of service contracts.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248"/>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Pr>
          <w:p>
            <w:pPr>
              <w:spacing w:after="0"/>
              <w:rPr>
                <w:sz w:val="14"/>
                <w:szCs w:val="14"/>
                <w:color w:val="auto"/>
              </w:rPr>
            </w:pPr>
          </w:p>
        </w:tc>
        <w:tc>
          <w:tcPr>
            <w:tcW w:w="1560" w:type="dxa"/>
            <w:vAlign w:val="bottom"/>
            <w:gridSpan w:val="6"/>
          </w:tcPr>
          <w:p>
            <w:pPr>
              <w:ind w:left="60"/>
              <w:spacing w:after="0"/>
              <w:rPr>
                <w:sz w:val="20"/>
                <w:szCs w:val="20"/>
                <w:color w:val="auto"/>
              </w:rPr>
            </w:pPr>
            <w:r>
              <w:rPr>
                <w:rFonts w:ascii="Arial" w:cs="Arial" w:eastAsia="Arial" w:hAnsi="Arial"/>
                <w:sz w:val="14"/>
                <w:szCs w:val="14"/>
                <w:b w:val="1"/>
                <w:bCs w:val="1"/>
                <w:color w:val="auto"/>
              </w:rPr>
              <w:t>Period-to-Period</w:t>
            </w:r>
          </w:p>
        </w:tc>
        <w:tc>
          <w:tcPr>
            <w:tcW w:w="1580" w:type="dxa"/>
            <w:vAlign w:val="bottom"/>
            <w:gridSpan w:val="5"/>
          </w:tcPr>
          <w:p>
            <w:pPr>
              <w:jc w:val="right"/>
              <w:ind w:right="268"/>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17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20" w:type="dxa"/>
            <w:vAlign w:val="bottom"/>
            <w:gridSpan w:val="3"/>
          </w:tcPr>
          <w:p>
            <w:pPr>
              <w:ind w:left="34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5"/>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8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87"/>
              </w:rPr>
              <w:t>(dollars 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and development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1,840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i w:val="1"/>
                <w:iCs w:val="1"/>
                <w:color w:val="auto"/>
              </w:rPr>
              <w:t xml:space="preserve">12.4 </w:t>
            </w:r>
            <w:r>
              <w:rPr>
                <w:rFonts w:ascii="Arial" w:cs="Arial" w:eastAsia="Arial" w:hAnsi="Arial"/>
                <w:sz w:val="14"/>
                <w:szCs w:val="14"/>
                <w:color w:val="auto"/>
              </w:rPr>
              <w:t>% $</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49,015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45,513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7.7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9.4 %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13.5 %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10.7 %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12.9 %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1,652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i w:val="1"/>
                <w:iCs w:val="1"/>
                <w:color w:val="auto"/>
              </w:rPr>
              <w:t xml:space="preserve">16.9 </w:t>
            </w: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27,404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24.0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6.5 %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8.8 %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7.4 %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7.8 %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11,996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2,347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i w:val="1"/>
                <w:iCs w:val="1"/>
                <w:color w:val="auto"/>
              </w:rPr>
              <w:t xml:space="preserve">24.3 </w:t>
            </w: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33,226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28,726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i w:val="1"/>
                <w:iCs w:val="1"/>
                <w:color w:val="auto"/>
              </w:rPr>
              <w:t xml:space="preserve">15.7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6.8 %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8.7 %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7.3 %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i w:val="1"/>
                <w:iCs w:val="1"/>
                <w:color w:val="auto"/>
              </w:rPr>
              <w:t>8.2 %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40,118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34,279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w w:val="96"/>
              </w:rPr>
              <w:t>5,839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i w:val="1"/>
                <w:iCs w:val="1"/>
                <w:color w:val="auto"/>
              </w:rPr>
              <w:t xml:space="preserve">17.0 </w:t>
            </w:r>
            <w:r>
              <w:rPr>
                <w:rFonts w:ascii="Arial" w:cs="Arial" w:eastAsia="Arial" w:hAnsi="Arial"/>
                <w:sz w:val="14"/>
                <w:szCs w:val="14"/>
                <w:color w:val="auto"/>
              </w:rPr>
              <w:t>%</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116,220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101,643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14,577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i w:val="1"/>
                <w:iCs w:val="1"/>
                <w:color w:val="auto"/>
              </w:rPr>
              <w:t xml:space="preserve">14.3 </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Percentage of revenue</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79"/>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i w:val="1"/>
                <w:iCs w:val="1"/>
                <w:color w:val="auto"/>
                <w:w w:val="96"/>
              </w:rPr>
              <w:t>%</w:t>
            </w: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i w:val="1"/>
                <w:iCs w:val="1"/>
                <w:color w:val="auto"/>
              </w:rPr>
              <w:t>22.7</w:t>
            </w:r>
          </w:p>
        </w:tc>
        <w:tc>
          <w:tcPr>
            <w:tcW w:w="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i w:val="1"/>
                <w:iCs w:val="1"/>
                <w:color w:val="auto"/>
              </w:rPr>
              <w:t>31.0</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i w:val="1"/>
                <w:iCs w:val="1"/>
                <w:color w:val="auto"/>
              </w:rPr>
              <w:t>25.4</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i w:val="1"/>
                <w:iCs w:val="1"/>
                <w:color w:val="auto"/>
              </w:rPr>
              <w:t>28.9</w:t>
            </w: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Our operating expenses consist primarily of personnel costs, including salaries,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4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Personnel costs are our largest expense, representing $24.9 million or 62.1% of our total operating expenses for the three months ended September 30, 2021, compared to $22.2 million or 64.8% of our total operating expenses for the three months ended September 30, 2020. Personnel costs were $72.3 million or 62.2% of our total operating expenses for the nine months ended September 30, 2021, compared to $65.0 million or 63.9% of our total operating expenses for the nine months ended September 30, 2020. The higher personnel costs for the three and nine months ended September 30, 2021 is primarily due to increases in personnel-related expenses to support growth as well as an increase in incentive-based pay expense due to strong financial performance.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5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Three months ended</w:t>
            </w:r>
          </w:p>
        </w:tc>
        <w:tc>
          <w:tcPr>
            <w:tcW w:w="13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Period-to-Period</w:t>
            </w: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6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Period-to-Period</w:t>
            </w:r>
          </w:p>
        </w:tc>
      </w:tr>
      <w:tr>
        <w:trPr>
          <w:trHeight w:val="171"/>
        </w:trPr>
        <w:tc>
          <w:tcPr>
            <w:tcW w:w="268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5"/>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4"/>
                <w:szCs w:val="14"/>
                <w:color w:val="auto"/>
              </w:rPr>
            </w:pPr>
          </w:p>
        </w:tc>
        <w:tc>
          <w:tcPr>
            <w:tcW w:w="154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r>
      <w:tr>
        <w:trPr>
          <w:trHeight w:val="210"/>
        </w:trPr>
        <w:tc>
          <w:tcPr>
            <w:tcW w:w="2680" w:type="dxa"/>
            <w:vAlign w:val="bottom"/>
          </w:tcPr>
          <w:p>
            <w:pPr>
              <w:spacing w:after="0"/>
              <w:rPr>
                <w:sz w:val="18"/>
                <w:szCs w:val="18"/>
                <w:color w:val="auto"/>
              </w:rPr>
            </w:pPr>
          </w:p>
        </w:tc>
        <w:tc>
          <w:tcPr>
            <w:tcW w:w="6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8"/>
                <w:szCs w:val="18"/>
                <w:color w:val="auto"/>
              </w:rPr>
            </w:pPr>
          </w:p>
        </w:tc>
        <w:tc>
          <w:tcPr>
            <w:tcW w:w="68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r>
      <w:tr>
        <w:trPr>
          <w:trHeight w:val="128"/>
        </w:trPr>
        <w:tc>
          <w:tcPr>
            <w:tcW w:w="2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$ 16,707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$ 14,867</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6"/>
              </w:rPr>
              <w:t>$ 1,840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i w:val="1"/>
                <w:iCs w:val="1"/>
                <w:color w:val="auto"/>
              </w:rPr>
              <w:t xml:space="preserve">12.4 </w:t>
            </w: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49,015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45,513</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3,502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rPr>
              <w:t xml:space="preserve">7.7 </w:t>
            </w:r>
            <w:r>
              <w:rPr>
                <w:rFonts w:ascii="Arial" w:cs="Arial" w:eastAsia="Arial" w:hAnsi="Arial"/>
                <w:sz w:val="16"/>
                <w:szCs w:val="16"/>
                <w:color w:val="auto"/>
              </w:rPr>
              <w:t>%</w:t>
            </w:r>
          </w:p>
        </w:tc>
      </w:tr>
      <w:tr>
        <w:trPr>
          <w:trHeight w:val="210"/>
        </w:trPr>
        <w:tc>
          <w:tcPr>
            <w:tcW w:w="268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9.4 %</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13.5 %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10.7 %</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i w:val="1"/>
                <w:iCs w:val="1"/>
                <w:color w:val="auto"/>
              </w:rPr>
              <w:t>12.9 %</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Our ability to remain competitive depends largely on continuously developing innovative technology, with new and enhanced features and systems and introducing them at competitive prices on a timely basis. Accordingly, based on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strategic plan, we establish annual R&amp;D budgets to fund programs that we expect will solve customers’ high value, high impact, ion implantation challenges.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2021 compared with three months ended September 30, 2020</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Research and development expense was $16.7 million during the three months ended September 30, 2021, an increase of $1.8 million, or 12.4%, compared with $14.9 million during the three months ended September 30, 2020. The increase is primarily due to higher personnel expenses largely driven by increases in incentive-based pay expense and, to a lesser extent, supplies and materials cost for ongoing projects.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2021 compared with nine months ended September 30, 2020</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was $49.0 million during the nine months ended September 30, 2021, an increase of $3.5 million, or 7.7%, compared with $45.5 million during the nine months ended September 30, 2020. The increase is primarily due to higher personnel expenses and, to a lesser extent, supplies and materials costs for ongoing projects and increased depreciation associated with capital additions.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Three months ended</w:t>
            </w:r>
          </w:p>
        </w:tc>
        <w:tc>
          <w:tcPr>
            <w:tcW w:w="1400" w:type="dxa"/>
            <w:vAlign w:val="bottom"/>
            <w:gridSpan w:val="4"/>
          </w:tcPr>
          <w:p>
            <w:pPr>
              <w:jc w:val="center"/>
              <w:ind w:right="158"/>
              <w:spacing w:after="0"/>
              <w:rPr>
                <w:sz w:val="20"/>
                <w:szCs w:val="20"/>
                <w:color w:val="auto"/>
              </w:rPr>
            </w:pPr>
            <w:r>
              <w:rPr>
                <w:rFonts w:ascii="Arial" w:cs="Arial" w:eastAsia="Arial" w:hAnsi="Arial"/>
                <w:sz w:val="14"/>
                <w:szCs w:val="14"/>
                <w:b w:val="1"/>
                <w:bCs w:val="1"/>
                <w:color w:val="auto"/>
                <w:w w:val="92"/>
              </w:rPr>
              <w:t>Period-to-Period</w:t>
            </w:r>
          </w:p>
        </w:tc>
        <w:tc>
          <w:tcPr>
            <w:tcW w:w="16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6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4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gridSpan w:val="4"/>
          </w:tcPr>
          <w:p>
            <w:pPr>
              <w:jc w:val="center"/>
              <w:ind w:right="138"/>
              <w:spacing w:after="0"/>
              <w:rPr>
                <w:sz w:val="20"/>
                <w:szCs w:val="20"/>
                <w:color w:val="auto"/>
              </w:rPr>
            </w:pPr>
            <w:r>
              <w:rPr>
                <w:rFonts w:ascii="Arial" w:cs="Arial" w:eastAsia="Arial" w:hAnsi="Arial"/>
                <w:sz w:val="14"/>
                <w:szCs w:val="14"/>
                <w:b w:val="1"/>
                <w:bCs w:val="1"/>
                <w:color w:val="auto"/>
                <w:w w:val="93"/>
              </w:rPr>
              <w:t>Change</w:t>
            </w: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gridSpan w:val="3"/>
          </w:tcPr>
          <w:p>
            <w:pPr>
              <w:jc w:val="center"/>
              <w:ind w:left="286"/>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74"/>
              </w:rPr>
              <w:t>in</w:t>
            </w:r>
          </w:p>
        </w:tc>
        <w:tc>
          <w:tcPr>
            <w:tcW w:w="64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75"/>
              </w:rPr>
              <w:t>(dollars</w:t>
            </w:r>
          </w:p>
        </w:tc>
        <w:tc>
          <w:tcPr>
            <w:tcW w:w="220" w:type="dxa"/>
            <w:vAlign w:val="bottom"/>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$ 11,415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$ 9,763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$ 1,652</w:t>
            </w: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w w:val="99"/>
              </w:rPr>
              <w:t xml:space="preserve">16.9 </w:t>
            </w:r>
            <w:r>
              <w:rPr>
                <w:rFonts w:ascii="Arial" w:cs="Arial" w:eastAsia="Arial" w:hAnsi="Arial"/>
                <w:sz w:val="16"/>
                <w:szCs w:val="16"/>
                <w:color w:val="auto"/>
                <w:w w:val="99"/>
              </w:rPr>
              <w:t>% $ 33,979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$ 27,404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$ 6,575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i w:val="1"/>
                <w:iCs w:val="1"/>
                <w:color w:val="auto"/>
                <w:w w:val="96"/>
              </w:rPr>
              <w:t xml:space="preserve">24.0 </w:t>
            </w:r>
            <w:r>
              <w:rPr>
                <w:rFonts w:ascii="Arial" w:cs="Arial" w:eastAsia="Arial" w:hAnsi="Arial"/>
                <w:sz w:val="16"/>
                <w:szCs w:val="16"/>
                <w:color w:val="auto"/>
                <w:w w:val="96"/>
              </w:rPr>
              <w:t>%</w:t>
            </w:r>
          </w:p>
        </w:tc>
        <w:tc>
          <w:tcPr>
            <w:tcW w:w="0" w:type="dxa"/>
            <w:vAlign w:val="bottom"/>
          </w:tcPr>
          <w:p>
            <w:pPr>
              <w:spacing w:after="0"/>
              <w:rPr>
                <w:sz w:val="1"/>
                <w:szCs w:val="1"/>
                <w:color w:val="auto"/>
              </w:rPr>
            </w:pPr>
          </w:p>
        </w:tc>
      </w:tr>
      <w:tr>
        <w:trPr>
          <w:trHeight w:val="210"/>
        </w:trPr>
        <w:tc>
          <w:tcPr>
            <w:tcW w:w="302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6.5 %</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8.8 %</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7.4 %</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7.8 %</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sales and marketing expenses result primarily from the sale of our equipment and services through our direct sales force.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2021 compared with three months ended September 30, 2020</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Sales and marketing expense was $11.4 million during the three months ended September 30, 2021, an increase of $1.7 million, or 16.9%, compared with $9.8 million during the three months ended September 30, 2020. The increase is primarily due to higher incentive-based pay expense and freight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2021 compared with nine months ended September 30, 2020</w:t>
      </w:r>
    </w:p>
    <w:p>
      <w:pPr>
        <w:spacing w:after="0" w:line="225"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Sales and marketing expense was $34.0 million during the nine months ended September 30, 2021, an increase of $6.6 million, or 24.0%, compared with $27.4 million during the nine months ended September 30, 2020. The increase is primarily due to increases in higher personnel-related expenses and to a lesser extent freight and project material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5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1"/>
              </w:rPr>
              <w:t>Three months ended</w:t>
            </w:r>
          </w:p>
        </w:tc>
        <w:tc>
          <w:tcPr>
            <w:tcW w:w="146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92"/>
              </w:rPr>
              <w:t>Period-to-Period</w:t>
            </w:r>
          </w:p>
        </w:tc>
        <w:tc>
          <w:tcPr>
            <w:tcW w:w="16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1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w w:val="89"/>
              </w:rPr>
              <w:t>Change</w:t>
            </w:r>
          </w:p>
        </w:tc>
        <w:tc>
          <w:tcPr>
            <w:tcW w:w="16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gridSpan w:val="3"/>
          </w:tcPr>
          <w:p>
            <w:pPr>
              <w:jc w:val="center"/>
              <w:ind w:left="306"/>
              <w:spacing w:after="0"/>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in</w:t>
            </w:r>
          </w:p>
        </w:tc>
        <w:tc>
          <w:tcPr>
            <w:tcW w:w="640" w:type="dxa"/>
            <w:vAlign w:val="bottom"/>
            <w:tcBorders>
              <w:top w:val="single" w:sz="8" w:color="auto"/>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(dollars</w:t>
            </w:r>
          </w:p>
        </w:tc>
        <w:tc>
          <w:tcPr>
            <w:tcW w:w="22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$ 11,996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$ 9,649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$ 2,347</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i w:val="1"/>
                <w:iCs w:val="1"/>
                <w:color w:val="auto"/>
              </w:rPr>
              <w:t xml:space="preserve">24.3 </w:t>
            </w:r>
            <w:r>
              <w:rPr>
                <w:rFonts w:ascii="Arial" w:cs="Arial" w:eastAsia="Arial" w:hAnsi="Arial"/>
                <w:sz w:val="16"/>
                <w:szCs w:val="16"/>
                <w:color w:val="auto"/>
              </w:rPr>
              <w:t>% $ 33,226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$ 28,726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i w:val="1"/>
                <w:iCs w:val="1"/>
                <w:color w:val="auto"/>
              </w:rPr>
              <w:t xml:space="preserve">15.7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88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6.8 %</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8.7 %</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7.3 %</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i w:val="1"/>
                <w:iCs w:val="1"/>
                <w:color w:val="auto"/>
              </w:rPr>
              <w:t>8.2 %</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general and administrative expenses result primarily from the costs associated with our executive, finance, information technology, legal and human resource functions.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2021 compared with three months ended September 30, 2020</w:t>
      </w:r>
    </w:p>
    <w:p>
      <w:pPr>
        <w:spacing w:after="0" w:line="144" w:lineRule="exact"/>
        <w:rPr>
          <w:sz w:val="20"/>
          <w:szCs w:val="20"/>
          <w:color w:val="auto"/>
        </w:rPr>
      </w:pPr>
    </w:p>
    <w:p>
      <w:pPr>
        <w:ind w:right="480" w:firstLine="648"/>
        <w:spacing w:after="0" w:line="263" w:lineRule="auto"/>
        <w:rPr>
          <w:sz w:val="20"/>
          <w:szCs w:val="20"/>
          <w:color w:val="auto"/>
        </w:rPr>
      </w:pPr>
      <w:r>
        <w:rPr>
          <w:rFonts w:ascii="Arial" w:cs="Arial" w:eastAsia="Arial" w:hAnsi="Arial"/>
          <w:sz w:val="18"/>
          <w:szCs w:val="18"/>
          <w:color w:val="auto"/>
        </w:rPr>
        <w:t>General and administrative expense was $12.0 million during the three months ended September 30, 2021, an increase of $2.3 million, or 24.3%, compared with $9.6 million during the three months ended September 30, 2020. The increase is primarily due to an increase in incentive-based pay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2021 compared with nine months ended September 30, 2020</w:t>
      </w:r>
    </w:p>
    <w:p>
      <w:pPr>
        <w:spacing w:after="0" w:line="144"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General and administrative expense was $33.2 million during the nine months ended September 30, 2021, an increase of $4.5 million, or 15.7%, compared with $28.7 million during the nine months ended September 30, 2020. The increase is primarily due to an increase in personnel-related expenses and incentive-based pay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6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440" w:type="dxa"/>
            <w:vAlign w:val="bottom"/>
            <w:gridSpan w:val="4"/>
          </w:tcPr>
          <w:p>
            <w:pPr>
              <w:jc w:val="center"/>
              <w:ind w:right="268"/>
              <w:spacing w:after="0"/>
              <w:rPr>
                <w:sz w:val="20"/>
                <w:szCs w:val="20"/>
                <w:color w:val="auto"/>
              </w:rPr>
            </w:pPr>
            <w:r>
              <w:rPr>
                <w:rFonts w:ascii="Arial" w:cs="Arial" w:eastAsia="Arial" w:hAnsi="Arial"/>
                <w:sz w:val="14"/>
                <w:szCs w:val="14"/>
                <w:b w:val="1"/>
                <w:bCs w:val="1"/>
                <w:color w:val="auto"/>
                <w:w w:val="93"/>
              </w:rPr>
              <w:t>Period-to-period</w:t>
            </w:r>
          </w:p>
        </w:tc>
        <w:tc>
          <w:tcPr>
            <w:tcW w:w="16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15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Period-to-period</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440" w:type="dxa"/>
            <w:vAlign w:val="bottom"/>
            <w:gridSpan w:val="4"/>
          </w:tcPr>
          <w:p>
            <w:pPr>
              <w:jc w:val="center"/>
              <w:ind w:right="268"/>
              <w:spacing w:after="0"/>
              <w:rPr>
                <w:sz w:val="20"/>
                <w:szCs w:val="20"/>
                <w:color w:val="auto"/>
              </w:rPr>
            </w:pPr>
            <w:r>
              <w:rPr>
                <w:rFonts w:ascii="Arial" w:cs="Arial" w:eastAsia="Arial" w:hAnsi="Arial"/>
                <w:sz w:val="14"/>
                <w:szCs w:val="14"/>
                <w:b w:val="1"/>
                <w:bCs w:val="1"/>
                <w:color w:val="auto"/>
                <w:w w:val="85"/>
              </w:rPr>
              <w:t>change</w:t>
            </w:r>
          </w:p>
        </w:tc>
        <w:tc>
          <w:tcPr>
            <w:tcW w:w="16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780" w:type="dxa"/>
            <w:vAlign w:val="bottom"/>
            <w:gridSpan w:val="3"/>
          </w:tcPr>
          <w:p>
            <w:pPr>
              <w:jc w:val="center"/>
              <w:ind w:left="246"/>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68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4"/>
                <w:szCs w:val="14"/>
                <w:b w:val="1"/>
                <w:bCs w:val="1"/>
                <w:color w:val="auto"/>
                <w:w w:val="86"/>
              </w:rPr>
              <w:t>(dollars</w:t>
            </w:r>
          </w:p>
        </w:tc>
        <w:tc>
          <w:tcPr>
            <w:tcW w:w="220" w:type="dxa"/>
            <w:vAlign w:val="bottom"/>
            <w:vMerge w:val="continue"/>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  (2,181)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6"/>
                <w:szCs w:val="16"/>
                <w:i w:val="1"/>
                <w:iCs w:val="1"/>
                <w:color w:val="auto"/>
              </w:rPr>
              <w:t>(652.1)</w:t>
            </w: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  (5,579)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(2,539)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i w:val="1"/>
                <w:iCs w:val="1"/>
                <w:color w:val="auto"/>
                <w:w w:val="86"/>
              </w:rPr>
              <w:t>(119.7)</w:t>
            </w:r>
            <w:r>
              <w:rPr>
                <w:rFonts w:ascii="Arial" w:cs="Arial" w:eastAsia="Arial" w:hAnsi="Arial"/>
                <w:sz w:val="16"/>
                <w:szCs w:val="16"/>
                <w:color w:val="auto"/>
                <w:w w:val="86"/>
              </w:rPr>
              <w:t>%</w:t>
            </w:r>
          </w:p>
        </w:tc>
        <w:tc>
          <w:tcPr>
            <w:tcW w:w="0" w:type="dxa"/>
            <w:vAlign w:val="bottom"/>
          </w:tcPr>
          <w:p>
            <w:pPr>
              <w:spacing w:after="0"/>
              <w:rPr>
                <w:sz w:val="1"/>
                <w:szCs w:val="1"/>
                <w:color w:val="auto"/>
              </w:rPr>
            </w:pPr>
          </w:p>
        </w:tc>
      </w:tr>
      <w:tr>
        <w:trPr>
          <w:trHeight w:val="210"/>
        </w:trPr>
        <w:tc>
          <w:tcPr>
            <w:tcW w:w="2640" w:type="dxa"/>
            <w:vAlign w:val="bottom"/>
          </w:tcPr>
          <w:p>
            <w:pPr>
              <w:ind w:left="220"/>
              <w:spacing w:after="0"/>
              <w:rPr>
                <w:sz w:val="20"/>
                <w:szCs w:val="20"/>
                <w:color w:val="auto"/>
              </w:rPr>
            </w:pPr>
            <w:r>
              <w:rPr>
                <w:rFonts w:ascii="Arial" w:cs="Arial" w:eastAsia="Arial" w:hAnsi="Arial"/>
                <w:sz w:val="16"/>
                <w:szCs w:val="16"/>
                <w:i w:val="1"/>
                <w:iCs w:val="1"/>
                <w:color w:val="auto"/>
              </w:rPr>
              <w:t>Percentage of revenue</w:t>
            </w:r>
          </w:p>
        </w:tc>
        <w:tc>
          <w:tcPr>
            <w:tcW w:w="800" w:type="dxa"/>
            <w:vAlign w:val="bottom"/>
            <w:gridSpan w:val="2"/>
          </w:tcPr>
          <w:p>
            <w:pPr>
              <w:jc w:val="right"/>
              <w:spacing w:after="0"/>
              <w:rPr>
                <w:sz w:val="20"/>
                <w:szCs w:val="20"/>
                <w:color w:val="auto"/>
              </w:rPr>
            </w:pPr>
            <w:r>
              <w:rPr>
                <w:rFonts w:ascii="Arial" w:cs="Arial" w:eastAsia="Arial" w:hAnsi="Arial"/>
                <w:sz w:val="16"/>
                <w:szCs w:val="16"/>
                <w:i w:val="1"/>
                <w:iCs w:val="1"/>
                <w:color w:val="auto"/>
              </w:rPr>
              <w:t>(1.2)%</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i w:val="1"/>
                <w:iCs w:val="1"/>
                <w:color w:val="auto"/>
              </w:rPr>
              <w:t>(0.3)%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i w:val="1"/>
                <w:iCs w:val="1"/>
                <w:color w:val="auto"/>
              </w:rPr>
              <w:t>(1.2)%</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i w:val="1"/>
                <w:iCs w:val="1"/>
                <w:color w:val="auto"/>
              </w:rPr>
              <w:t>(0.7)%</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Other (expense) income consists primarily of interest expense relating to the finance lease obligation we incurred in connection with the 2015 sale of our headquarters facility and other financing obligations, foreign exchange gains and losses attributable to fluctuations of the U.S. dollar against local currencies of certain of the countries in which we operate as well as interest earned on our invested cash balances.</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Other expense was $2.2 million for the three months ended September 30, 2021, compared with $0.3 million for the three months ended September 30, 2020. The increase in other expense was primarily due to an increase in foreign currency exchange losses. Other expense was $5.6 million for the nine months ended September 30, 2021, compared with $2.5 million for the nine months ended September 30, 2020. The increase in other expense was primarily due to an increase in foreign currency exchange losses of $2.5 million as well as a reduction of $0.5 million in interest income when compared to the nine-month period ended September 30, 2020.</w:t>
      </w:r>
    </w:p>
    <w:p>
      <w:pPr>
        <w:spacing w:after="0" w:line="1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During the nine-month periods ended September 30, 2021 and 2020, we had no significant off-balance-sheet risk such as exchange contracts, option contracts or other hedging arrangements.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5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7"/>
              </w:rPr>
              <w:t>Three months ended</w:t>
            </w:r>
          </w:p>
        </w:tc>
        <w:tc>
          <w:tcPr>
            <w:tcW w:w="1640" w:type="dxa"/>
            <w:vAlign w:val="bottom"/>
            <w:gridSpan w:val="5"/>
          </w:tcPr>
          <w:p>
            <w:pPr>
              <w:jc w:val="center"/>
              <w:ind w:right="228"/>
              <w:spacing w:after="0"/>
              <w:rPr>
                <w:sz w:val="20"/>
                <w:szCs w:val="20"/>
                <w:color w:val="auto"/>
              </w:rPr>
            </w:pPr>
            <w:r>
              <w:rPr>
                <w:rFonts w:ascii="Arial" w:cs="Arial" w:eastAsia="Arial" w:hAnsi="Arial"/>
                <w:sz w:val="14"/>
                <w:szCs w:val="14"/>
                <w:b w:val="1"/>
                <w:bCs w:val="1"/>
                <w:color w:val="auto"/>
                <w:w w:val="93"/>
              </w:rPr>
              <w:t>Period-to-period</w:t>
            </w: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620" w:type="dxa"/>
            <w:vAlign w:val="bottom"/>
            <w:gridSpan w:val="5"/>
          </w:tcPr>
          <w:p>
            <w:pPr>
              <w:ind w:left="60"/>
              <w:spacing w:after="0"/>
              <w:rPr>
                <w:sz w:val="20"/>
                <w:szCs w:val="20"/>
                <w:color w:val="auto"/>
              </w:rPr>
            </w:pPr>
            <w:r>
              <w:rPr>
                <w:rFonts w:ascii="Arial" w:cs="Arial" w:eastAsia="Arial" w:hAnsi="Arial"/>
                <w:sz w:val="14"/>
                <w:szCs w:val="14"/>
                <w:b w:val="1"/>
                <w:bCs w:val="1"/>
                <w:color w:val="auto"/>
              </w:rPr>
              <w:t>Period-to-period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5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jc w:val="center"/>
              <w:ind w:left="386"/>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820" w:type="dxa"/>
            <w:vAlign w:val="bottom"/>
            <w:gridSpan w:val="3"/>
          </w:tcPr>
          <w:p>
            <w:pPr>
              <w:ind w:left="340"/>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64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29" w:lineRule="exact"/>
              <w:rPr>
                <w:sz w:val="20"/>
                <w:szCs w:val="20"/>
                <w:color w:val="auto"/>
              </w:rPr>
            </w:pPr>
            <w:r>
              <w:rPr>
                <w:rFonts w:ascii="Arial" w:cs="Arial" w:eastAsia="Arial" w:hAnsi="Arial"/>
                <w:sz w:val="13"/>
                <w:szCs w:val="13"/>
                <w:b w:val="1"/>
                <w:bCs w:val="1"/>
                <w:color w:val="auto"/>
                <w:w w:val="72"/>
              </w:rPr>
              <w:t>(dollars</w:t>
            </w:r>
          </w:p>
        </w:tc>
        <w:tc>
          <w:tcPr>
            <w:tcW w:w="300" w:type="dxa"/>
            <w:vAlign w:val="bottom"/>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thousands)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  6,698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2,807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  3,891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i w:val="1"/>
                <w:iCs w:val="1"/>
                <w:color w:val="auto"/>
                <w:w w:val="95"/>
              </w:rPr>
              <w:t xml:space="preserve">138.6 </w:t>
            </w:r>
            <w:r>
              <w:rPr>
                <w:rFonts w:ascii="Arial" w:cs="Arial" w:eastAsia="Arial" w:hAnsi="Arial"/>
                <w:sz w:val="16"/>
                <w:szCs w:val="16"/>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$ 12,261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6,119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6"/>
                <w:szCs w:val="16"/>
                <w:color w:val="auto"/>
                <w:w w:val="99"/>
              </w:rPr>
              <w:t>6,142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 xml:space="preserve">100.4 </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520" w:type="dxa"/>
            <w:vAlign w:val="bottom"/>
          </w:tcPr>
          <w:p>
            <w:pPr>
              <w:ind w:left="320"/>
              <w:spacing w:after="0"/>
              <w:rPr>
                <w:sz w:val="20"/>
                <w:szCs w:val="20"/>
                <w:color w:val="auto"/>
              </w:rPr>
            </w:pPr>
            <w:r>
              <w:rPr>
                <w:rFonts w:ascii="Arial" w:cs="Arial" w:eastAsia="Arial" w:hAnsi="Arial"/>
                <w:sz w:val="16"/>
                <w:szCs w:val="16"/>
                <w:i w:val="1"/>
                <w:iCs w:val="1"/>
                <w:color w:val="auto"/>
              </w:rPr>
              <w:t>Percentage of revenue</w:t>
            </w:r>
          </w:p>
        </w:tc>
        <w:tc>
          <w:tcPr>
            <w:tcW w:w="800" w:type="dxa"/>
            <w:vAlign w:val="bottom"/>
            <w:gridSpan w:val="3"/>
          </w:tcPr>
          <w:p>
            <w:pPr>
              <w:jc w:val="right"/>
              <w:ind w:right="40"/>
              <w:spacing w:after="0"/>
              <w:rPr>
                <w:sz w:val="20"/>
                <w:szCs w:val="20"/>
                <w:color w:val="auto"/>
              </w:rPr>
            </w:pPr>
            <w:r>
              <w:rPr>
                <w:rFonts w:ascii="Arial" w:cs="Arial" w:eastAsia="Arial" w:hAnsi="Arial"/>
                <w:sz w:val="16"/>
                <w:szCs w:val="16"/>
                <w:i w:val="1"/>
                <w:iCs w:val="1"/>
                <w:color w:val="auto"/>
              </w:rPr>
              <w:t>3.8 %</w:t>
            </w:r>
          </w:p>
        </w:tc>
        <w:tc>
          <w:tcPr>
            <w:tcW w:w="780" w:type="dxa"/>
            <w:vAlign w:val="bottom"/>
            <w:gridSpan w:val="2"/>
          </w:tcPr>
          <w:p>
            <w:pPr>
              <w:jc w:val="right"/>
              <w:spacing w:after="0"/>
              <w:rPr>
                <w:sz w:val="20"/>
                <w:szCs w:val="20"/>
                <w:color w:val="auto"/>
              </w:rPr>
            </w:pPr>
            <w:r>
              <w:rPr>
                <w:rFonts w:ascii="Arial" w:cs="Arial" w:eastAsia="Arial" w:hAnsi="Arial"/>
                <w:sz w:val="16"/>
                <w:szCs w:val="16"/>
                <w:i w:val="1"/>
                <w:iCs w:val="1"/>
                <w:color w:val="auto"/>
              </w:rPr>
              <w:t>2.5 %</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i w:val="1"/>
                <w:iCs w:val="1"/>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i w:val="1"/>
                <w:iCs w:val="1"/>
                <w:color w:val="auto"/>
              </w:rPr>
              <w:t>%</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Income tax expense was $6.7 million for the three months ended September 30, 2021, compared to $2.8 million for the three months ended September 30, 2020. The $3.9 million increase was primarily due to a $20.6 million increase in pretax income. Income tax expense was $12.3 million during the nine months ended September 30, 2021, compared to $6.1 million for the nine months ended September 30, 2020. The $6.2 million increase was primarily due to a $33.7 million increase in pretax income. The effective tax rate for the three and nine months ended September 30, 2021 and 2020, respectively, was less than the U.S. statutory rate of 21% due to favorable discrete items related to equity compensation in those periods as well as Federal research and development tax credits that reduce the annual tax rate.</w:t>
      </w:r>
    </w:p>
    <w:p>
      <w:pPr>
        <w:spacing w:after="0" w:line="177"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Deferred income taxes of $44.2 million and $57.9 million as of September 30, 2021 and December 31, 2020, respectively, reflect the net tax effect of temporary differences between the carrying amount of assets and liabilities for</w:t>
      </w:r>
    </w:p>
    <w:p>
      <w:pPr>
        <w:sectPr>
          <w:pgSz w:w="11900" w:h="16838" w:orient="portrait"/>
          <w:cols w:equalWidth="0" w:num="1">
            <w:col w:w="9120"/>
          </w:cols>
          <w:pgMar w:left="1380" w:top="517" w:right="13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financial reporting purposes and the amounts used for income tax purposes, as well as the tax effect of carryforwards. We have recorded a $10.2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had $271.1 million in unrestricted cash and cash equivalents at September 30, 2021, in addition to $0.8 million in restricted cash. Management believes that maintaining a strong cash balance is necessary to provide funding for potential ramps in our business which can require significant cash investment to meet sudden demand. Additionally, we are using cash in our 2021 stock repurchase program and are considering both organic and inorganic opportunities to drive future growth, for which cash resources will be necessary.</w:t>
      </w:r>
    </w:p>
    <w:p>
      <w:pPr>
        <w:spacing w:after="0" w:line="93"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Our liquidity is affected by many factors. Some of these relate specifically to the operations of our business, for example, the rate of sale of our products, and others relate to the uncertainties of global economic conditions, including the availability of credit and the condition of the overall semiconductor equipment industry. Our established cost structure, other than cost of goods sold, does not vary significantly with changes in volume. We experience fluctuations in operating results and cash flows depending on these factors. Stock repurchases, as discussed below, also reduce our cash balances.</w:t>
      </w:r>
    </w:p>
    <w:p>
      <w:pPr>
        <w:spacing w:after="0" w:line="6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During the nine months ended September 30, 2021 and 2020, we generated $112.1 million and $75.7 million, respectively, of cash related to operating activities.</w:t>
      </w:r>
    </w:p>
    <w:p>
      <w:pPr>
        <w:spacing w:after="0" w:line="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Investing activities for the nine months ended September 30, 2021 and 2020 resulted in cash outflows of $5.7 million and $5.6 million, respectively, used for capital expenditures.</w:t>
      </w:r>
    </w:p>
    <w:p>
      <w:pPr>
        <w:spacing w:after="0" w:line="7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Financing activities for the nine months ended September 30, 2021 resulted in a cash usage of $40.7 million. During the first nine months of 2021, $37.5 million in cash was used to repurchase our common stock and $6.5 million was used for payments to government tax authorities for income tax withholding on employee compensation arising from the vesting of RSUs, where units are withheld by the Company for taxes, as well as $0.6 million relating to the reduction of the liability under the finance lease of our corporate headquarters. These amounts were partially offset by $3.9 million of proceeds from the exercise of stock options and purchase of shares under our 2020 ESPP during the first nine months of 2021. In comparison, financing activities for the nine months ended September 30, 2020 resulted in cash usage of $3.4 million, $7.5 million of which related to the repurchase of our common stock and $3.9 million related to payments made to government tax authorities for income tax withholding on employee compensation arising from the vesting of RSUs, as well as $0.3 million relating to the reduction of our financing lease liability. These amounts were partially offset by $8.3 million of proceeds related to the exercise of stock options and purchase of shares under our prior employee stock purchase plan during the first nine months of 2020.</w:t>
      </w:r>
    </w:p>
    <w:p>
      <w:pPr>
        <w:spacing w:after="0" w:line="17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Under the rules of the U.S. Securities and Exchange Commission (the “SEC”),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remain in effect for up to three years from filing, prior to which time we may file another shelf registration statement to maintain the availability of this financing option.</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July 31, 2020, we entered into a Senior Secured Credit Facilities Credit Agreement (the “Credit Agreement”) with Silicon Valley Bank.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September 30, 2021, we were in compliance with all covenant requirements of the Credit Agreement. As of such date, no borrowings had been made under the Credit Agreement, although a letter of credit for $5.9 million reduces the funds available for borrowing under the credit line. We have no immediate plans to borrow under the Credit Agreement, but</w:t>
      </w:r>
    </w:p>
    <w:p>
      <w:pPr>
        <w:sectPr>
          <w:pgSz w:w="11900" w:h="16838" w:orient="portrait"/>
          <w:cols w:equalWidth="0" w:num="1">
            <w:col w:w="9100"/>
          </w:cols>
          <w:pgMar w:left="1380" w:top="517" w:right="1419"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79"/>
        <w:spacing w:after="0" w:line="257" w:lineRule="auto"/>
        <w:rPr>
          <w:sz w:val="20"/>
          <w:szCs w:val="20"/>
          <w:color w:val="auto"/>
        </w:rPr>
      </w:pPr>
      <w:r>
        <w:rPr>
          <w:rFonts w:ascii="Arial" w:cs="Arial" w:eastAsia="Arial" w:hAnsi="Arial"/>
          <w:sz w:val="18"/>
          <w:szCs w:val="18"/>
          <w:color w:val="auto"/>
        </w:rPr>
        <w:t>we will use the facility for letters of credit, for ongoing working capital needs and to fund general corporate purposes, as desired. We entered into a First Amendment to the Credit Agreement with Silicon Valley Bank in March 2021 to (i) align the covenants with our 2021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88" w:lineRule="exact"/>
        <w:rPr>
          <w:sz w:val="20"/>
          <w:szCs w:val="20"/>
          <w:color w:val="auto"/>
        </w:rPr>
      </w:pPr>
    </w:p>
    <w:p>
      <w:pPr>
        <w:ind w:right="79" w:firstLine="648"/>
        <w:spacing w:after="0" w:line="263" w:lineRule="auto"/>
        <w:rPr>
          <w:sz w:val="20"/>
          <w:szCs w:val="20"/>
          <w:color w:val="auto"/>
        </w:rPr>
      </w:pPr>
      <w:r>
        <w:rPr>
          <w:rFonts w:ascii="Arial" w:cs="Arial" w:eastAsia="Arial" w:hAnsi="Arial"/>
          <w:sz w:val="18"/>
          <w:szCs w:val="18"/>
          <w:color w:val="auto"/>
        </w:rPr>
        <w:t>We believe that based on our current market, revenue, expense and cash flow forecasts, our existing cash, cash equivalents and equity and debt financing capacity will be sufficient to satisfy our anticipated cash requirements for the short and long-term.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right="79" w:firstLine="648"/>
        <w:spacing w:after="0" w:line="286" w:lineRule="auto"/>
        <w:rPr>
          <w:sz w:val="20"/>
          <w:szCs w:val="20"/>
          <w:color w:val="auto"/>
        </w:rPr>
      </w:pPr>
      <w:r>
        <w:rPr>
          <w:rFonts w:ascii="Arial" w:cs="Arial" w:eastAsia="Arial" w:hAnsi="Arial"/>
          <w:sz w:val="17"/>
          <w:szCs w:val="17"/>
          <w:color w:val="auto"/>
        </w:rPr>
        <w:t>Significant commitments and contingencies at September 30, 2021 are consistent with those discussed in Item 7, “Management’s Discussion and Analysis of Financial Condition and Results of Operations,” and Note 16 to the consolidated financial statements in our Annual Report on Form 10-K for the fiscal year ended December 31, 2020.</w:t>
      </w: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September 30, 2021, there have been no material changes to the quantitative information about market risk disclosed in Item 7A to our Annual Report on Form 10-K for the year ended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the evaluation of our internal control that occurred during the three months ended September 30, 2021 that has materially affected, or is reasonably likely to materially affect, our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As of September 30, 2021, there have been no material changes to the risk factors described in Item 1A to our Annual Report on Form 10-K for the year ended December 31, 2020.</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December 2020, our Board of Directors authorized a share repurchase program covering 2021 for up to $100 million of the Company's common stock.</w:t>
      </w:r>
    </w:p>
    <w:p>
      <w:pPr>
        <w:spacing w:after="0" w:line="103"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table summarizes the stock repurchase activity, based upon settlement date, for the three months ended September 30, 2021 as well as the approximate dollar value of shares that may yet be purchased pursuant to our stock repurchase program: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1860" w:type="dxa"/>
            <w:vAlign w:val="bottom"/>
            <w:gridSpan w:val="4"/>
          </w:tcPr>
          <w:p>
            <w:pPr>
              <w:ind w:left="40"/>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 Number of</w:t>
            </w:r>
          </w:p>
        </w:tc>
        <w:tc>
          <w:tcPr>
            <w:tcW w:w="18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Average Price</w:t>
            </w: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40" w:type="dxa"/>
            <w:vAlign w:val="bottom"/>
          </w:tcPr>
          <w:p>
            <w:pPr>
              <w:spacing w:after="0"/>
              <w:rPr>
                <w:sz w:val="12"/>
                <w:szCs w:val="12"/>
                <w:color w:val="auto"/>
              </w:rPr>
            </w:pPr>
          </w:p>
        </w:tc>
        <w:tc>
          <w:tcPr>
            <w:tcW w:w="1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Shares Purchased</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Program</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(in thousands except per share amounts)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July 1, 2021 through July 31, 2021</w:t>
            </w: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28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93"/>
              </w:rPr>
              <w:t>$37.23</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71,472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August 1, 2021 through August 31, 2021</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128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3"/>
              </w:rPr>
              <w:t>$43.16</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448"/>
              <w:spacing w:after="0" w:line="149" w:lineRule="exact"/>
              <w:rPr>
                <w:sz w:val="20"/>
                <w:szCs w:val="20"/>
                <w:color w:val="auto"/>
              </w:rPr>
            </w:pPr>
            <w:r>
              <w:rPr>
                <w:rFonts w:ascii="Arial" w:cs="Arial" w:eastAsia="Arial" w:hAnsi="Arial"/>
                <w:sz w:val="14"/>
                <w:szCs w:val="14"/>
                <w:color w:val="auto"/>
              </w:rPr>
              <w:t>66,729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September 1, 2021 through September 30, 2021</w:t>
            </w: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28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93"/>
              </w:rPr>
              <w:t>$49.12</w:t>
            </w:r>
          </w:p>
        </w:tc>
        <w:tc>
          <w:tcPr>
            <w:tcW w:w="16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48"/>
              <w:spacing w:after="0" w:line="149" w:lineRule="exact"/>
              <w:rPr>
                <w:sz w:val="20"/>
                <w:szCs w:val="20"/>
                <w:color w:val="auto"/>
              </w:rPr>
            </w:pPr>
            <w:r>
              <w:rPr>
                <w:rFonts w:ascii="Arial" w:cs="Arial" w:eastAsia="Arial" w:hAnsi="Arial"/>
                <w:sz w:val="14"/>
                <w:szCs w:val="14"/>
                <w:color w:val="auto"/>
              </w:rPr>
              <w:t>62,506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gridSpan w:val="2"/>
          </w:tcPr>
          <w:p>
            <w:pPr>
              <w:ind w:left="1260"/>
              <w:spacing w:after="0" w:line="142"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291</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500" w:type="dxa"/>
            <w:vAlign w:val="bottom"/>
            <w:gridSpan w:val="12"/>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620" w:type="dxa"/>
            <w:vAlign w:val="bottom"/>
          </w:tcPr>
          <w:p>
            <w:pPr>
              <w:spacing w:after="0"/>
              <w:rPr>
                <w:sz w:val="24"/>
                <w:szCs w:val="24"/>
                <w:color w:val="auto"/>
              </w:rPr>
            </w:pPr>
          </w:p>
        </w:tc>
        <w:tc>
          <w:tcPr>
            <w:tcW w:w="8500" w:type="dxa"/>
            <w:vAlign w:val="bottom"/>
            <w:gridSpan w:val="12"/>
          </w:tcPr>
          <w:p>
            <w:pPr>
              <w:ind w:left="40"/>
              <w:spacing w:after="0"/>
              <w:rPr>
                <w:sz w:val="20"/>
                <w:szCs w:val="20"/>
                <w:color w:val="auto"/>
              </w:rPr>
            </w:pPr>
            <w:r>
              <w:rPr>
                <w:rFonts w:ascii="Arial" w:cs="Arial" w:eastAsia="Arial" w:hAnsi="Arial"/>
                <w:sz w:val="18"/>
                <w:szCs w:val="18"/>
                <w:color w:val="auto"/>
              </w:rPr>
              <w:t>The following exhibits are filed herewith:</w:t>
            </w:r>
          </w:p>
        </w:tc>
      </w:tr>
      <w:tr>
        <w:trPr>
          <w:trHeight w:val="369"/>
        </w:trPr>
        <w:tc>
          <w:tcPr>
            <w:tcW w:w="6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5"/>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940" w:type="dxa"/>
            <w:vAlign w:val="bottom"/>
            <w:tcBorders>
              <w:bottom w:val="single" w:sz="8" w:color="auto"/>
            </w:tcBorders>
            <w:gridSpan w:val="10"/>
          </w:tcPr>
          <w:p>
            <w:pPr>
              <w:ind w:left="362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620" w:type="dxa"/>
            <w:vAlign w:val="bottom"/>
          </w:tcPr>
          <w:p>
            <w:pPr>
              <w:jc w:val="center"/>
              <w:ind w:left="194"/>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0"/>
          </w:tcPr>
          <w:p>
            <w:pPr>
              <w:spacing w:after="0"/>
              <w:rPr>
                <w:rFonts w:ascii="Arial" w:cs="Arial" w:eastAsia="Arial" w:hAnsi="Arial"/>
                <w:sz w:val="18"/>
                <w:szCs w:val="18"/>
                <w:color w:val="0000EE"/>
                <w:w w:val="93"/>
              </w:rPr>
            </w:pPr>
            <w:hyperlink r:id="rId43">
              <w:r>
                <w:rPr>
                  <w:rFonts w:ascii="Arial" w:cs="Arial" w:eastAsia="Arial" w:hAnsi="Arial"/>
                  <w:sz w:val="18"/>
                  <w:szCs w:val="18"/>
                  <w:color w:val="0000EE"/>
                  <w:w w:val="93"/>
                </w:rPr>
                <w:t>Restated Certificate of Incorporation of the Company filed November 2, 2017. Incorporated by reference to</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Exhibit 3.1 of the Company’s Form 10-Q filed with the Commission on November 3, 2017.</w:t>
              </w:r>
            </w:hyperlink>
          </w:p>
        </w:tc>
        <w:tc>
          <w:tcPr>
            <w:tcW w:w="1140" w:type="dxa"/>
            <w:vAlign w:val="bottom"/>
            <w:tcBorders>
              <w:top w:val="single" w:sz="8" w:color="0000EE"/>
            </w:tcBorders>
            <w:gridSpan w:val="4"/>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620" w:type="dxa"/>
            <w:vAlign w:val="bottom"/>
          </w:tcPr>
          <w:p>
            <w:pPr>
              <w:jc w:val="center"/>
              <w:ind w:left="194"/>
              <w:spacing w:after="0"/>
              <w:rPr>
                <w:sz w:val="20"/>
                <w:szCs w:val="20"/>
                <w:color w:val="auto"/>
              </w:rPr>
            </w:pPr>
            <w:r>
              <w:rPr>
                <w:rFonts w:ascii="Arial" w:cs="Arial" w:eastAsia="Arial" w:hAnsi="Arial"/>
                <w:sz w:val="18"/>
                <w:szCs w:val="18"/>
                <w:color w:val="auto"/>
                <w:w w:val="87"/>
              </w:rPr>
              <w:t>3.2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0"/>
          </w:tcPr>
          <w:p>
            <w:pPr>
              <w:spacing w:after="0"/>
              <w:rPr>
                <w:rFonts w:ascii="Arial" w:cs="Arial" w:eastAsia="Arial" w:hAnsi="Arial"/>
                <w:sz w:val="18"/>
                <w:szCs w:val="18"/>
                <w:color w:val="0000EE"/>
                <w:w w:val="95"/>
              </w:rPr>
            </w:pPr>
            <w:hyperlink r:id="rId44">
              <w:r>
                <w:rPr>
                  <w:rFonts w:ascii="Arial" w:cs="Arial" w:eastAsia="Arial" w:hAnsi="Arial"/>
                  <w:sz w:val="18"/>
                  <w:szCs w:val="18"/>
                  <w:color w:val="0000EE"/>
                  <w:w w:val="95"/>
                </w:rPr>
                <w:t>Bylaws of the Company, as amended as of May 13, 2014. Incorporated by reference to Exhibit 3.2 of the</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Company’s Form 8-K filed with the Commission on May 19, 2014.</w:t>
              </w:r>
            </w:hyperlink>
          </w:p>
        </w:tc>
        <w:tc>
          <w:tcPr>
            <w:tcW w:w="2680" w:type="dxa"/>
            <w:vAlign w:val="bottom"/>
            <w:tcBorders>
              <w:top w:val="single" w:sz="8" w:color="0000EE"/>
            </w:tcBorders>
            <w:gridSpan w:val="5"/>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0"/>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Certification of the Principal Executive Officer under Exchange Act Rule 13a-14(a)/15d-14(a) (Section 302</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of the Sarbanes-Oxley Act), dated November 5, 2021. Filed herewith.</w:t>
              </w:r>
            </w:hyperlink>
          </w:p>
        </w:tc>
        <w:tc>
          <w:tcPr>
            <w:tcW w:w="200" w:type="dxa"/>
            <w:vAlign w:val="bottom"/>
            <w:gridSpan w:val="2"/>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the Principal Financial Officer under Exchange Act Rule 13a-14(a)/15d-14(a) (Section 302 of</w:t>
              </w:r>
            </w:hyperlink>
          </w:p>
        </w:tc>
        <w:tc>
          <w:tcPr>
            <w:tcW w:w="4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the Sarbanes-Oxley Act), dated November 5, 2021. Filed herewith.</w:t>
              </w:r>
            </w:hyperlink>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20" w:type="dxa"/>
            <w:vAlign w:val="bottom"/>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0"/>
          </w:tcPr>
          <w:p>
            <w:pPr>
              <w:spacing w:after="0"/>
              <w:rPr>
                <w:rFonts w:ascii="Arial" w:cs="Arial" w:eastAsia="Arial" w:hAnsi="Arial"/>
                <w:sz w:val="18"/>
                <w:szCs w:val="18"/>
                <w:color w:val="0000EE"/>
                <w:w w:val="98"/>
              </w:rPr>
            </w:pPr>
            <w:hyperlink w:anchor="page35">
              <w:r>
                <w:rPr>
                  <w:rFonts w:ascii="Arial" w:cs="Arial" w:eastAsia="Arial" w:hAnsi="Arial"/>
                  <w:sz w:val="18"/>
                  <w:szCs w:val="18"/>
                  <w:color w:val="0000EE"/>
                  <w:w w:val="98"/>
                </w:rPr>
                <w:t>Certification of the Principal Executive Officer pursuant to Section 1350 of Chapter 63 of title 18 of the</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United States Code (Section 906 of the Sarbanes-Oxley Act), dated November 5, 2021. Filed herewith.</w:t>
              </w:r>
            </w:hyperlink>
          </w:p>
        </w:tc>
        <w:tc>
          <w:tcPr>
            <w:tcW w:w="40" w:type="dxa"/>
            <w:vAlign w:val="bottom"/>
            <w:tcBorders>
              <w:top w:val="single" w:sz="8" w:color="0000EE"/>
            </w:tcBorders>
          </w:tcPr>
          <w:p>
            <w:pPr>
              <w:spacing w:after="0"/>
              <w:rPr>
                <w:sz w:val="17"/>
                <w:szCs w:val="17"/>
                <w:color w:val="auto"/>
              </w:rPr>
            </w:pPr>
          </w:p>
        </w:tc>
        <w:tc>
          <w:tcPr>
            <w:tcW w:w="480" w:type="dxa"/>
            <w:vAlign w:val="bottom"/>
            <w:gridSpan w:val="4"/>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Arial" w:cs="Arial" w:eastAsia="Arial" w:hAnsi="Arial"/>
                <w:sz w:val="18"/>
                <w:szCs w:val="18"/>
                <w:color w:val="auto"/>
                <w:w w:val="91"/>
              </w:rPr>
              <w:t>32.2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the Principal Financial Officer pursuant to Section 1350 of Chapter 63 of title 18 of the</w:t>
              </w:r>
            </w:hyperlink>
          </w:p>
        </w:tc>
        <w:tc>
          <w:tcPr>
            <w:tcW w:w="520" w:type="dxa"/>
            <w:vAlign w:val="bottom"/>
            <w:gridSpan w:val="5"/>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United States Code (Section 906 of the Sarbanes-Oxley Act), dated November 5, 2021. Filed herewith.</w:t>
              </w:r>
            </w:hyperlink>
          </w:p>
        </w:tc>
        <w:tc>
          <w:tcPr>
            <w:tcW w:w="520" w:type="dxa"/>
            <w:vAlign w:val="bottom"/>
            <w:gridSpan w:val="5"/>
          </w:tcPr>
          <w:p>
            <w:pPr>
              <w:spacing w:after="0"/>
              <w:rPr>
                <w:sz w:val="17"/>
                <w:szCs w:val="17"/>
                <w:color w:val="auto"/>
              </w:rPr>
            </w:pPr>
          </w:p>
        </w:tc>
      </w:tr>
    </w:tbl>
    <w:p>
      <w:pPr>
        <w:spacing w:after="0" w:line="229" w:lineRule="exact"/>
        <w:rPr>
          <w:sz w:val="20"/>
          <w:szCs w:val="20"/>
          <w:color w:val="auto"/>
        </w:rPr>
      </w:pPr>
    </w:p>
    <w:p>
      <w:pPr>
        <w:ind w:left="1180" w:right="20" w:hanging="858"/>
        <w:spacing w:after="0" w:line="291"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materials from the Company’s Form 10-Q for the quarter ended September 30, 2021, formatted in inline eXtensible Business Reporting Language (iXBRL): (i) Consolidated Statements of Operations,</w:t>
      </w:r>
    </w:p>
    <w:p>
      <w:pPr>
        <w:ind w:left="1180" w:right="100"/>
        <w:spacing w:after="0" w:line="323" w:lineRule="auto"/>
        <w:rPr>
          <w:rFonts w:ascii="Arial" w:cs="Arial" w:eastAsia="Arial" w:hAnsi="Arial"/>
          <w:sz w:val="16"/>
          <w:szCs w:val="16"/>
          <w:color w:val="auto"/>
        </w:rPr>
      </w:pPr>
      <w:r>
        <w:rPr>
          <w:rFonts w:ascii="Arial" w:cs="Arial" w:eastAsia="Arial" w:hAnsi="Arial"/>
          <w:sz w:val="16"/>
          <w:szCs w:val="16"/>
          <w:color w:val="auto"/>
        </w:rPr>
        <w:t>(ii) Consolidated Statements of Comprehensive Income, (iii) Consolidated Balance Sheets, (iv) Consolidated Statements of Cash Flows and (v) Notes to Consolidated Financial Statements (Unaudited). Filed herewith.</w:t>
      </w:r>
    </w:p>
    <w:p>
      <w:pPr>
        <w:spacing w:after="0" w:line="138" w:lineRule="exact"/>
        <w:rPr>
          <w:sz w:val="20"/>
          <w:szCs w:val="20"/>
          <w:color w:val="auto"/>
        </w:rPr>
      </w:pPr>
    </w:p>
    <w:p>
      <w:pPr>
        <w:ind w:left="1180" w:hanging="858"/>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(formatted as iXBRL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DATED: November 5, 2021</w:t>
      </w:r>
      <w:r>
        <w:rPr>
          <w:sz w:val="20"/>
          <w:szCs w:val="20"/>
          <w:color w:val="auto"/>
        </w:rPr>
        <w:tab/>
      </w:r>
      <w:r>
        <w:rPr>
          <w:rFonts w:ascii="Arial" w:cs="Arial" w:eastAsia="Arial" w:hAnsi="Arial"/>
          <w:sz w:val="17"/>
          <w:szCs w:val="17"/>
          <w:color w:val="auto"/>
        </w:rPr>
        <w:t>By:  /s/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23495</wp:posOffset>
            </wp:positionV>
            <wp:extent cx="26403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Kevin J. Brewer</w:t>
      </w:r>
    </w:p>
    <w:p>
      <w:pPr>
        <w:spacing w:after="0" w:line="36"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48" w:lineRule="exact"/>
        <w:rPr>
          <w:sz w:val="20"/>
          <w:szCs w:val="20"/>
          <w:color w:val="auto"/>
        </w:rPr>
      </w:pPr>
    </w:p>
    <w:p>
      <w:pPr>
        <w:ind w:left="4960"/>
        <w:spacing w:after="0"/>
        <w:rPr>
          <w:sz w:val="20"/>
          <w:szCs w:val="20"/>
          <w:color w:val="auto"/>
        </w:rPr>
      </w:pPr>
      <w:r>
        <w:rPr>
          <w:rFonts w:ascii="Arial" w:cs="Arial" w:eastAsia="Arial" w:hAnsi="Arial"/>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32" w:name="page33"/>
    <w:bookmarkEnd w:id="3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Mary G. Puma, certify that:</w:t>
      </w:r>
    </w:p>
    <w:p>
      <w:pPr>
        <w:spacing w:after="0" w:line="198" w:lineRule="exact"/>
        <w:rPr>
          <w:sz w:val="20"/>
          <w:szCs w:val="20"/>
          <w:color w:val="auto"/>
        </w:rPr>
      </w:pPr>
    </w:p>
    <w:p>
      <w:pPr>
        <w:ind w:left="540" w:hanging="49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98" w:lineRule="exact"/>
        <w:rPr>
          <w:rFonts w:ascii="Arial" w:cs="Arial" w:eastAsia="Arial" w:hAnsi="Arial"/>
          <w:sz w:val="18"/>
          <w:szCs w:val="18"/>
          <w:color w:val="auto"/>
        </w:rPr>
      </w:pPr>
    </w:p>
    <w:p>
      <w:pPr>
        <w:ind w:left="540" w:right="459" w:hanging="490"/>
        <w:spacing w:after="0" w:line="24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40" w:right="339" w:hanging="490"/>
        <w:spacing w:after="0" w:line="24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40" w:right="179" w:hanging="490"/>
        <w:spacing w:after="0" w:line="270" w:lineRule="auto"/>
        <w:tabs>
          <w:tab w:leader="none" w:pos="53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60" w:right="179" w:hanging="495"/>
        <w:spacing w:after="0" w:line="243"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60" w:right="279" w:hanging="495"/>
        <w:spacing w:after="0" w:line="243"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60" w:right="159" w:hanging="495"/>
        <w:spacing w:after="0" w:line="248"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60" w:right="79" w:hanging="495"/>
        <w:spacing w:after="0" w:line="243"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40" w:right="499" w:hanging="490"/>
        <w:spacing w:after="0" w:line="248" w:lineRule="auto"/>
        <w:tabs>
          <w:tab w:leader="none" w:pos="5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60" w:right="239" w:hanging="495"/>
        <w:spacing w:after="0" w:line="248" w:lineRule="auto"/>
        <w:tabs>
          <w:tab w:leader="none" w:pos="10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60" w:right="379" w:hanging="495"/>
        <w:spacing w:after="0" w:line="261" w:lineRule="auto"/>
        <w:tabs>
          <w:tab w:leader="none" w:pos="10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7"/>
          <w:szCs w:val="17"/>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Kevin J. Brewer, certify that:</w:t>
      </w:r>
    </w:p>
    <w:p>
      <w:pPr>
        <w:spacing w:after="0" w:line="198" w:lineRule="exact"/>
        <w:rPr>
          <w:sz w:val="20"/>
          <w:szCs w:val="20"/>
          <w:color w:val="auto"/>
        </w:rPr>
      </w:pPr>
    </w:p>
    <w:p>
      <w:pPr>
        <w:ind w:left="540" w:hanging="490"/>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Axcelis Technologies, Inc.;</w:t>
      </w:r>
    </w:p>
    <w:p>
      <w:pPr>
        <w:spacing w:after="0" w:line="198" w:lineRule="exact"/>
        <w:rPr>
          <w:rFonts w:ascii="Arial" w:cs="Arial" w:eastAsia="Arial" w:hAnsi="Arial"/>
          <w:sz w:val="18"/>
          <w:szCs w:val="18"/>
          <w:color w:val="auto"/>
        </w:rPr>
      </w:pPr>
    </w:p>
    <w:p>
      <w:pPr>
        <w:ind w:left="540" w:right="459" w:hanging="490"/>
        <w:spacing w:after="0" w:line="24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40" w:right="339" w:hanging="490"/>
        <w:spacing w:after="0" w:line="24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40" w:right="179" w:hanging="490"/>
        <w:spacing w:after="0" w:line="270" w:lineRule="auto"/>
        <w:tabs>
          <w:tab w:leader="none" w:pos="5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1060" w:right="179" w:hanging="495"/>
        <w:spacing w:after="0" w:line="243" w:lineRule="auto"/>
        <w:tabs>
          <w:tab w:leader="none" w:pos="10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60" w:right="279" w:hanging="495"/>
        <w:spacing w:after="0" w:line="243" w:lineRule="auto"/>
        <w:tabs>
          <w:tab w:leader="none" w:pos="10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60" w:right="159" w:hanging="495"/>
        <w:spacing w:after="0" w:line="248" w:lineRule="auto"/>
        <w:tabs>
          <w:tab w:leader="none" w:pos="10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60" w:right="79" w:hanging="495"/>
        <w:spacing w:after="0" w:line="243" w:lineRule="auto"/>
        <w:tabs>
          <w:tab w:leader="none" w:pos="10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540" w:right="499" w:hanging="490"/>
        <w:spacing w:after="0" w:line="248" w:lineRule="auto"/>
        <w:tabs>
          <w:tab w:leader="none" w:pos="5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60" w:right="239" w:hanging="495"/>
        <w:spacing w:after="0" w:line="248" w:lineRule="auto"/>
        <w:tabs>
          <w:tab w:leader="none" w:pos="10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60" w:right="379" w:hanging="495"/>
        <w:spacing w:after="0" w:line="261" w:lineRule="auto"/>
        <w:tabs>
          <w:tab w:leader="none" w:pos="10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60"/>
        <w:spacing w:after="0"/>
        <w:tabs>
          <w:tab w:leader="none" w:pos="4480" w:val="left"/>
        </w:tabs>
        <w:rPr>
          <w:sz w:val="20"/>
          <w:szCs w:val="20"/>
          <w:color w:val="auto"/>
        </w:rPr>
      </w:pPr>
      <w:r>
        <w:rPr>
          <w:rFonts w:ascii="Arial" w:cs="Arial" w:eastAsia="Arial" w:hAnsi="Arial"/>
          <w:sz w:val="18"/>
          <w:szCs w:val="18"/>
          <w:color w:val="auto"/>
        </w:rPr>
        <w:t>Date: November 5, 2021</w:t>
      </w:r>
      <w:r>
        <w:rPr>
          <w:sz w:val="20"/>
          <w:szCs w:val="20"/>
          <w:color w:val="auto"/>
        </w:rPr>
        <w:tab/>
      </w:r>
      <w:r>
        <w:rPr>
          <w:rFonts w:ascii="Arial" w:cs="Arial" w:eastAsia="Arial" w:hAnsi="Arial"/>
          <w:sz w:val="17"/>
          <w:szCs w:val="17"/>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0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34" w:name="page35"/>
    <w:bookmarkEnd w:id="3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82" w:lineRule="exact"/>
        <w:rPr>
          <w:sz w:val="20"/>
          <w:szCs w:val="20"/>
          <w:color w:val="auto"/>
        </w:rPr>
      </w:pPr>
    </w:p>
    <w:p>
      <w:pPr>
        <w:ind w:left="40" w:right="59" w:firstLine="495"/>
        <w:spacing w:after="0" w:line="248" w:lineRule="auto"/>
        <w:rPr>
          <w:sz w:val="20"/>
          <w:szCs w:val="20"/>
          <w:color w:val="auto"/>
        </w:rPr>
      </w:pPr>
      <w:r>
        <w:rPr>
          <w:rFonts w:ascii="Arial" w:cs="Arial" w:eastAsia="Arial" w:hAnsi="Arial"/>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8" w:lineRule="exact"/>
        <w:rPr>
          <w:sz w:val="20"/>
          <w:szCs w:val="20"/>
          <w:color w:val="auto"/>
        </w:rPr>
      </w:pPr>
    </w:p>
    <w:p>
      <w:pPr>
        <w:ind w:left="40" w:right="439" w:firstLine="495"/>
        <w:spacing w:after="0" w:line="248"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November 5, 2021.</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Mary G. Puma</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President and Chief Executive Officer of Axcelis</w:t>
      </w:r>
    </w:p>
    <w:p>
      <w:pPr>
        <w:ind w:left="4500"/>
        <w:spacing w:after="0"/>
        <w:rPr>
          <w:sz w:val="20"/>
          <w:szCs w:val="20"/>
          <w:color w:val="auto"/>
        </w:rPr>
      </w:pPr>
      <w:r>
        <w:rPr>
          <w:rFonts w:ascii="Arial" w:cs="Arial" w:eastAsia="Arial" w:hAnsi="Arial"/>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AXCELIS TECHNOLOGIES,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jc w:val="center"/>
        <w:ind w:right="19"/>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82" w:lineRule="exact"/>
        <w:rPr>
          <w:sz w:val="20"/>
          <w:szCs w:val="20"/>
          <w:color w:val="auto"/>
        </w:rPr>
      </w:pPr>
    </w:p>
    <w:p>
      <w:pPr>
        <w:ind w:left="40" w:right="119" w:firstLine="495"/>
        <w:spacing w:after="0" w:line="248" w:lineRule="auto"/>
        <w:rPr>
          <w:sz w:val="20"/>
          <w:szCs w:val="20"/>
          <w:color w:val="auto"/>
        </w:rPr>
      </w:pPr>
      <w:r>
        <w:rPr>
          <w:rFonts w:ascii="Arial" w:cs="Arial" w:eastAsia="Arial" w:hAnsi="Arial"/>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8" w:lineRule="exact"/>
        <w:rPr>
          <w:sz w:val="20"/>
          <w:szCs w:val="20"/>
          <w:color w:val="auto"/>
        </w:rPr>
      </w:pPr>
    </w:p>
    <w:p>
      <w:pPr>
        <w:ind w:left="40" w:right="439" w:firstLine="495"/>
        <w:spacing w:after="0" w:line="248" w:lineRule="auto"/>
        <w:rPr>
          <w:sz w:val="20"/>
          <w:szCs w:val="20"/>
          <w:color w:val="auto"/>
        </w:rPr>
      </w:pPr>
      <w:r>
        <w:rPr>
          <w:rFonts w:ascii="Arial" w:cs="Arial" w:eastAsia="Arial" w:hAnsi="Arial"/>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undersigned has executed this Certification as of November 5, 2021.</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9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J. Brewer</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i w:val="1"/>
          <w:iCs w:val="1"/>
          <w:color w:val="auto"/>
        </w:rPr>
        <w:t>Executive Vice President and Chief Financial Officer of</w:t>
      </w:r>
    </w:p>
    <w:p>
      <w:pPr>
        <w:ind w:left="4500"/>
        <w:spacing w:after="0"/>
        <w:rPr>
          <w:sz w:val="20"/>
          <w:szCs w:val="20"/>
          <w:color w:val="auto"/>
        </w:rPr>
      </w:pPr>
      <w:r>
        <w:rPr>
          <w:rFonts w:ascii="Arial" w:cs="Arial" w:eastAsia="Arial" w:hAnsi="Arial"/>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
      <w:numFmt w:val="bullet"/>
      <w:start w:val="1"/>
    </w:lvl>
    <w:lvl w:ilvl="1">
      <w:lvlJc w:val="left"/>
      <w:lvlText w:val="%2."/>
      <w:numFmt w:val="upp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04"/>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31" Type="http://schemas.openxmlformats.org/officeDocument/2006/relationships/hyperlink" Target="https://www.sec.gov/ix?doc=/Archives/edgar/data/1113232/000155837021001972/acls-20201231x10k.htm" TargetMode="External"/><Relationship Id="rId43" Type="http://schemas.openxmlformats.org/officeDocument/2006/relationships/hyperlink" Target="http://www.sec.gov/Archives/edgar/data/1113232/000155837017008078/acls-20170930ex31a83feb6.htm" TargetMode="External"/><Relationship Id="rId44" Type="http://schemas.openxmlformats.org/officeDocument/2006/relationships/hyperlink" Target="http://www.sec.gov/Archives/edgar/data/1113232/000110465914040101/a14-8383_4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2021-11-05T13:08:41Z</dcterms:created>
  <dcterms:modified xsi:type="dcterms:W3CDTF">2021-11-05T13:08:41Z</dcterms:modified>
</cp:coreProperties>
</file>