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8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8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34-1818596</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30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right="40" w:firstLine="23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3" w:lineRule="exact"/>
        <w:rPr>
          <w:sz w:val="24"/>
          <w:szCs w:val="24"/>
          <w:color w:val="auto"/>
        </w:rPr>
      </w:pPr>
    </w:p>
    <w:p>
      <w:pPr>
        <w:jc w:val="both"/>
        <w:ind w:right="18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39"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880" w:space="720"/>
            <w:col w:w="1960" w:space="100"/>
            <w:col w:w="1580"/>
          </w:cols>
          <w:pgMar w:left="840" w:top="661" w:right="819" w:bottom="1440" w:gutter="0" w:footer="0" w:header="0"/>
          <w:type w:val="continuous"/>
        </w:sectPr>
      </w:pPr>
    </w:p>
    <w:p>
      <w:pPr>
        <w:ind w:right="220" w:firstLine="23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220" w:right="860" w:hanging="3"/>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2, 2022, there were 33,033,791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and six months ended June 30, 2022 and 2021</w:t>
            </w:r>
          </w:p>
        </w:tc>
        <w:tc>
          <w:tcPr>
            <w:tcW w:w="92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and six months ended June 30, 2022 and</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2021</w:t>
            </w: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as of June 30, 2022 and December 31, 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and six months ended June 30, 2022 and 2021</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six months ended June 30, 2022 and 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380" w:type="dxa"/>
            <w:vAlign w:val="bottom"/>
            <w:tcBorders>
              <w:top w:val="single" w:sz="8" w:color="0000EE"/>
            </w:tcBorders>
            <w:gridSpan w:val="4"/>
          </w:tcPr>
          <w:p>
            <w:pPr>
              <w:spacing w:after="0"/>
              <w:rPr>
                <w:sz w:val="19"/>
                <w:szCs w:val="19"/>
                <w:color w:val="auto"/>
              </w:rPr>
            </w:pPr>
          </w:p>
        </w:tc>
        <w:tc>
          <w:tcPr>
            <w:tcW w:w="158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Overview</w:t>
            </w:r>
          </w:p>
        </w:tc>
        <w:tc>
          <w:tcPr>
            <w:tcW w:w="120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213,926</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410,458</w:t>
            </w: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424,772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280,050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235,824</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33,562</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34,311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33,770</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34,473</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7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7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$ 44,189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$ 18,906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$ 85,804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$ 35,386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gain and other adjustments from pension plan,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$ 41,512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$ 19,492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$ 81,950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$ 34,620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1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811,736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ind w:left="13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33,094 shares issued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June 30, 2022; 33,240 shares issued and outstanding at December 31, 2021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538,959</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811,736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7"/>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10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570,102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(91,969)</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481,602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2021</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under Employee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June 30, 2021</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561,680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7"/>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gridSpan w:val="7"/>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559,883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1,765</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538,959</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41,614</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(14,873)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559,273</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44,189</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shares under Employee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9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(8,626)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June 30, 2022</w:t>
            </w: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549,401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39,582</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586,927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19"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jc w:val="both"/>
        <w:ind w:right="59" w:firstLine="648"/>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2021 has been derived from the audited consolidated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Stock-Based Compensation</w:t>
      </w:r>
    </w:p>
    <w:p>
      <w:pPr>
        <w:spacing w:after="0" w:line="162" w:lineRule="exact"/>
        <w:rPr>
          <w:sz w:val="20"/>
          <w:szCs w:val="20"/>
          <w:color w:val="auto"/>
        </w:rPr>
      </w:pPr>
    </w:p>
    <w:p>
      <w:pPr>
        <w:ind w:right="139" w:firstLine="648"/>
        <w:spacing w:after="0" w:line="261"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spacing w:after="0" w:line="180" w:lineRule="exact"/>
        <w:rPr>
          <w:sz w:val="20"/>
          <w:szCs w:val="20"/>
          <w:color w:val="auto"/>
        </w:rPr>
      </w:pPr>
    </w:p>
    <w:p>
      <w:pPr>
        <w:ind w:right="419" w:firstLine="648"/>
        <w:spacing w:after="0" w:line="282" w:lineRule="auto"/>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Annual Report on Form 10-K for the year ended December 31, 2021.</w:t>
      </w:r>
    </w:p>
    <w:p>
      <w:pPr>
        <w:spacing w:after="0" w:line="162" w:lineRule="exact"/>
        <w:rPr>
          <w:sz w:val="20"/>
          <w:szCs w:val="20"/>
          <w:color w:val="auto"/>
        </w:rPr>
      </w:pPr>
    </w:p>
    <w:p>
      <w:pPr>
        <w:ind w:right="79" w:firstLine="648"/>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$3.5 million and $3.4 million for the three-month periods ended June 30, 2022 and 2021, respectively. We recognized stock-based compensation expense of $6.2 million and $5.8 million for the six-month periods ended June 30, 2022 and 2021, respectively. These amounts include compensation expense related to RSUs, non-qualified stock options and stock to be issued to participants under the 2020 Employee Stock Purchase Plan (the “2020 ESPP”).</w:t>
      </w:r>
    </w:p>
    <w:p>
      <w:pPr>
        <w:spacing w:after="0" w:line="183" w:lineRule="exact"/>
        <w:rPr>
          <w:sz w:val="20"/>
          <w:szCs w:val="20"/>
          <w:color w:val="auto"/>
        </w:rPr>
      </w:pPr>
    </w:p>
    <w:p>
      <w:pPr>
        <w:ind w:right="139" w:firstLine="648"/>
        <w:spacing w:after="0" w:line="261" w:lineRule="auto"/>
        <w:rPr>
          <w:sz w:val="20"/>
          <w:szCs w:val="20"/>
          <w:color w:val="auto"/>
        </w:rPr>
      </w:pPr>
      <w:r>
        <w:rPr>
          <w:rFonts w:ascii="Times New Roman" w:cs="Times New Roman" w:eastAsia="Times New Roman" w:hAnsi="Times New Roman"/>
          <w:sz w:val="18"/>
          <w:szCs w:val="18"/>
          <w:color w:val="auto"/>
        </w:rPr>
        <w:t>In the three-month periods ended June 30, 2022 and 2021, we issued 0.2 million and 0.3 million shares of common stock, respectively, upon stock option exercises, purchases under the 2020 ESPP and vesting of RSUs. In the three-month periods ended June 30, 2022 and 2021, we received proceeds of $1.0 million and $1.1 million, respectively, in connection with the exercise of stock options and purchases under the 2020 ESPP.</w:t>
      </w:r>
    </w:p>
    <w:p>
      <w:pPr>
        <w:spacing w:after="0" w:line="180" w:lineRule="exact"/>
        <w:rPr>
          <w:sz w:val="20"/>
          <w:szCs w:val="20"/>
          <w:color w:val="auto"/>
        </w:rPr>
      </w:pPr>
    </w:p>
    <w:p>
      <w:pPr>
        <w:ind w:right="299" w:firstLine="648"/>
        <w:spacing w:after="0" w:line="261" w:lineRule="auto"/>
        <w:rPr>
          <w:sz w:val="20"/>
          <w:szCs w:val="20"/>
          <w:color w:val="auto"/>
        </w:rPr>
      </w:pPr>
      <w:r>
        <w:rPr>
          <w:rFonts w:ascii="Times New Roman" w:cs="Times New Roman" w:eastAsia="Times New Roman" w:hAnsi="Times New Roman"/>
          <w:sz w:val="18"/>
          <w:szCs w:val="18"/>
          <w:color w:val="auto"/>
        </w:rPr>
        <w:t>In the six-month periods ended June 30, 2022 and 2021, we issued 0.4 million and 0.7 million shares of common stock, respectively, upon stock option exercises, purchases under the 2020 ESPP and vesting of RSUs. In the six-month periods ended June 30, 2022 and 2021, we received proceeds of $1.5 million and $3.6 million, respectively, in connection with the exercise of stock options and purchases under the 2020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229" w:lineRule="exact"/>
        <w:rPr>
          <w:sz w:val="20"/>
          <w:szCs w:val="20"/>
          <w:color w:val="auto"/>
        </w:rPr>
      </w:pPr>
    </w:p>
    <w:p>
      <w:pPr>
        <w:ind w:right="139" w:firstLine="648"/>
        <w:spacing w:after="0" w:line="261" w:lineRule="auto"/>
        <w:rPr>
          <w:sz w:val="20"/>
          <w:szCs w:val="20"/>
          <w:color w:val="auto"/>
        </w:rPr>
      </w:pPr>
      <w:r>
        <w:rPr>
          <w:rFonts w:ascii="Times New Roman" w:cs="Times New Roman" w:eastAsia="Times New Roman" w:hAnsi="Times New Roman"/>
          <w:sz w:val="18"/>
          <w:szCs w:val="18"/>
          <w:color w:val="auto"/>
        </w:rPr>
        <w:t>We have operating leases for office space, warehouse space, a manufacturing plant, computer and office equipment as well as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w:t>
      </w:r>
    </w:p>
    <w:p>
      <w:pPr>
        <w:sectPr>
          <w:pgSz w:w="11900" w:h="16838" w:orient="portrait"/>
          <w:cols w:equalWidth="0" w:num="1">
            <w:col w:w="9079"/>
          </w:cols>
          <w:pgMar w:left="1380" w:top="513" w:right="1440" w:bottom="1440" w:gutter="0" w:footer="0" w:header="0"/>
        </w:sect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property, plant or equipment over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one to five years. The exercise of lease renewal options is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assets *</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shd w:val="clear" w:color="auto" w:fill="CCEEFF"/>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vMerge w:val="continue"/>
            <w:shd w:val="clear" w:color="auto" w:fill="CCEEFF"/>
          </w:tcPr>
          <w:p>
            <w:pPr>
              <w:spacing w:after="0"/>
              <w:rPr>
                <w:sz w:val="14"/>
                <w:szCs w:val="14"/>
                <w:color w:val="auto"/>
              </w:rPr>
            </w:pP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57,706</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$49.2 million and includes $0.6 million of prepaid financing costs as of June 30, 2022. Finance lease assets are recorded net of accumulated depreciation of $48.6 million and includes $0.7 million of prepaid financing costs as of December 31, 2021.</w:t>
      </w:r>
    </w:p>
    <w:p>
      <w:pPr>
        <w:spacing w:after="0" w:line="11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All of our operating lease office locations support selling and servicing functions. Our Axcelis Asia Operations Center facility in South Korea brings production capability closer to our Asia-based customers. Operating lease expense and depreciation and interest expense relating to our finance lease obligation are recognized within our consolidated statement of operations for the three and six months ended June 30, 2022 and 2021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gridSpan w:val="2"/>
            <w:vMerge w:val="continue"/>
          </w:tcPr>
          <w:p>
            <w:pPr>
              <w:spacing w:after="0"/>
              <w:rPr>
                <w:sz w:val="17"/>
                <w:szCs w:val="17"/>
                <w:color w:val="auto"/>
              </w:rPr>
            </w:pPr>
          </w:p>
        </w:tc>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2700" w:type="dxa"/>
            <w:vAlign w:val="bottom"/>
            <w:shd w:val="clear" w:color="auto" w:fill="CCEEFF"/>
          </w:tcPr>
          <w:p>
            <w:pPr>
              <w:ind w:left="820"/>
              <w:spacing w:after="0" w:line="126" w:lineRule="exact"/>
              <w:rPr>
                <w:sz w:val="20"/>
                <w:szCs w:val="20"/>
                <w:color w:val="auto"/>
              </w:rPr>
            </w:pPr>
            <w:r>
              <w:rPr>
                <w:rFonts w:ascii="Times New Roman" w:cs="Times New Roman" w:eastAsia="Times New Roman" w:hAnsi="Times New Roman"/>
                <w:sz w:val="14"/>
                <w:szCs w:val="14"/>
                <w:color w:val="auto"/>
              </w:rPr>
              <w:t>Cost of revenue, R&amp;D, Sales</w:t>
            </w:r>
          </w:p>
        </w:tc>
        <w:tc>
          <w:tcPr>
            <w:tcW w:w="4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vMerge w:val="continue"/>
            <w:shd w:val="clear" w:color="auto" w:fill="CCEEFF"/>
          </w:tcPr>
          <w:p>
            <w:pPr>
              <w:spacing w:after="0"/>
              <w:rPr>
                <w:sz w:val="14"/>
                <w:szCs w:val="14"/>
                <w:color w:val="auto"/>
              </w:rPr>
            </w:pP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and marketing and G&amp;A</w:t>
            </w:r>
          </w:p>
        </w:tc>
        <w:tc>
          <w:tcPr>
            <w:tcW w:w="4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0" w:firstLine="8"/>
        <w:spacing w:after="0" w:line="24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and general and administrative expense also includes short-term lease and variable lease costs of approximately $0.6 million and $1.0 million for the three and six months ended June 30, 2022, respectively, and includes short-term and variable lease costs of approximately $0.4 million and $0.9 million for the three and six months ended June 30, 2021, respectively.</w:t>
      </w:r>
    </w:p>
    <w:p>
      <w:pPr>
        <w:spacing w:after="0" w:line="18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ten years. The tables below reflect the minimum cash outflow regarding our current lease obligations as well as the weighted-average remaining lease term and weighted-average discount rates used in our calculation of our lease obligations and right-of-use assets as of June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(588)</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(48,679)</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26"/>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six months ending June 30, 2022 and 2021, respectively: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3,955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6"/>
                <w:szCs w:val="16"/>
                <w:color w:val="auto"/>
              </w:rPr>
            </w:pPr>
          </w:p>
        </w:tc>
      </w:tr>
      <w:tr>
        <w:trPr>
          <w:trHeight w:val="199"/>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317,152</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181,129</w:t>
            </w:r>
          </w:p>
        </w:tc>
      </w:tr>
      <w:tr>
        <w:trPr>
          <w:trHeight w:val="203"/>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107,620</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98,921</w:t>
            </w:r>
          </w:p>
        </w:tc>
      </w:tr>
      <w:tr>
        <w:trPr>
          <w:trHeight w:val="19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424,772</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280,050</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w:t>
            </w: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19,712</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168,705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220,033</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40,305</w:t>
            </w: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221,177</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147,274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424,772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280,050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74,840</w:t>
            </w: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22,142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23,058</w:t>
            </w: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21,893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30,117</w:t>
            </w: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1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(17,657)</w:t>
            </w: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7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71,549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35,518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71,549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35,518</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system transactions have payment terms of 90% due upon shipment of the system and 10% due upon acceptance. Aftermarket transaction payment terms usually provide that payment is due either within 30 or 60 days after the service is provided or parts delivered.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 and Allowances for Credit Losses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 an estimate of expected losses over the remaining contractual life of our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our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our customers’ ability to pay. These factors may include the customer’s financial condition, past payment experience, and credit bureau report, as well as the value of the underlying collateral.</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three and six months ended June 30,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8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5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55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196"/>
        </w:trPr>
        <w:tc>
          <w:tcPr>
            <w:tcW w:w="554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5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Charge-offs</w:t>
            </w: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Recoveries</w:t>
            </w:r>
          </w:p>
        </w:tc>
        <w:tc>
          <w:tcPr>
            <w:tcW w:w="5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Computation of Net Earnings per Share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20" w:type="dxa"/>
            <w:vAlign w:val="bottom"/>
            <w:gridSpan w:val="10"/>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18,906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35,386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Weighted average common shares outstanding used in computing basic income per</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options and RSUs</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common shares used in computing diluted net income per share</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34,311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34,473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Diluted weighted average common shares outstanding does not include 15,796 and 1,800 common equivalent shares issuable with respect to outstanding equity awards for the three-month periods ended June 30, 2022 and 2021, respectively, or 8,255 and 1,352 common equivalent shares issuable with respect to outstanding equity awards for the six-month periods ended June 30, 2022 and 2021, respectively, as their effect would have been anti-dilutive.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(Loss) Income</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income, net of tax, by component, for the six months ended June 30,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2022</w:t>
            </w: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Cash, cash equivalents and restricted cash</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29"/>
        </w:trPr>
        <w:tc>
          <w:tcPr>
            <w:tcW w:w="5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294,923</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287,920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had $0.8 million in restricted cash representing the total of (i) cash collateral for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letter of credit relating to workers’ compensation insurance and (ii) a $0.1 million deposit relating to customs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4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149,985</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133,784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43,164</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1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26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213,063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194,984</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(end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assets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$ 255,222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255,222</w:t>
            </w:r>
          </w:p>
        </w:tc>
        <w:tc>
          <w:tcPr>
            <w:tcW w:w="100" w:type="dxa"/>
            <w:vAlign w:val="bottom"/>
            <w:shd w:val="clear" w:color="auto" w:fill="CCEEFF"/>
          </w:tcPr>
          <w:p>
            <w:pPr>
              <w:spacing w:after="0"/>
              <w:rPr>
                <w:sz w:val="20"/>
                <w:szCs w:val="20"/>
                <w:color w:val="auto"/>
              </w:rPr>
            </w:pPr>
          </w:p>
        </w:tc>
      </w:tr>
      <w:tr>
        <w:trPr>
          <w:trHeight w:val="35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$ 261,090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261,090</w:t>
            </w:r>
          </w:p>
        </w:tc>
        <w:tc>
          <w:tcPr>
            <w:tcW w:w="10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Financing Arrangements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$46.9 million as of June 30, 2022.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June 30, 2022,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$4.0 million for the three months ended June 30, 2022, compared to $3.8 million for the three months ended June 30, 2021. The $0.2 million increase was primarily due to a $25.4 million increase in pretax income offset by the Foreign Derived Intangible Income (“FDII”) deduction on export sales. Income tax expense was $8.3 million during the six months ended June 30, 2022, compared with $5.6 million for the six months ended June 30, 2021.</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59"/>
        <w:spacing w:after="0" w:line="282" w:lineRule="auto"/>
        <w:rPr>
          <w:sz w:val="20"/>
          <w:szCs w:val="20"/>
          <w:color w:val="auto"/>
        </w:rPr>
      </w:pPr>
      <w:r>
        <w:rPr>
          <w:rFonts w:ascii="Times New Roman" w:cs="Times New Roman" w:eastAsia="Times New Roman" w:hAnsi="Times New Roman"/>
          <w:sz w:val="18"/>
          <w:szCs w:val="18"/>
          <w:color w:val="auto"/>
        </w:rPr>
        <w:t>The $2.7 million increase was primarily due to a $53.1 million increase in pretax income offset by the FDII deduction on export sales.</w:t>
      </w:r>
    </w:p>
    <w:p>
      <w:pPr>
        <w:spacing w:after="0" w:line="162" w:lineRule="exact"/>
        <w:rPr>
          <w:sz w:val="20"/>
          <w:szCs w:val="20"/>
          <w:color w:val="auto"/>
        </w:rPr>
      </w:pPr>
    </w:p>
    <w:p>
      <w:pPr>
        <w:ind w:right="13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2022 was less than the U.S. statutory rate of 21% due to forecasted FDII, Federal research and development tax credits and a favorable discrete item related to equity compensation that reduces the annual tax rate. The effective tax rate for the three and six months ended June 30, 2021 was less than the U.S. statutory rate of 21% due to favorable discrete items related to equity compensation in the period and Federal research and development tax credits that reduce the annual tax rate.</w:t>
      </w:r>
    </w:p>
    <w:p>
      <w:pPr>
        <w:spacing w:after="0" w:line="183"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$33.7 million and $35.5 million as of June 30, 2022 and December 31, 2021, respectively, reflect the net tax effect of temporary differences between the carrying amount of assets and liabilities for financial reporting purposes and the amounts used for income tax purposes, as well as the tax effect of carryforwards. We have recorded a $8.9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Concentration of Risk</w:t>
      </w:r>
    </w:p>
    <w:p>
      <w:pPr>
        <w:spacing w:after="0" w:line="229" w:lineRule="exact"/>
        <w:rPr>
          <w:sz w:val="20"/>
          <w:szCs w:val="20"/>
          <w:color w:val="auto"/>
        </w:rPr>
      </w:pPr>
    </w:p>
    <w:p>
      <w:pPr>
        <w:ind w:right="399" w:firstLine="648"/>
        <w:spacing w:after="0" w:line="312" w:lineRule="auto"/>
        <w:rPr>
          <w:sz w:val="20"/>
          <w:szCs w:val="20"/>
          <w:color w:val="auto"/>
        </w:rPr>
      </w:pPr>
      <w:r>
        <w:rPr>
          <w:rFonts w:ascii="Times New Roman" w:cs="Times New Roman" w:eastAsia="Times New Roman" w:hAnsi="Times New Roman"/>
          <w:sz w:val="17"/>
          <w:szCs w:val="17"/>
          <w:color w:val="auto"/>
        </w:rPr>
        <w:t>For the three months ended June 30, 2022, two customers accounted for 19.3% and 11.6% of total revenue, respectively. For the three months ended June 30, 2021, two customers accounted for 19.7% and 10.2% of total revenue.</w:t>
      </w:r>
    </w:p>
    <w:p>
      <w:pPr>
        <w:spacing w:after="0" w:line="140"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three customers accounted for 15.3%, 10.7% and 10.3% of total revenue, respectively. For the six months ended June 30, 2021, one customer accounted for 24.4% of total revenue.</w:t>
      </w:r>
    </w:p>
    <w:p>
      <w:pPr>
        <w:spacing w:after="0" w:line="162"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At June 30, 2022, three customers accounted for 30.5%, 13.2% and 10.6% of accounts receivable, respectively. At December 31, 2021, two customers accounted for 29.1% and 13.6% of accounts receivable,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 Repurchase</w:t>
      </w:r>
    </w:p>
    <w:p>
      <w:pPr>
        <w:spacing w:after="0" w:line="229" w:lineRule="exact"/>
        <w:rPr>
          <w:sz w:val="20"/>
          <w:szCs w:val="20"/>
          <w:color w:val="auto"/>
        </w:rPr>
      </w:pPr>
    </w:p>
    <w:p>
      <w:pPr>
        <w:ind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2022, our Board of Directors approved stock repurchases of up to $100 million of our common stock, beginning in March 2022. During the six months ended June 30, 2022, we purchased 0.5 million shares at an average cost of $65.19 per share. The timing and actual number of shares repurchased under this program will depend on various factors including price, corporate and regulatory requirements, alternative investment opportunities and other market conditions.</w:t>
      </w:r>
    </w:p>
    <w:p>
      <w:pPr>
        <w:spacing w:after="0" w:line="180" w:lineRule="exact"/>
        <w:rPr>
          <w:sz w:val="20"/>
          <w:szCs w:val="20"/>
          <w:color w:val="auto"/>
        </w:rPr>
      </w:pPr>
    </w:p>
    <w:p>
      <w:pPr>
        <w:ind w:right="99" w:firstLine="648"/>
        <w:spacing w:after="0" w:line="258" w:lineRule="auto"/>
        <w:rPr>
          <w:sz w:val="20"/>
          <w:szCs w:val="20"/>
          <w:color w:val="auto"/>
        </w:rPr>
      </w:pPr>
      <w:r>
        <w:rPr>
          <w:rFonts w:ascii="Times New Roman" w:cs="Times New Roman" w:eastAsia="Times New Roman" w:hAnsi="Times New Roman"/>
          <w:sz w:val="18"/>
          <w:szCs w:val="18"/>
          <w:color w:val="auto"/>
        </w:rPr>
        <w:t>Shares repurchased by us are accounted for when the transaction is settled. Shares repurchased are returned to the status of authorized but unissued shares. Accordingly, the repurchases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62" w:lineRule="exact"/>
        <w:rPr>
          <w:sz w:val="20"/>
          <w:szCs w:val="20"/>
          <w:color w:val="auto"/>
        </w:rPr>
      </w:pPr>
    </w:p>
    <w:p>
      <w:pPr>
        <w:ind w:right="119"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19"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ectPr>
          <w:pgSz w:w="11900" w:h="16838" w:orient="portrait"/>
          <w:cols w:equalWidth="0" w:num="1">
            <w:col w:w="9079"/>
          </w:cols>
          <w:pgMar w:left="1380" w:top="513" w:right="1440" w:bottom="1440" w:gutter="0" w:footer="0" w:header="0"/>
        </w:sectPr>
      </w:pP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8">
        <w:r>
          <w:rPr>
            <w:rFonts w:ascii="Times New Roman" w:cs="Times New Roman" w:eastAsia="Times New Roman" w:hAnsi="Times New Roman"/>
            <w:sz w:val="18"/>
            <w:szCs w:val="18"/>
            <w:i w:val="1"/>
            <w:iCs w:val="1"/>
            <w:color w:val="auto"/>
          </w:rPr>
          <w:t xml:space="preserve">Resources" below and under “Risk Factors” in Part I, Item 1A to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28">
        <w:r>
          <w:rPr>
            <w:rFonts w:ascii="Times New Roman" w:cs="Times New Roman" w:eastAsia="Times New Roman" w:hAnsi="Times New Roman"/>
            <w:sz w:val="18"/>
            <w:szCs w:val="18"/>
            <w:i w:val="1"/>
            <w:iCs w:val="1"/>
            <w:u w:val="single" w:color="auto"/>
            <w:color w:val="0000EE"/>
          </w:rPr>
          <w:t>December 31, 2021</w:t>
        </w:r>
        <w:r>
          <w:rPr>
            <w:rFonts w:ascii="Times New Roman" w:cs="Times New Roman" w:eastAsia="Times New Roman" w:hAnsi="Times New Roman"/>
            <w:sz w:val="18"/>
            <w:szCs w:val="18"/>
            <w:i w:val="1"/>
            <w:iCs w:val="1"/>
            <w:color w:val="000000"/>
          </w:rPr>
          <w:t xml:space="preserve">, which discussion is incorporated herein by reference. Readers are cautioned not to place undue </w:t>
        </w:r>
      </w:hyperlink>
      <w:r>
        <w:rPr>
          <w:rFonts w:ascii="Times New Roman" w:cs="Times New Roman" w:eastAsia="Times New Roman" w:hAnsi="Times New Roman"/>
          <w:sz w:val="18"/>
          <w:szCs w:val="18"/>
          <w:i w:val="1"/>
          <w:iCs w:val="1"/>
          <w:color w:val="0000EE"/>
        </w:rPr>
        <w:t xml:space="preserve">reliance </w:t>
      </w:r>
      <w:r>
        <w:rPr>
          <w:rFonts w:ascii="Times New Roman" w:cs="Times New Roman" w:eastAsia="Times New Roman" w:hAnsi="Times New Roman"/>
          <w:sz w:val="18"/>
          <w:szCs w:val="18"/>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62.9% of total revenue for the six months ended June 30, 2022.</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Axcelis and the rest of our industry, the first half of 2022 has been a continuation of the unprecedented demand for chips and the capital equipment required to produce them that characterized 2021. At the same time, supply chain challenges also continued during the first half of 2022. Axcelis’ strong results in the first six months of 2022, demonstrate our ability to meet demand and manage supply chain difficulties. The growing mature process technology market continues to be an area of strength for Axcelis, with 82% of first half 2022 shipments going to mature foundry/logic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Annual Report on Form 10-K for the year ended December 31, 2021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2021.</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40" w:type="dxa"/>
            <w:vAlign w:val="bottom"/>
            <w:gridSpan w:val="5"/>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5"/>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06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18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95.2 %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96.6 %</w:t>
            </w:r>
          </w:p>
        </w:tc>
        <w:tc>
          <w:tcPr>
            <w:tcW w:w="180" w:type="dxa"/>
            <w:vAlign w:val="bottom"/>
          </w:tcPr>
          <w:p>
            <w:pPr>
              <w:spacing w:after="0"/>
              <w:rPr>
                <w:sz w:val="18"/>
                <w:szCs w:val="18"/>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95.3 %</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8"/>
                <w:szCs w:val="18"/>
                <w:color w:val="auto"/>
              </w:rPr>
            </w:pPr>
          </w:p>
        </w:tc>
        <w:tc>
          <w:tcPr>
            <w:tcW w:w="9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(0.9)</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18"/>
                <w:szCs w:val="18"/>
                <w:color w:val="auto"/>
              </w:rPr>
            </w:pPr>
          </w:p>
        </w:tc>
        <w:tc>
          <w:tcPr>
            <w:tcW w:w="9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(0.4)</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800" w:type="dxa"/>
            <w:vAlign w:val="bottom"/>
            <w:gridSpan w:val="3"/>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70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$ 213,926</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$ 140,156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73,770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52.6 % </w:t>
            </w:r>
            <w:r>
              <w:rPr>
                <w:rFonts w:ascii="Times New Roman" w:cs="Times New Roman" w:eastAsia="Times New Roman" w:hAnsi="Times New Roman"/>
                <w:sz w:val="16"/>
                <w:szCs w:val="16"/>
                <w:color w:val="auto"/>
              </w:rPr>
              <w:t>$ 410,458</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$ 266,765</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$ 143,693</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53.9 %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96.7 %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95.2 %</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96.6 %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95.3 %</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1.9 %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13,285</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7.7 %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3.3 %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4.8 %</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3.4 %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4.7 %</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$ 221,177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$ 147,274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$ 73,903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50.2 %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$ 424,772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$ 280,050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$ 144,722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51.7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$213.9 million, or 96.7% of revenue during the three months ended June 30, 2022, compared with $140.2 million, or 95.2%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three months ended June 30, 2021. The $73.7 million increase in product revenue for the three-month</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period ending June 30, 2022, in comparison to the same period in 2021, was primarily driven by an increase in the number of systems sold.</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 portion of our revenue from systems sales is deferred until installation and other services related to future performance obligations are performed. The total amount of deferred revenue at June 30, 2022 and December 31, 2021 was $71.5 million and $68.4 million, respectively. The increase in deferred revenue was primarily due to the number of systems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$7.3 million, or 3.3% of revenue for the three months ended June 30, 2022, compared with $7.1 million, or 4.8% of revenue for the three months ended June 30, 2021.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Product revenue was $410.5 million, or 96.6% of revenue during the six months ended June 30, 2022, compared with $266.8 million, or 95.3% of revenue for the six months ended June 30, 2021. The $143.7 million increase in product revenue for the six-month period ending June 30, 2022, in comparison to the same period in 2021, was primarily driven by an increase in the number of systems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Services revenue was $14.3 million, or 3.4% of revenue for the six months ended June 30, 2022, compared with $13.3 million, or 4.7% of revenue for the six months ended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20" w:hanging="328"/>
        <w:spacing w:after="0" w:line="250" w:lineRule="auto"/>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20" w:hanging="316"/>
        <w:spacing w:after="0" w:line="26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Included in total revenue of $221.2 million during the three months ended June 30, 2022 is revenue from our Aftermarket business of $55.8 million, compared with $47.1 million of aftermarket revenue for the three months ended June 30, 2021.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$165.4 million of revenue for the three months ended June 30, 2022 was from system sales, compared with $100.2 million of systems revenue for the three months ended June 30, 2021. Systems revenue fluctuates from period to period based on our customers’ capital spending.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Included in total revenue of $424.8 million during the six months ended June 30, 2022 is revenue from our Aftermarket business of $107.6 million, compared with $98.9 million of aftermarket revenue for the six months ended June 30, 2021. The remaining $317.2 million of revenue for the six months ended June 30, 2022 was from system sales, compared with $181.2 million of systems revenue for the six months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6"/>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50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80" w:type="dxa"/>
            <w:vAlign w:val="bottom"/>
          </w:tcPr>
          <w:p>
            <w:pPr>
              <w:spacing w:after="0"/>
              <w:rPr>
                <w:sz w:val="13"/>
                <w:szCs w:val="13"/>
                <w:color w:val="auto"/>
              </w:rPr>
            </w:pPr>
          </w:p>
        </w:tc>
        <w:tc>
          <w:tcPr>
            <w:tcW w:w="1740" w:type="dxa"/>
            <w:vAlign w:val="bottom"/>
            <w:gridSpan w:val="6"/>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3"/>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ind w:right="22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4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98,172</w:t>
            </w:r>
          </w:p>
        </w:tc>
        <w:tc>
          <w:tcPr>
            <w:tcW w:w="180" w:type="dxa"/>
            <w:vAlign w:val="bottom"/>
          </w:tcPr>
          <w:p>
            <w:pPr>
              <w:spacing w:after="0"/>
              <w:rPr>
                <w:sz w:val="18"/>
                <w:szCs w:val="18"/>
                <w:color w:val="auto"/>
              </w:rPr>
            </w:pPr>
          </w:p>
        </w:tc>
        <w:tc>
          <w:tcPr>
            <w:tcW w:w="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$ 34,704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54.7 % </w:t>
            </w:r>
            <w:r>
              <w:rPr>
                <w:rFonts w:ascii="Times New Roman" w:cs="Times New Roman" w:eastAsia="Times New Roman" w:hAnsi="Times New Roman"/>
                <w:sz w:val="16"/>
                <w:szCs w:val="16"/>
                <w:color w:val="auto"/>
              </w:rPr>
              <w:t>$ 187,063</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$ 119,743</w:t>
            </w:r>
          </w:p>
        </w:tc>
        <w:tc>
          <w:tcPr>
            <w:tcW w:w="160" w:type="dxa"/>
            <w:vAlign w:val="bottom"/>
          </w:tcPr>
          <w:p>
            <w:pPr>
              <w:spacing w:after="0"/>
              <w:rPr>
                <w:sz w:val="18"/>
                <w:szCs w:val="18"/>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56.2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45.9 %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45.3 %</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45.6 %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44.9 %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84.8 %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167.0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13.9 %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13.2 %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5.3 %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$ 35,167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54.9 %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$ 188,948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$ 120,449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56.9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44.8</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43.4</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44.5</w:t>
            </w:r>
          </w:p>
        </w:tc>
        <w:tc>
          <w:tcPr>
            <w:tcW w:w="1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43.0</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product revenue was 45.9% for the three months ended June 30, 2022, compared to 45.3% for the three months ended June 30, 2021. The increase in gross margin resulted from improved margins on Purion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services revenue was 13.9% for the three months ended June 30, 2022, compared to 7.7% for the three months ended June 30, 2021. The increase in gross margin is attributable to changes in the mix of service contracts.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product revenue was 45.6% for the six months ended June 30, 2022, compared to 44.9% for the six months ended June 30, 2021. The increase in gross margin resulted from improved margins on Purion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services revenue was 13.2% for the six months ended June 30, 2022, compared to 5.3% for the six months ended June 30, 2021. The increase in gross margin is attributable to changes in the mix of service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80" w:type="dxa"/>
            <w:vAlign w:val="bottom"/>
            <w:gridSpan w:val="6"/>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40" w:type="dxa"/>
            <w:vAlign w:val="bottom"/>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180" w:type="dxa"/>
            <w:vAlign w:val="bottom"/>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12.7 </w:t>
            </w: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3,396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10.5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8.5 %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11.3 %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8.4 %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11.5 %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4.3 </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23,994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6.3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5.7 %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8.3 %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5.6 %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8.1 %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21.3 </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4,950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23.3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6.1 %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7.6 %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6.2 %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7.6 %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45,036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40,017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12.5 </w:t>
            </w: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85,878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76,102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9,776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12.8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20.3</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27.2</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20.2</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27.2</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Personnel costs are our largest expense, representing $27.4 million or 60.9% of our total operating expenses for the three months ended June 30, 2022, compared to $25.4 million or 63.5% of our total operating expenses for the three months ended June 30, 2021. Personnel costs were $51.6 million or 60.1% of our total operating expenses for the six months ended June 30, 2022, compared to $47.5 million or 62.4% of our total operating expenses for the six months ended June 30, 2021. The higher personnel costs for the three and six months ended June 30, 2022 are primarily due to increases in personnel-related expenses to support growth as well as an increase in incentive-based pay expense due to strong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6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4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268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8"/>
                <w:szCs w:val="18"/>
                <w:color w:val="auto"/>
              </w:rPr>
            </w:pPr>
          </w:p>
        </w:tc>
      </w:tr>
      <w:tr>
        <w:trPr>
          <w:trHeight w:val="128"/>
        </w:trPr>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$ 18,731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$ 16,623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$ 2,108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 xml:space="preserve">12.7 </w:t>
            </w: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35,704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32,308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10.5 </w:t>
            </w:r>
            <w:r>
              <w:rPr>
                <w:rFonts w:ascii="Times New Roman" w:cs="Times New Roman" w:eastAsia="Times New Roman" w:hAnsi="Times New Roman"/>
                <w:sz w:val="16"/>
                <w:szCs w:val="16"/>
                <w:color w:val="auto"/>
              </w:rPr>
              <w:t>%</w:t>
            </w:r>
          </w:p>
        </w:tc>
      </w:tr>
      <w:tr>
        <w:trPr>
          <w:trHeight w:val="212"/>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11.3 %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8.4 %</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11.5 %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$18.7 million during the three months ended June 30, 2022, an increase of $2.1 million, or 12.7%, compared with $16.6 million during the three months ended June 30, 2021. The increase is primarily due to higher personnel expenses including an increase in incentive-based pay expense as well as an increase in project materials and related services for ongoing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$35.7 million during the six months ended June 30, 2022, an increase of $3.4 million, or 10.5%, compared with $32.3 million during the six months ended June 30, 2021. The increase is primarily due to higher personnel expenses including an increase in incentive-based pay expense as well as an increase in project materials and related services for ongoing projects.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5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$ 12,703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$ 12,177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$ 526</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4.3 </w:t>
            </w:r>
            <w:r>
              <w:rPr>
                <w:rFonts w:ascii="Times New Roman" w:cs="Times New Roman" w:eastAsia="Times New Roman" w:hAnsi="Times New Roman"/>
                <w:sz w:val="16"/>
                <w:szCs w:val="16"/>
                <w:color w:val="auto"/>
              </w:rPr>
              <w:t>% $ 23,994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$ 22,564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6.3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5.7 %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8.3 %</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5.6 %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8.1 %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$12.7 million during the three months ended June 30, 2022, an increase of $0.5 million, or 4.3%, compared with $12.2 million during the three months ended June 30, 2021. The increase is primarily due to higher personnel expenses including an increase in incentive-based pay expense and freight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$24.0 million during the six months ended June 30, 2022, an increase of $1.4 million, or 6.3%, compared with $22.6 million during the three months ended June 30, 2021. The increase is primarily due to higher personnel expenses including an increase in incentive-based pay expense and freight expense.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5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$ 13,602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$ 11,217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$ 2,385</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21.3 </w:t>
            </w:r>
            <w:r>
              <w:rPr>
                <w:rFonts w:ascii="Times New Roman" w:cs="Times New Roman" w:eastAsia="Times New Roman" w:hAnsi="Times New Roman"/>
                <w:sz w:val="16"/>
                <w:szCs w:val="16"/>
                <w:color w:val="auto"/>
              </w:rPr>
              <w:t>% $ 26,180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$ 21,230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$ 4,950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23.3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6.1 %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7.6 %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6.2 %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7.6 %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$13.6 million during the three months ended June 30, 2022, an increase of $2.4 million, or 21.3%, compared with $11.2 million during the three months ended June 30, 2021. The increase is primarily due to an increase in personnel expenses and professional fees.</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22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$26.2 million during the six months ended June 30, 2022, an increase of $5.0 million, or 23.3%, compared with $21.2 million during the six months ended June 30, 2021. The increase is primarily due to an increase in personnel expenses and professional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80" w:type="dxa"/>
            <w:vAlign w:val="bottom"/>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5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0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(5,949)</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4"/>
              </w:rPr>
              <w:t>(1,249)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(4,700)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376.3 </w:t>
            </w:r>
            <w:r>
              <w:rPr>
                <w:rFonts w:ascii="Times New Roman" w:cs="Times New Roman" w:eastAsia="Times New Roman" w:hAnsi="Times New Roman"/>
                <w:sz w:val="16"/>
                <w:szCs w:val="16"/>
                <w:color w:val="auto"/>
              </w:rPr>
              <w:t>% $</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(8,990)</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(3,398)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(5,592)</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164.6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(2.7)%</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(2.2)%</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Other expense was $5.9 million for the three months ended June 30, 2022, compared with $1.2 million for the three months ended June 30, 2021. The increase in other expense was primarily due to an increase in foreign currency exchange losses. Other expense was $9.0 million for the six months ended June 30, 2022, compared with $3.4 million for the six months ended June 30, 2021. The increase in other expense was primarily due to an increase in foreign currency exchange losses.</w:t>
      </w:r>
    </w:p>
    <w:p>
      <w:pPr>
        <w:spacing w:after="0" w:line="16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six-month periods ended June 30, 2022 and 2021, we had no significant off-balance-sheet risk such as exchange contracts, option contracts or other hedging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00" w:type="dxa"/>
            <w:vAlign w:val="bottom"/>
            <w:gridSpan w:val="5"/>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800" w:type="dxa"/>
            <w:vAlign w:val="bottom"/>
            <w:gridSpan w:val="3"/>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73"/>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4,007</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3,842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i w:val="1"/>
                <w:iCs w:val="1"/>
                <w:color w:val="auto"/>
              </w:rPr>
              <w:t xml:space="preserve">4.3 </w:t>
            </w: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8,276</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5,563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48.8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1.8 %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i w:val="1"/>
                <w:i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2.0 </w:t>
            </w:r>
            <w:r>
              <w:rPr>
                <w:rFonts w:ascii="Times New Roman" w:cs="Times New Roman" w:eastAsia="Times New Roman" w:hAnsi="Times New Roman"/>
                <w:sz w:val="16"/>
                <w:szCs w:val="16"/>
                <w:i w:val="1"/>
                <w:iCs w:val="1"/>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$4.0 million for the three months ended June 30, 2022, compared to $3.8 million for the three months ended June 30, 2021. The $0.2 million increase was primarily due to a $25.4 million increase in pretax income offset by the FDII deduction on export sales. Income tax expense was $8.3 million for the six months ended June 30, 2022, compared to $5.6 million for the six months ended June 30, 2021. The $2.7 million increase was primarily due to a $53.1 million increase in pretax income offset by the FDII deduction on export sales.</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2022 was less than the U.S. statutory rate of 21% due to forecasted FDII deductions, Federal research and development tax credits and a favorable discrete item related to equity compensation that reduces the annual tax rate. The effective tax rate for the three and six months ended June 30, 2021 was less than the U.S. statutory rate of 21% due to favorable discrete items related to equity compensation in the period and Federal research and development tax credits that reduce the annual tax rate.</w:t>
      </w:r>
    </w:p>
    <w:p>
      <w:pPr>
        <w:spacing w:after="0" w:line="183" w:lineRule="exact"/>
        <w:rPr>
          <w:sz w:val="20"/>
          <w:szCs w:val="20"/>
          <w:color w:val="auto"/>
        </w:rPr>
      </w:pPr>
    </w:p>
    <w:p>
      <w:pPr>
        <w:ind w:right="380" w:firstLine="648"/>
        <w:spacing w:after="0" w:line="289" w:lineRule="auto"/>
        <w:rPr>
          <w:sz w:val="20"/>
          <w:szCs w:val="20"/>
          <w:color w:val="auto"/>
        </w:rPr>
      </w:pPr>
      <w:r>
        <w:rPr>
          <w:rFonts w:ascii="Times New Roman" w:cs="Times New Roman" w:eastAsia="Times New Roman" w:hAnsi="Times New Roman"/>
          <w:sz w:val="17"/>
          <w:szCs w:val="17"/>
          <w:color w:val="auto"/>
        </w:rPr>
        <w:t>The deferred income taxes of $33.7 million and $35.5 million as of June 30, 2022 and December 31, 2021, respectively, reflect the net tax effect of temporary differences between the carrying amount of assets and liabilities for financial reporting purposes and the amounts used for income tax purposes, as well as the tax effect of carryforwards. We</w:t>
      </w:r>
    </w:p>
    <w:p>
      <w:pPr>
        <w:sectPr>
          <w:pgSz w:w="11900" w:h="16838" w:orient="portrait"/>
          <w:cols w:equalWidth="0" w:num="1">
            <w:col w:w="9120"/>
          </w:cols>
          <w:pgMar w:left="1380" w:top="513" w:right="13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have recorded a $8.9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had $287.2 million in unrestricted cash and cash equivalents at June 30, 2022, in addition to $0.8 million in restricted cash. Management believes that maintaining a strong cash balance is necessary to fund ramps in our business which can require significant cash investment to meet sudden demand. Additionally, we are using cash in our stock repurchase program and are considering both organic and inorganic opportunities to drive future growth, for which cash resources will be necessary.</w:t>
      </w:r>
    </w:p>
    <w:p>
      <w:pPr>
        <w:spacing w:after="0" w:line="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Stock repurchases, as discussed below, also reduce our cash balances.</w:t>
      </w:r>
    </w:p>
    <w:p>
      <w:pPr>
        <w:spacing w:after="0" w:line="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we generated $29.2 million and $45.9 million, respectively, of cash related to operating activities.</w:t>
      </w:r>
    </w:p>
    <w:p>
      <w:pPr>
        <w:spacing w:after="0" w:line="6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for the six months ended June 30, 2022 and 2021 resulted in cash outflows of $3.4 million and $2.4 million, respectively, used for capital expenditures.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six months ended June 30, 2022 resulted in a cash usage of $40.7 million. During the first six months of 2022, $32.5 million in cash was used to repurchase our common stock and $9.2 million was used for payments to government tax authorities for income tax withholding on employee compensation arising from the vesting of RSUs, where units are withheld by the Company for taxes, as well as $0.5 million relating to the reduction of the liability under the finance lease of our corporate headquarters. These amounts were partially offset by $1.5 million of proceeds from the exercise of stock options and purchase of shares under our 2020 ESPP during the first six months of 2022. In comparison, financing activities for the six months ended June 30, 2021 resulted in cash usage of $28.3 million, $25.0 million of which related to the repurchase of our common stock and $6.5 million related to payments made to government tax authorities for income tax withholding on employee compensation arising from the vesting of RSUs, as well as $0.4 million relating to the reduction of our financing lease liability. These amounts were partially offset by $3.6 million of proceeds related to the exercise of stock options during the first six months of 2021.</w:t>
      </w:r>
    </w:p>
    <w:p>
      <w:pPr>
        <w:spacing w:after="0" w:line="192"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June 30, 2022,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June 30, 2022 are consistent with those discussed in Item 7, “Management’s Discussion and Analysis of Financial Condition and Results of Operations,” and Note 16 to the consolidated financial statements in our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have been no material changes to the quantitative information about market risk disclosed in Item 7A to our Annual Report on Form 10-K for the year ended December 31,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have been no material changes to the risk factors described in Item 1A to our Annual Report on Form 10-K for the year ended December 31, 2021.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June 30, 2022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April 1, 2022 through April 30, 2022</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8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$60.36</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77,284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May 1, 2022 through May 31, 2022</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8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$56.44</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73,885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June 1, 2022 through June 30, 2022</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8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$58.30</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67,502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1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0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gridSpan w:val="12"/>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Bylaws of the Company, as amended as of May 11, 2022. Incorporated by reference to Exhibit 3.2 of the</w:t>
              </w:r>
            </w:hyperlink>
          </w:p>
        </w:tc>
        <w:tc>
          <w:tcPr>
            <w:tcW w:w="400" w:type="dxa"/>
            <w:vAlign w:val="bottom"/>
            <w:gridSpan w:val="4"/>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Company’s Form 8-K filed with the Commission on May 11, 2022.</w:t>
              </w:r>
            </w:hyperlink>
          </w:p>
        </w:tc>
        <w:tc>
          <w:tcPr>
            <w:tcW w:w="3080" w:type="dxa"/>
            <w:vAlign w:val="bottom"/>
            <w:gridSpan w:val="9"/>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2022 Amended and Restated Employment Agreement between the Company and Mary G. Puma dated May</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24, 2022. Filed herewith.</w:t>
            </w:r>
          </w:p>
        </w:tc>
        <w:tc>
          <w:tcPr>
            <w:tcW w:w="18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dated August 4, 2022. Filed herewith.</w:t>
            </w:r>
          </w:p>
        </w:tc>
        <w:tc>
          <w:tcPr>
            <w:tcW w:w="200" w:type="dxa"/>
            <w:vAlign w:val="bottom"/>
            <w:gridSpan w:val="3"/>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dated August 4, 2022. Filed herewith.</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August 4, 2022. Filed herewith.</w:t>
            </w:r>
          </w:p>
        </w:tc>
        <w:tc>
          <w:tcPr>
            <w:tcW w:w="280" w:type="dxa"/>
            <w:vAlign w:val="bottom"/>
            <w:tcBorders>
              <w:top w:val="single" w:sz="8" w:color="0000EE"/>
            </w:tcBorders>
            <w:gridSpan w:val="2"/>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August 4, 2022. Filed herewith.</w:t>
            </w:r>
          </w:p>
        </w:tc>
        <w:tc>
          <w:tcPr>
            <w:tcW w:w="760" w:type="dxa"/>
            <w:vAlign w:val="bottom"/>
            <w:gridSpan w:val="7"/>
          </w:tcPr>
          <w:p>
            <w:pPr>
              <w:spacing w:after="0"/>
              <w:rPr>
                <w:sz w:val="17"/>
                <w:szCs w:val="17"/>
                <w:color w:val="auto"/>
              </w:rPr>
            </w:pPr>
          </w:p>
        </w:tc>
      </w:tr>
    </w:tbl>
    <w:p>
      <w:pPr>
        <w:spacing w:after="0" w:line="225" w:lineRule="exact"/>
        <w:rPr>
          <w:sz w:val="20"/>
          <w:szCs w:val="20"/>
          <w:color w:val="auto"/>
        </w:rPr>
      </w:pPr>
    </w:p>
    <w:p>
      <w:pPr>
        <w:ind w:left="1180" w:right="260" w:hanging="858"/>
        <w:spacing w:after="0" w:line="261"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Form 10-Q for the quarter ended June 30, 2022, formatted in inline eXtensible Business Reporting Language (iXBRL): (i) Consolidated Statements of Operations,</w:t>
      </w:r>
    </w:p>
    <w:p>
      <w:pPr>
        <w:ind w:left="1180" w:right="1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1180" w:hanging="858"/>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August 4, 2022</w:t>
      </w:r>
      <w:r>
        <w:rPr>
          <w:sz w:val="20"/>
          <w:szCs w:val="20"/>
          <w:color w:val="auto"/>
        </w:rPr>
        <w:tab/>
      </w:r>
      <w:r>
        <w:rPr>
          <w:rFonts w:ascii="Times New Roman" w:cs="Times New Roman" w:eastAsia="Times New Roman" w:hAnsi="Times New Roman"/>
          <w:sz w:val="18"/>
          <w:szCs w:val="18"/>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Kevin J. Brewer</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29" w:name="page30"/>
    <w:bookmarkEnd w:id="29"/>
    <w:p>
      <w:pPr>
        <w:jc w:val="right"/>
        <w:ind w:right="219"/>
        <w:spacing w:after="0"/>
        <w:rPr>
          <w:sz w:val="20"/>
          <w:szCs w:val="20"/>
          <w:color w:val="auto"/>
        </w:rPr>
      </w:pPr>
      <w:r>
        <w:rPr>
          <w:rFonts w:ascii="Calibri" w:cs="Calibri" w:eastAsia="Calibri" w:hAnsi="Calibri"/>
          <w:sz w:val="22"/>
          <w:szCs w:val="22"/>
          <w:color w:val="auto"/>
        </w:rPr>
        <w:t>Exhibit 10.1</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AXCELIS TECHNOLOGIES, INC.</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2022 AMENDED AND RESTATED EMPLOYMENT AGREEMENT</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Mary G. Puma</w:t>
      </w:r>
    </w:p>
    <w:p>
      <w:pPr>
        <w:spacing w:after="0" w:line="200" w:lineRule="exact"/>
        <w:rPr>
          <w:sz w:val="20"/>
          <w:szCs w:val="20"/>
          <w:color w:val="auto"/>
        </w:rPr>
      </w:pPr>
    </w:p>
    <w:p>
      <w:pPr>
        <w:spacing w:after="0" w:line="298" w:lineRule="exact"/>
        <w:rPr>
          <w:sz w:val="20"/>
          <w:szCs w:val="20"/>
          <w:color w:val="auto"/>
        </w:rPr>
      </w:pPr>
    </w:p>
    <w:p>
      <w:pPr>
        <w:ind w:left="200" w:right="259" w:firstLine="648"/>
        <w:spacing w:after="0"/>
        <w:rPr>
          <w:sz w:val="20"/>
          <w:szCs w:val="20"/>
          <w:color w:val="auto"/>
        </w:rPr>
      </w:pPr>
      <w:r>
        <w:rPr>
          <w:rFonts w:ascii="Calibri" w:cs="Calibri" w:eastAsia="Calibri" w:hAnsi="Calibri"/>
          <w:sz w:val="22"/>
          <w:szCs w:val="22"/>
          <w:color w:val="auto"/>
        </w:rPr>
        <w:t>The partes to this 2022 Amended and Restated Employment Agreement, dated as of May 24, 2022 (“Agreement”), are AXCELIS TECHNOLOGIES, INC., a Delaware, USA, corporaton (the “Company”), and MARY G. PUMA, an individual residing in the State of New Hampshire, USA (the “Executve”). The Company and the Executve are party to an Amended and Restated Employment Agreement efectve as of November 6, 2007 (“Current Agreement”). The partes desire to amend and restate the Current Agreement. This Agreement provides for the contnued employment of the Executve upon the terms and conditons of set forth herein. The executon and delivery of this Agreement have been duly authorized by the Board of Directors of the Company (the “Board”). This Agreement shall become efectve on May 24, 2022 (the “Efectve Date”).</w:t>
      </w:r>
    </w:p>
    <w:p>
      <w:pPr>
        <w:spacing w:after="0" w:line="230" w:lineRule="exact"/>
        <w:rPr>
          <w:sz w:val="20"/>
          <w:szCs w:val="20"/>
          <w:color w:val="auto"/>
        </w:rPr>
      </w:pPr>
    </w:p>
    <w:p>
      <w:pPr>
        <w:ind w:left="200" w:right="539" w:firstLine="648"/>
        <w:spacing w:after="0" w:line="235" w:lineRule="auto"/>
        <w:rPr>
          <w:sz w:val="20"/>
          <w:szCs w:val="20"/>
          <w:color w:val="auto"/>
        </w:rPr>
      </w:pPr>
      <w:r>
        <w:rPr>
          <w:rFonts w:ascii="Calibri" w:cs="Calibri" w:eastAsia="Calibri" w:hAnsi="Calibri"/>
          <w:sz w:val="22"/>
          <w:szCs w:val="22"/>
          <w:color w:val="auto"/>
        </w:rPr>
        <w:t>NOW, THEREFORE, the Company and the Executve, each intending to be legally bound, hereby mutually covenant and agree as follows:</w:t>
      </w:r>
    </w:p>
    <w:p>
      <w:pPr>
        <w:spacing w:after="0" w:line="220" w:lineRule="exact"/>
        <w:rPr>
          <w:sz w:val="20"/>
          <w:szCs w:val="20"/>
          <w:color w:val="auto"/>
        </w:rPr>
      </w:pPr>
    </w:p>
    <w:p>
      <w:pPr>
        <w:ind w:left="860" w:hanging="651"/>
        <w:spacing w:after="0"/>
        <w:tabs>
          <w:tab w:leader="none" w:pos="86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Employment and Term</w:t>
      </w:r>
      <w:r>
        <w:rPr>
          <w:rFonts w:ascii="Calibri" w:cs="Calibri" w:eastAsia="Calibri" w:hAnsi="Calibri"/>
          <w:sz w:val="22"/>
          <w:szCs w:val="22"/>
          <w:color w:val="auto"/>
        </w:rPr>
        <w:t>.</w:t>
      </w:r>
    </w:p>
    <w:p>
      <w:pPr>
        <w:spacing w:after="0" w:line="228" w:lineRule="exact"/>
        <w:rPr>
          <w:sz w:val="20"/>
          <w:szCs w:val="20"/>
          <w:color w:val="auto"/>
        </w:rPr>
      </w:pPr>
    </w:p>
    <w:p>
      <w:pPr>
        <w:ind w:left="200" w:right="519"/>
        <w:spacing w:after="0" w:line="253" w:lineRule="auto"/>
        <w:rPr>
          <w:sz w:val="20"/>
          <w:szCs w:val="20"/>
          <w:color w:val="auto"/>
        </w:rPr>
      </w:pPr>
      <w:r>
        <w:rPr>
          <w:rFonts w:ascii="Times New Roman" w:cs="Times New Roman" w:eastAsia="Times New Roman" w:hAnsi="Times New Roman"/>
          <w:sz w:val="20"/>
          <w:szCs w:val="20"/>
          <w:color w:val="auto"/>
        </w:rPr>
        <w:t xml:space="preserve">1.1. </w:t>
      </w:r>
      <w:r>
        <w:rPr>
          <w:rFonts w:ascii="Calibri" w:cs="Calibri" w:eastAsia="Calibri" w:hAnsi="Calibri"/>
          <w:sz w:val="21"/>
          <w:szCs w:val="21"/>
          <w:u w:val="single" w:color="auto"/>
          <w:color w:val="auto"/>
        </w:rPr>
        <w:t>Employment</w:t>
      </w:r>
      <w:r>
        <w:rPr>
          <w:rFonts w:ascii="Calibri" w:cs="Calibri" w:eastAsia="Calibri" w:hAnsi="Calibri"/>
          <w:sz w:val="21"/>
          <w:szCs w:val="21"/>
          <w:color w:val="auto"/>
        </w:rPr>
        <w:t>. The Company hereby contnues to employ the Executve as the President</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and Chief Executve Ofcer of the Company and the Executve hereby accepts such contnued employment with the Company, for the Term set forth in Paragraph 1.2.</w:t>
      </w:r>
    </w:p>
    <w:p>
      <w:pPr>
        <w:spacing w:after="0" w:line="215" w:lineRule="exact"/>
        <w:rPr>
          <w:sz w:val="20"/>
          <w:szCs w:val="20"/>
          <w:color w:val="auto"/>
        </w:rPr>
      </w:pPr>
    </w:p>
    <w:p>
      <w:pPr>
        <w:ind w:left="200" w:right="459"/>
        <w:spacing w:after="0" w:line="252" w:lineRule="auto"/>
        <w:rPr>
          <w:sz w:val="20"/>
          <w:szCs w:val="20"/>
          <w:color w:val="auto"/>
        </w:rPr>
      </w:pPr>
      <w:r>
        <w:rPr>
          <w:rFonts w:ascii="Times New Roman" w:cs="Times New Roman" w:eastAsia="Times New Roman" w:hAnsi="Times New Roman"/>
          <w:sz w:val="20"/>
          <w:szCs w:val="20"/>
          <w:color w:val="auto"/>
        </w:rPr>
        <w:t xml:space="preserve">1.2. </w:t>
      </w:r>
      <w:r>
        <w:rPr>
          <w:rFonts w:ascii="Calibri" w:cs="Calibri" w:eastAsia="Calibri" w:hAnsi="Calibri"/>
          <w:sz w:val="21"/>
          <w:szCs w:val="21"/>
          <w:u w:val="single" w:color="auto"/>
          <w:color w:val="auto"/>
        </w:rPr>
        <w:t>Term</w:t>
      </w:r>
      <w:r>
        <w:rPr>
          <w:rFonts w:ascii="Calibri" w:cs="Calibri" w:eastAsia="Calibri" w:hAnsi="Calibri"/>
          <w:sz w:val="21"/>
          <w:szCs w:val="21"/>
          <w:color w:val="auto"/>
        </w:rPr>
        <w:t>. The term of the Executve’s employment under this Agreement (the “Term”) shall</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commence on the Efectve Date and end as set forth in Secton 7.</w:t>
      </w:r>
    </w:p>
    <w:p>
      <w:pPr>
        <w:spacing w:after="0" w:line="207" w:lineRule="exact"/>
        <w:rPr>
          <w:sz w:val="20"/>
          <w:szCs w:val="20"/>
          <w:color w:val="auto"/>
        </w:rPr>
      </w:pPr>
    </w:p>
    <w:p>
      <w:pPr>
        <w:ind w:left="860" w:hanging="651"/>
        <w:spacing w:after="0"/>
        <w:tabs>
          <w:tab w:leader="none" w:pos="86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Dutes</w:t>
      </w:r>
      <w:r>
        <w:rPr>
          <w:rFonts w:ascii="Calibri" w:cs="Calibri" w:eastAsia="Calibri" w:hAnsi="Calibri"/>
          <w:sz w:val="22"/>
          <w:szCs w:val="22"/>
          <w:color w:val="auto"/>
        </w:rPr>
        <w:t>. During the period of employment as provided in Paragraph 1.2 hereof, the</w:t>
      </w:r>
    </w:p>
    <w:p>
      <w:pPr>
        <w:spacing w:after="0" w:line="11" w:lineRule="exact"/>
        <w:rPr>
          <w:rFonts w:ascii="Times New Roman" w:cs="Times New Roman" w:eastAsia="Times New Roman" w:hAnsi="Times New Roman"/>
          <w:sz w:val="20"/>
          <w:szCs w:val="20"/>
          <w:color w:val="auto"/>
        </w:rPr>
      </w:pPr>
    </w:p>
    <w:p>
      <w:pPr>
        <w:ind w:left="200" w:right="259"/>
        <w:spacing w:after="0"/>
        <w:rPr>
          <w:rFonts w:ascii="Times New Roman" w:cs="Times New Roman" w:eastAsia="Times New Roman" w:hAnsi="Times New Roman"/>
          <w:sz w:val="20"/>
          <w:szCs w:val="20"/>
          <w:color w:val="auto"/>
        </w:rPr>
      </w:pPr>
      <w:r>
        <w:rPr>
          <w:rFonts w:ascii="Calibri" w:cs="Calibri" w:eastAsia="Calibri" w:hAnsi="Calibri"/>
          <w:sz w:val="22"/>
          <w:szCs w:val="22"/>
          <w:color w:val="auto"/>
        </w:rPr>
        <w:t>Executve shall serve as President and Chief Executve Ofcer of the Company. The Executve shall report to the Board of Directors and perform dutes consistent with her positons. The Executve shall devote her best skill and eforts (reasonable sick leave and vacatons excepted) to the performance of her dutes under this Agreement. In additon, the Executve may devote reasonable periods required for (i) subject to the review and approval of the Board of Directors, serving as a director or member of a commitee of any organizaton involving no confict of interest with the interests of the Company or its subsidiaries; (ii) fulflling speaking engagements (iii) engaging in charitable and community actvites; (iv) partcipatng in industry and trade organizaton actvites; and (v) managing her personal investments; provided, that such actvites do not materially interfere with the regular performance of her dutes and responsibilites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30" w:name="page31"/>
    <w:bookmarkEnd w:id="30"/>
    <w:p>
      <w:pPr>
        <w:ind w:left="200" w:right="239" w:firstLine="9"/>
        <w:spacing w:after="0" w:line="239" w:lineRule="auto"/>
        <w:tabs>
          <w:tab w:leader="none" w:pos="848"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Base Salary</w:t>
      </w:r>
      <w:r>
        <w:rPr>
          <w:rFonts w:ascii="Calibri" w:cs="Calibri" w:eastAsia="Calibri" w:hAnsi="Calibri"/>
          <w:sz w:val="22"/>
          <w:szCs w:val="22"/>
          <w:color w:val="auto"/>
        </w:rPr>
        <w:t>. For services performed by the Executve for the Company pursuant to this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Agreement during the period of employment as provided in Paragraph 1.2, the Company shall pay the Executve a base salary at the rate of at least $625,000 per year, payable in accordance with the Company’s regular payroll practces (but no less frequently than monthly). Any compensaton which may be paid to the Executve under any additonal compensaton or incentve plan of the Company or which may be otherwise authorized from tme to tme by the Board (or an appropriate commitee thereof) shall be in additon to the base salary to which the Executve shall be enttled under this Agreement.</w:t>
      </w:r>
    </w:p>
    <w:p>
      <w:pPr>
        <w:spacing w:after="0" w:line="236" w:lineRule="exact"/>
        <w:rPr>
          <w:rFonts w:ascii="Times New Roman" w:cs="Times New Roman" w:eastAsia="Times New Roman" w:hAnsi="Times New Roman"/>
          <w:sz w:val="20"/>
          <w:szCs w:val="20"/>
          <w:color w:val="auto"/>
        </w:rPr>
      </w:pPr>
    </w:p>
    <w:p>
      <w:pPr>
        <w:ind w:left="200" w:right="319" w:firstLine="9"/>
        <w:spacing w:after="0" w:line="239" w:lineRule="auto"/>
        <w:tabs>
          <w:tab w:leader="none" w:pos="848"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Salary Increases</w:t>
      </w:r>
      <w:r>
        <w:rPr>
          <w:rFonts w:ascii="Calibri" w:cs="Calibri" w:eastAsia="Calibri" w:hAnsi="Calibri"/>
          <w:sz w:val="22"/>
          <w:szCs w:val="22"/>
          <w:color w:val="auto"/>
        </w:rPr>
        <w:t>. During the Term, the base salary of the Executve shall be reviewed no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less frequently than annually by the Board to determine whether or not the same should be increased in light of the dutes and responsibilites of the Executve and her performance thereof, and, if it is determined that an increase is merited, such increase shall be put into efect at the tme determined by the Board and the base salary of the Executve as so increased shall thereafer consttute the base salary of the Executve for purposes of Paragraph 3.</w:t>
      </w:r>
    </w:p>
    <w:p>
      <w:pPr>
        <w:spacing w:after="0" w:line="231" w:lineRule="exact"/>
        <w:rPr>
          <w:rFonts w:ascii="Times New Roman" w:cs="Times New Roman" w:eastAsia="Times New Roman" w:hAnsi="Times New Roman"/>
          <w:sz w:val="20"/>
          <w:szCs w:val="20"/>
          <w:color w:val="auto"/>
        </w:rPr>
      </w:pPr>
    </w:p>
    <w:p>
      <w:pPr>
        <w:ind w:left="200" w:right="719" w:firstLine="9"/>
        <w:spacing w:after="0" w:line="235" w:lineRule="auto"/>
        <w:tabs>
          <w:tab w:leader="none" w:pos="848"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Other Benefts</w:t>
      </w:r>
      <w:r>
        <w:rPr>
          <w:rFonts w:ascii="Calibri" w:cs="Calibri" w:eastAsia="Calibri" w:hAnsi="Calibri"/>
          <w:sz w:val="22"/>
          <w:szCs w:val="22"/>
          <w:color w:val="auto"/>
        </w:rPr>
        <w:t>. In additon to the base salary to be paid to the Executve pursuant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Paragraph 3 hereof, the Executve shall also be enttled to the following:</w:t>
      </w:r>
    </w:p>
    <w:p>
      <w:pPr>
        <w:spacing w:after="0" w:line="230"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20"/>
          <w:szCs w:val="20"/>
          <w:color w:val="auto"/>
        </w:rPr>
        <w:t xml:space="preserve">5.1. </w:t>
      </w:r>
      <w:r>
        <w:rPr>
          <w:rFonts w:ascii="Calibri" w:cs="Calibri" w:eastAsia="Calibri" w:hAnsi="Calibri"/>
          <w:sz w:val="21"/>
          <w:szCs w:val="21"/>
          <w:u w:val="single" w:color="auto"/>
          <w:color w:val="auto"/>
        </w:rPr>
        <w:t>Partcipaton in Plans</w:t>
      </w:r>
      <w:r>
        <w:rPr>
          <w:rFonts w:ascii="Calibri" w:cs="Calibri" w:eastAsia="Calibri" w:hAnsi="Calibri"/>
          <w:sz w:val="21"/>
          <w:szCs w:val="21"/>
          <w:color w:val="auto"/>
        </w:rPr>
        <w:t>. The Executve shall be enttled to a bonus opportunity for each</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fscal year based on the atainment of performance goals and objectves established by the Board; such amount shall be 100% of base salary at the rate in efect for such year if target level performance is achieved and such greater or lesser amount if actual performance exceeds or falls short of target performance goals and objectves as provided under the Company’s bonus arrangements for senior executves. Any such bonus shall be vested as and when approved by the Board of Directors and vested bonuses shall be payable by the Company not later than the end of the fscal year in which such bonus vests. The Executve shall also be eligible to partcipate in the various beneft plans maintained in force by the Company from tme to tme, including any qualifed and nonqualifed pension, supplemental pension, disability, medical, group life insurance, supplemental life insurance coverage, business travel insurance, sick leave, and other similar retrement and welfare beneft plans, programs and arrangements.</w:t>
      </w:r>
    </w:p>
    <w:p>
      <w:pPr>
        <w:spacing w:after="0" w:line="22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Calibri" w:cs="Calibri" w:eastAsia="Calibri" w:hAnsi="Calibri"/>
          <w:sz w:val="21"/>
          <w:szCs w:val="21"/>
          <w:u w:val="single" w:color="auto"/>
          <w:color w:val="auto"/>
        </w:rPr>
        <w:t>Equity Grants</w:t>
      </w:r>
      <w:r>
        <w:rPr>
          <w:rFonts w:ascii="Calibri" w:cs="Calibri" w:eastAsia="Calibri" w:hAnsi="Calibri"/>
          <w:sz w:val="21"/>
          <w:szCs w:val="21"/>
          <w:color w:val="auto"/>
        </w:rPr>
        <w:t>.</w:t>
      </w:r>
    </w:p>
    <w:p>
      <w:pPr>
        <w:spacing w:after="0" w:line="230" w:lineRule="exact"/>
        <w:rPr>
          <w:sz w:val="20"/>
          <w:szCs w:val="20"/>
          <w:color w:val="auto"/>
        </w:rPr>
      </w:pPr>
    </w:p>
    <w:p>
      <w:pPr>
        <w:ind w:left="200" w:right="519"/>
        <w:spacing w:after="0" w:line="254" w:lineRule="auto"/>
        <w:rPr>
          <w:sz w:val="20"/>
          <w:szCs w:val="20"/>
          <w:color w:val="auto"/>
        </w:rPr>
      </w:pPr>
      <w:r>
        <w:rPr>
          <w:rFonts w:ascii="Times New Roman" w:cs="Times New Roman" w:eastAsia="Times New Roman" w:hAnsi="Times New Roman"/>
          <w:sz w:val="20"/>
          <w:szCs w:val="20"/>
          <w:color w:val="auto"/>
        </w:rPr>
        <w:t xml:space="preserve">5.2.1. </w:t>
      </w:r>
      <w:r>
        <w:rPr>
          <w:rFonts w:ascii="Calibri" w:cs="Calibri" w:eastAsia="Calibri" w:hAnsi="Calibri"/>
          <w:sz w:val="21"/>
          <w:szCs w:val="21"/>
          <w:u w:val="single" w:color="auto"/>
          <w:color w:val="auto"/>
        </w:rPr>
        <w:t>Discretonary Grants</w:t>
      </w:r>
      <w:r>
        <w:rPr>
          <w:rFonts w:ascii="Calibri" w:cs="Calibri" w:eastAsia="Calibri" w:hAnsi="Calibri"/>
          <w:sz w:val="21"/>
          <w:szCs w:val="21"/>
          <w:color w:val="auto"/>
        </w:rPr>
        <w:t>. The Board (or a commitee appointed by the Board for such</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purposes) may hereafer make additonal grants under the Company’s 2012 Stock Plan, or any successor plan, as it determines appropriate in its discreton, subject to the terms of Paragraph 5.2.2 below.</w:t>
      </w:r>
    </w:p>
    <w:p>
      <w:pPr>
        <w:spacing w:after="0" w:line="200" w:lineRule="exact"/>
        <w:rPr>
          <w:sz w:val="20"/>
          <w:szCs w:val="20"/>
          <w:color w:val="auto"/>
        </w:rPr>
      </w:pPr>
    </w:p>
    <w:p>
      <w:pPr>
        <w:spacing w:after="0" w:line="28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Calibri" w:cs="Calibri" w:eastAsia="Calibri" w:hAnsi="Calibri"/>
          <w:sz w:val="21"/>
          <w:szCs w:val="21"/>
          <w:u w:val="single" w:color="auto"/>
          <w:color w:val="auto"/>
        </w:rPr>
        <w:t>Grants in 2023 and 2024</w:t>
      </w:r>
      <w:r>
        <w:rPr>
          <w:rFonts w:ascii="Calibri" w:cs="Calibri" w:eastAsia="Calibri" w:hAnsi="Calibri"/>
          <w:sz w:val="21"/>
          <w:szCs w:val="21"/>
          <w:color w:val="auto"/>
        </w:rPr>
        <w:t>.</w:t>
      </w:r>
    </w:p>
    <w:p>
      <w:pPr>
        <w:spacing w:after="0" w:line="230" w:lineRule="exact"/>
        <w:rPr>
          <w:sz w:val="20"/>
          <w:szCs w:val="20"/>
          <w:color w:val="auto"/>
        </w:rPr>
      </w:pPr>
    </w:p>
    <w:p>
      <w:pPr>
        <w:ind w:left="1180" w:right="659" w:hanging="323"/>
        <w:spacing w:after="0" w:line="252" w:lineRule="auto"/>
        <w:tabs>
          <w:tab w:leader="none" w:pos="1180" w:val="left"/>
        </w:tabs>
        <w:numPr>
          <w:ilvl w:val="0"/>
          <w:numId w:val="11"/>
        </w:numPr>
        <w:rPr>
          <w:rFonts w:ascii="Times New Roman" w:cs="Times New Roman" w:eastAsia="Times New Roman" w:hAnsi="Times New Roman"/>
          <w:sz w:val="21"/>
          <w:szCs w:val="21"/>
          <w:color w:val="auto"/>
        </w:rPr>
      </w:pPr>
      <w:r>
        <w:rPr>
          <w:rFonts w:ascii="Calibri" w:cs="Calibri" w:eastAsia="Calibri" w:hAnsi="Calibri"/>
          <w:sz w:val="21"/>
          <w:szCs w:val="21"/>
          <w:i w:val="1"/>
          <w:iCs w:val="1"/>
          <w:color w:val="auto"/>
        </w:rPr>
        <w:t>Performance RSU in 2023</w:t>
      </w:r>
      <w:r>
        <w:rPr>
          <w:rFonts w:ascii="Calibri" w:cs="Calibri" w:eastAsia="Calibri" w:hAnsi="Calibri"/>
          <w:sz w:val="21"/>
          <w:szCs w:val="21"/>
          <w:color w:val="auto"/>
        </w:rPr>
        <w:t>.The Company shall, at a minimum, grant a performance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based Restricted Stock Unit (“RSU”) award to the Executve on May 15, 2023 (regardless of whether Executve’s Retrement (as defned in Paragraph 7.4.6) has occurred prior to or on that date and regardless of whether Executve is employed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1" w:name="page32"/>
    <w:bookmarkEnd w:id="31"/>
    <w:p>
      <w:pPr>
        <w:ind w:left="1180" w:right="239"/>
        <w:spacing w:after="0"/>
        <w:rPr>
          <w:sz w:val="20"/>
          <w:szCs w:val="20"/>
          <w:color w:val="auto"/>
        </w:rPr>
      </w:pPr>
      <w:r>
        <w:rPr>
          <w:rFonts w:ascii="Calibri" w:cs="Calibri" w:eastAsia="Calibri" w:hAnsi="Calibri"/>
          <w:sz w:val="22"/>
          <w:szCs w:val="22"/>
          <w:color w:val="auto"/>
        </w:rPr>
        <w:t>on that date) having a value equal to the performance based RSU granted to the Executve in 2022 (or, if a greater value is shown in the most recent compensaton report obtained by the Company, then 50% of the median value for an annual equity award to a CEO in that report), and having substantally the same terms (other than the performance goals) as the 2022 grant. Such performance based RSU shall remain outstanding without regard to Executve’s Retrement or terminaton of employment, and 50% of the earned RSUs shall vest on February 28, 2024 (regardless of whether Executve’s Retrement has occurred prior to or on that date and regardless of whether Executve is employed on that date), with the remaining 50% of the earned RSUs vestng on the earliest of (i) February 28, 2024 if the Executve’s Retrement (as defned in Secton 7.4.6) has occurred on or prior to that date, (ii) the date of Executve’s Retrement afer February 28, 2024, or (iii) February 28, 2025.</w:t>
      </w:r>
    </w:p>
    <w:p>
      <w:pPr>
        <w:spacing w:after="0" w:line="233" w:lineRule="exact"/>
        <w:rPr>
          <w:sz w:val="20"/>
          <w:szCs w:val="20"/>
          <w:color w:val="auto"/>
        </w:rPr>
      </w:pPr>
    </w:p>
    <w:p>
      <w:pPr>
        <w:ind w:left="1180" w:right="299" w:hanging="323"/>
        <w:spacing w:after="0"/>
        <w:tabs>
          <w:tab w:leader="none" w:pos="1180"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Contngent Service RSU in 2024</w:t>
      </w:r>
      <w:r>
        <w:rPr>
          <w:rFonts w:ascii="Calibri" w:cs="Calibri" w:eastAsia="Calibri" w:hAnsi="Calibri"/>
          <w:sz w:val="22"/>
          <w:szCs w:val="22"/>
          <w:color w:val="auto"/>
        </w:rPr>
        <w:t>. In the event that the Executve does not receive a</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service based RSU in 2023, but contnues to serve as Chief Executve Ofcer afer December 31, 2023, then the Company shall grant a service based RSU award to the Executve on January 15, 2024 having a value equal to the service based RSU granted to the Executve in 2022 (or, if a greater value is shown in the most recent compensaton report obtained by the Company, then 50% of the median value for an annual equity award to a CEO in that report ), and having substantally the same terms as the 2022 grant, provided such RSU would be 25% vested at grant, and 25% on each anniversary of the date of grant, subject to acceleraton of an additonal 25% of the RSUs upon the Executve’s Retrement. Service based RSUs that are not vested as of Executve’s Retrement shall forfeit.</w:t>
      </w:r>
    </w:p>
    <w:p>
      <w:pPr>
        <w:spacing w:after="0" w:line="232" w:lineRule="exact"/>
        <w:rPr>
          <w:sz w:val="20"/>
          <w:szCs w:val="20"/>
          <w:color w:val="auto"/>
        </w:rPr>
      </w:pPr>
    </w:p>
    <w:p>
      <w:pPr>
        <w:jc w:val="both"/>
        <w:ind w:left="200" w:right="479"/>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Calibri" w:cs="Calibri" w:eastAsia="Calibri" w:hAnsi="Calibri"/>
          <w:sz w:val="21"/>
          <w:szCs w:val="21"/>
          <w:u w:val="single" w:color="auto"/>
          <w:color w:val="auto"/>
        </w:rPr>
        <w:t>Fringe Benefts</w:t>
      </w:r>
      <w:r>
        <w:rPr>
          <w:rFonts w:ascii="Calibri" w:cs="Calibri" w:eastAsia="Calibri" w:hAnsi="Calibri"/>
          <w:sz w:val="21"/>
          <w:szCs w:val="21"/>
          <w:color w:val="auto"/>
        </w:rPr>
        <w:t>. In additon to the foregoing, the Executve shall be enttled to an ofce,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fringe benefts and other similar benefts no less favorable than those available to other senior executves of the Company.</w:t>
      </w:r>
    </w:p>
    <w:p>
      <w:pPr>
        <w:spacing w:after="0" w:line="215"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20"/>
          <w:szCs w:val="20"/>
          <w:color w:val="auto"/>
        </w:rPr>
        <w:t xml:space="preserve">5.4. </w:t>
      </w:r>
      <w:r>
        <w:rPr>
          <w:rFonts w:ascii="Calibri" w:cs="Calibri" w:eastAsia="Calibri" w:hAnsi="Calibri"/>
          <w:sz w:val="21"/>
          <w:szCs w:val="21"/>
          <w:u w:val="single" w:color="auto"/>
          <w:color w:val="auto"/>
        </w:rPr>
        <w:t>Expense Reimbursement</w:t>
      </w:r>
      <w:r>
        <w:rPr>
          <w:rFonts w:ascii="Calibri" w:cs="Calibri" w:eastAsia="Calibri" w:hAnsi="Calibri"/>
          <w:sz w:val="21"/>
          <w:szCs w:val="21"/>
          <w:color w:val="auto"/>
        </w:rPr>
        <w:t>. The Company shall reimburse the Executve, upon a proper</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accountng, for reasonable business expenses and disbursements incurred by her in the course of the performance of her dutes under this Agreement.</w:t>
      </w:r>
    </w:p>
    <w:p>
      <w:pPr>
        <w:spacing w:after="0" w:line="215" w:lineRule="exact"/>
        <w:rPr>
          <w:sz w:val="20"/>
          <w:szCs w:val="20"/>
          <w:color w:val="auto"/>
        </w:rPr>
      </w:pPr>
    </w:p>
    <w:p>
      <w:pPr>
        <w:ind w:left="200" w:right="499"/>
        <w:spacing w:after="0" w:line="252" w:lineRule="auto"/>
        <w:rPr>
          <w:sz w:val="20"/>
          <w:szCs w:val="20"/>
          <w:color w:val="auto"/>
        </w:rPr>
      </w:pPr>
      <w:r>
        <w:rPr>
          <w:rFonts w:ascii="Times New Roman" w:cs="Times New Roman" w:eastAsia="Times New Roman" w:hAnsi="Times New Roman"/>
          <w:sz w:val="20"/>
          <w:szCs w:val="20"/>
          <w:color w:val="auto"/>
        </w:rPr>
        <w:t xml:space="preserve">5.5. </w:t>
      </w:r>
      <w:r>
        <w:rPr>
          <w:rFonts w:ascii="Calibri" w:cs="Calibri" w:eastAsia="Calibri" w:hAnsi="Calibri"/>
          <w:sz w:val="21"/>
          <w:szCs w:val="21"/>
          <w:u w:val="single" w:color="auto"/>
          <w:color w:val="auto"/>
        </w:rPr>
        <w:t>Vacaton</w:t>
      </w:r>
      <w:r>
        <w:rPr>
          <w:rFonts w:ascii="Calibri" w:cs="Calibri" w:eastAsia="Calibri" w:hAnsi="Calibri"/>
          <w:sz w:val="21"/>
          <w:szCs w:val="21"/>
          <w:color w:val="auto"/>
        </w:rPr>
        <w:t>. The Executve shall be enttled to vacaton and paid tme of during the inital</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and each successive year during the Term of this Agreement in accordance with the Company’s policies applicable to senior executves, or such greater period as the Board shall approve, without reducton in salary or other benefts.</w:t>
      </w:r>
    </w:p>
    <w:p>
      <w:pPr>
        <w:spacing w:after="0" w:line="219" w:lineRule="exact"/>
        <w:rPr>
          <w:sz w:val="20"/>
          <w:szCs w:val="20"/>
          <w:color w:val="auto"/>
        </w:rPr>
      </w:pPr>
    </w:p>
    <w:p>
      <w:pPr>
        <w:ind w:left="200" w:right="1259" w:firstLine="9"/>
        <w:spacing w:after="0" w:line="235" w:lineRule="auto"/>
        <w:tabs>
          <w:tab w:leader="none" w:pos="848"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Covenants of the Employee</w:t>
      </w:r>
      <w:r>
        <w:rPr>
          <w:rFonts w:ascii="Calibri" w:cs="Calibri" w:eastAsia="Calibri" w:hAnsi="Calibri"/>
          <w:sz w:val="22"/>
          <w:szCs w:val="22"/>
          <w:color w:val="auto"/>
        </w:rPr>
        <w:t>. In order to induce the Company to enter into this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Agreement, the Executve hereby agrees as follows:</w:t>
      </w:r>
    </w:p>
    <w:p>
      <w:pPr>
        <w:spacing w:after="0" w:line="230"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20"/>
          <w:szCs w:val="20"/>
          <w:color w:val="auto"/>
        </w:rPr>
        <w:t xml:space="preserve">6.1. </w:t>
      </w:r>
      <w:r>
        <w:rPr>
          <w:rFonts w:ascii="Calibri" w:cs="Calibri" w:eastAsia="Calibri" w:hAnsi="Calibri"/>
          <w:sz w:val="21"/>
          <w:szCs w:val="21"/>
          <w:u w:val="single" w:color="auto"/>
          <w:color w:val="auto"/>
        </w:rPr>
        <w:t>Confdentality</w:t>
      </w:r>
      <w:r>
        <w:rPr>
          <w:rFonts w:ascii="Calibri" w:cs="Calibri" w:eastAsia="Calibri" w:hAnsi="Calibri"/>
          <w:sz w:val="21"/>
          <w:szCs w:val="21"/>
          <w:color w:val="auto"/>
        </w:rPr>
        <w:t>. Except as may be required by law and for acts in the ordinary course of</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the Executve’s performance of her dutes for the Company and believed by the Executve in good faith to be in the best interests of the Company, the Executve shall keep confdental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2" w:name="page33"/>
    <w:bookmarkEnd w:id="32"/>
    <w:p>
      <w:pPr>
        <w:ind w:left="200" w:right="379"/>
        <w:spacing w:after="0" w:line="237" w:lineRule="auto"/>
        <w:rPr>
          <w:sz w:val="20"/>
          <w:szCs w:val="20"/>
          <w:color w:val="auto"/>
        </w:rPr>
      </w:pPr>
      <w:r>
        <w:rPr>
          <w:rFonts w:ascii="Calibri" w:cs="Calibri" w:eastAsia="Calibri" w:hAnsi="Calibri"/>
          <w:sz w:val="22"/>
          <w:szCs w:val="22"/>
          <w:color w:val="auto"/>
        </w:rPr>
        <w:t>shall not divulge to any other person or entty, during the Term or thereafer, any of the business secrets or other confdental informaton regarding the Company, or any of its subsidiaries or afliates, which has not otherwise become public knowledge.</w:t>
      </w:r>
    </w:p>
    <w:p>
      <w:pPr>
        <w:spacing w:after="0" w:line="230" w:lineRule="exact"/>
        <w:rPr>
          <w:sz w:val="20"/>
          <w:szCs w:val="20"/>
          <w:color w:val="auto"/>
        </w:rPr>
      </w:pPr>
    </w:p>
    <w:p>
      <w:pPr>
        <w:ind w:left="200" w:right="839"/>
        <w:spacing w:after="0" w:line="253" w:lineRule="auto"/>
        <w:rPr>
          <w:sz w:val="20"/>
          <w:szCs w:val="20"/>
          <w:color w:val="auto"/>
        </w:rPr>
      </w:pPr>
      <w:r>
        <w:rPr>
          <w:rFonts w:ascii="Times New Roman" w:cs="Times New Roman" w:eastAsia="Times New Roman" w:hAnsi="Times New Roman"/>
          <w:sz w:val="20"/>
          <w:szCs w:val="20"/>
          <w:color w:val="auto"/>
        </w:rPr>
        <w:t xml:space="preserve">6.2. </w:t>
      </w:r>
      <w:r>
        <w:rPr>
          <w:rFonts w:ascii="Calibri" w:cs="Calibri" w:eastAsia="Calibri" w:hAnsi="Calibri"/>
          <w:sz w:val="21"/>
          <w:szCs w:val="21"/>
          <w:u w:val="single" w:color="auto"/>
          <w:color w:val="auto"/>
        </w:rPr>
        <w:t>Records</w:t>
      </w:r>
      <w:r>
        <w:rPr>
          <w:rFonts w:ascii="Calibri" w:cs="Calibri" w:eastAsia="Calibri" w:hAnsi="Calibri"/>
          <w:sz w:val="21"/>
          <w:szCs w:val="21"/>
          <w:color w:val="auto"/>
        </w:rPr>
        <w:t>. All papers, books and records of every kind and descripton relatng to the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business and afairs of the Company, or any of its subsidiaries or afliates, whether or not prepared by the Executve shall be the sole and exclusive property of the Company, and the Executve shall surrender them to the Company at any tme upon request by the Company.</w:t>
      </w:r>
    </w:p>
    <w:p>
      <w:pPr>
        <w:spacing w:after="0" w:line="215"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20"/>
          <w:szCs w:val="20"/>
          <w:color w:val="auto"/>
        </w:rPr>
        <w:t xml:space="preserve">6.3. </w:t>
      </w:r>
      <w:r>
        <w:rPr>
          <w:rFonts w:ascii="Calibri" w:cs="Calibri" w:eastAsia="Calibri" w:hAnsi="Calibri"/>
          <w:sz w:val="21"/>
          <w:szCs w:val="21"/>
          <w:u w:val="single" w:color="auto"/>
          <w:color w:val="auto"/>
        </w:rPr>
        <w:t>Change of Control Agreement</w:t>
      </w:r>
      <w:r>
        <w:rPr>
          <w:rFonts w:ascii="Calibri" w:cs="Calibri" w:eastAsia="Calibri" w:hAnsi="Calibri"/>
          <w:sz w:val="21"/>
          <w:szCs w:val="21"/>
          <w:color w:val="auto"/>
        </w:rPr>
        <w:t>. The Executve acknowledges that she is bound by, and</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benefts from, the Change of Control Severance Agreement between the Executve and the Company dated as of March 1, 2017, efectve as of November 6, 2019 (such agreement and any similar successor agreement, referred to herein as the “Change of Control Agreement”). The Company agrees that to the extent Executve’s employment terminates (before or afer a Retrement, and including on the expiraton of the term of an Advisory Agreement as described in Paragraph 7.4.6) at a tme when there is either a Potental Change of Control or within 24 months following a Change of Control (as such terms are defned in the Change of Control Agreement), the Executve will be enttled to the severance benefts described in the Change of Control Agreement, subject to the terms thereof and of Paragraph 15 hereof; provided, however, that the Company agrees it will not give notce under Secton 2 of the Change of Control Agreement not to extend the Term, and that that the covenant in Secton 4 of the Change of Control Agreement shall be deemed to be satsfed.</w:t>
      </w:r>
    </w:p>
    <w:p>
      <w:pPr>
        <w:spacing w:after="0" w:line="200" w:lineRule="exact"/>
        <w:rPr>
          <w:sz w:val="20"/>
          <w:szCs w:val="20"/>
          <w:color w:val="auto"/>
        </w:rPr>
      </w:pPr>
    </w:p>
    <w:p>
      <w:pPr>
        <w:spacing w:after="0" w:line="296" w:lineRule="exact"/>
        <w:rPr>
          <w:sz w:val="20"/>
          <w:szCs w:val="20"/>
          <w:color w:val="auto"/>
        </w:rPr>
      </w:pPr>
    </w:p>
    <w:p>
      <w:pPr>
        <w:ind w:left="200" w:right="219" w:firstLine="9"/>
        <w:spacing w:after="0" w:line="239" w:lineRule="auto"/>
        <w:tabs>
          <w:tab w:leader="none" w:pos="848"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Terminaton</w:t>
      </w:r>
      <w:r>
        <w:rPr>
          <w:rFonts w:ascii="Calibri" w:cs="Calibri" w:eastAsia="Calibri" w:hAnsi="Calibri"/>
          <w:sz w:val="22"/>
          <w:szCs w:val="22"/>
          <w:color w:val="auto"/>
        </w:rPr>
        <w:t>. Unless earlier terminated in accordance with the following provisions of this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Paragraph 7, the Company shall contnue to employ the Executve and the Executve shall remain employed by the Company during the entre Term as set forth in Paragraph 1.2. Paragraph 8 hereof sets forth certain obligatons of the Company in the event that the Executve’s employment hereunder is terminated or Executve has a “Retrement” as defned in Paragraph 7.4.6. Certain capitalized terms used in this Paragraph 7 and Paragraph 8 hereof are defned in Paragraph 7.4 below.</w:t>
      </w:r>
    </w:p>
    <w:p>
      <w:pPr>
        <w:spacing w:after="0" w:line="234" w:lineRule="exact"/>
        <w:rPr>
          <w:sz w:val="20"/>
          <w:szCs w:val="20"/>
          <w:color w:val="auto"/>
        </w:rPr>
      </w:pPr>
    </w:p>
    <w:p>
      <w:pPr>
        <w:ind w:left="200" w:right="339"/>
        <w:spacing w:after="0" w:line="252" w:lineRule="auto"/>
        <w:rPr>
          <w:sz w:val="20"/>
          <w:szCs w:val="20"/>
          <w:color w:val="auto"/>
        </w:rPr>
      </w:pPr>
      <w:r>
        <w:rPr>
          <w:rFonts w:ascii="Times New Roman" w:cs="Times New Roman" w:eastAsia="Times New Roman" w:hAnsi="Times New Roman"/>
          <w:sz w:val="20"/>
          <w:szCs w:val="20"/>
          <w:color w:val="auto"/>
        </w:rPr>
        <w:t xml:space="preserve">7.1. </w:t>
      </w:r>
      <w:r>
        <w:rPr>
          <w:rFonts w:ascii="Calibri" w:cs="Calibri" w:eastAsia="Calibri" w:hAnsi="Calibri"/>
          <w:sz w:val="21"/>
          <w:szCs w:val="21"/>
          <w:u w:val="single" w:color="auto"/>
          <w:color w:val="auto"/>
        </w:rPr>
        <w:t>Death or Disability</w:t>
      </w:r>
      <w:r>
        <w:rPr>
          <w:rFonts w:ascii="Calibri" w:cs="Calibri" w:eastAsia="Calibri" w:hAnsi="Calibri"/>
          <w:sz w:val="21"/>
          <w:szCs w:val="21"/>
          <w:color w:val="auto"/>
        </w:rPr>
        <w:t>. Except to the extent otherwise expressly stated herein, including</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without limitaton, as provided in Paragraph 8.1 with respect to certain post-Date of Terminaton payment obligatons of the Company, this Agreement shall terminate immediately on the Date of Terminaton in the event of the Executve’s death or in the event of Executve’s disability. For purposes of this Agreement, “Disability” shall mean the absence of the Executve from the Executve’s dutes with the Company on a full-tme basis for 180 consecutve business days as a result of incapacity due to mental or physical illness or injury which is determined to be total and permanent by a physician selected by the Company or its insurers and reasonably acceptable to the Executve or the Executve’s legal representatve. In the event of disability, untl the Date of Terminaton the base salary payable to the Executve under Paragraph 3 hereof shall be reduced dollar-for-dollar by the amount of disability benefts, if any, paid to the Executve in accordance with any disability policy or program of the Company.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3" w:name="page34"/>
    <w:bookmarkEnd w:id="33"/>
    <w:p>
      <w:pPr>
        <w:ind w:left="200" w:right="339"/>
        <w:spacing w:after="0" w:line="252" w:lineRule="auto"/>
        <w:rPr>
          <w:sz w:val="20"/>
          <w:szCs w:val="20"/>
          <w:color w:val="auto"/>
        </w:rPr>
      </w:pPr>
      <w:r>
        <w:rPr>
          <w:rFonts w:ascii="Times New Roman" w:cs="Times New Roman" w:eastAsia="Times New Roman" w:hAnsi="Times New Roman"/>
          <w:sz w:val="20"/>
          <w:szCs w:val="20"/>
          <w:color w:val="auto"/>
        </w:rPr>
        <w:t xml:space="preserve">7.2. </w:t>
      </w:r>
      <w:r>
        <w:rPr>
          <w:rFonts w:ascii="Calibri" w:cs="Calibri" w:eastAsia="Calibri" w:hAnsi="Calibri"/>
          <w:sz w:val="21"/>
          <w:szCs w:val="21"/>
          <w:u w:val="single" w:color="auto"/>
          <w:color w:val="auto"/>
        </w:rPr>
        <w:t>Notfcaton of Discharge by the Company or Resignaton for Good Reason</w:t>
      </w:r>
      <w:r>
        <w:rPr>
          <w:rFonts w:ascii="Calibri" w:cs="Calibri" w:eastAsia="Calibri" w:hAnsi="Calibri"/>
          <w:sz w:val="21"/>
          <w:szCs w:val="21"/>
          <w:color w:val="auto"/>
        </w:rPr>
        <w:t>. In accordance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with the procedures hereinafer set forth, the Company may discharge the Executve from her employment hereunder with or without Cause and the Executve may resign from her employment hereunder for Good Reason or otherwise. Any discharge of the Executve by the Company or resignaton by the Executve for Good Reason shall be communicated by a Notce of Terminaton to the Executve (in the case of discharge) or to the Company (in the case of the Executve’s resignaton) given in accordance with Paragraph 10 of this Agreement. For purposes of this Agreement, a “Notce of Terminaton” means a writen notce which:</w:t>
      </w:r>
    </w:p>
    <w:p>
      <w:pPr>
        <w:spacing w:after="0" w:line="212" w:lineRule="exact"/>
        <w:rPr>
          <w:sz w:val="20"/>
          <w:szCs w:val="20"/>
          <w:color w:val="auto"/>
        </w:rPr>
      </w:pPr>
    </w:p>
    <w:p>
      <w:pPr>
        <w:ind w:left="1560" w:hanging="649"/>
        <w:spacing w:after="0"/>
        <w:tabs>
          <w:tab w:leader="none" w:pos="1560" w:val="left"/>
        </w:tabs>
        <w:numPr>
          <w:ilvl w:val="0"/>
          <w:numId w:val="15"/>
        </w:numPr>
        <w:rPr>
          <w:rFonts w:ascii="Calibri" w:cs="Calibri" w:eastAsia="Calibri" w:hAnsi="Calibri"/>
          <w:sz w:val="22"/>
          <w:szCs w:val="22"/>
          <w:color w:val="auto"/>
        </w:rPr>
      </w:pPr>
      <w:r>
        <w:rPr>
          <w:rFonts w:ascii="Calibri" w:cs="Calibri" w:eastAsia="Calibri" w:hAnsi="Calibri"/>
          <w:sz w:val="22"/>
          <w:szCs w:val="22"/>
          <w:color w:val="auto"/>
        </w:rPr>
        <w:t>indicates the specifc terminaton provision in this Agreement relied upon,</w:t>
      </w:r>
    </w:p>
    <w:p>
      <w:pPr>
        <w:spacing w:after="0" w:line="228" w:lineRule="exact"/>
        <w:rPr>
          <w:rFonts w:ascii="Calibri" w:cs="Calibri" w:eastAsia="Calibri" w:hAnsi="Calibri"/>
          <w:sz w:val="22"/>
          <w:szCs w:val="22"/>
          <w:color w:val="auto"/>
        </w:rPr>
      </w:pPr>
    </w:p>
    <w:p>
      <w:pPr>
        <w:ind w:left="1560" w:right="439" w:hanging="649"/>
        <w:spacing w:after="0" w:line="254" w:lineRule="auto"/>
        <w:tabs>
          <w:tab w:leader="none" w:pos="1560" w:val="left"/>
        </w:tabs>
        <w:numPr>
          <w:ilvl w:val="0"/>
          <w:numId w:val="15"/>
        </w:numPr>
        <w:rPr>
          <w:rFonts w:ascii="Calibri" w:cs="Calibri" w:eastAsia="Calibri" w:hAnsi="Calibri"/>
          <w:sz w:val="21"/>
          <w:szCs w:val="21"/>
          <w:color w:val="auto"/>
        </w:rPr>
      </w:pPr>
      <w:r>
        <w:rPr>
          <w:rFonts w:ascii="Calibri" w:cs="Calibri" w:eastAsia="Calibri" w:hAnsi="Calibri"/>
          <w:sz w:val="21"/>
          <w:szCs w:val="21"/>
          <w:color w:val="auto"/>
        </w:rPr>
        <w:t>sets forth in reasonable detail the facts and circumstances providing a basis for terminaton of the Executve’s employment under the provision so indicated and</w:t>
      </w:r>
    </w:p>
    <w:p>
      <w:pPr>
        <w:spacing w:after="0" w:line="213" w:lineRule="exact"/>
        <w:rPr>
          <w:rFonts w:ascii="Calibri" w:cs="Calibri" w:eastAsia="Calibri" w:hAnsi="Calibri"/>
          <w:sz w:val="21"/>
          <w:szCs w:val="21"/>
          <w:color w:val="auto"/>
        </w:rPr>
      </w:pPr>
    </w:p>
    <w:p>
      <w:pPr>
        <w:ind w:left="1560" w:right="319" w:hanging="649"/>
        <w:spacing w:after="0" w:line="237" w:lineRule="auto"/>
        <w:tabs>
          <w:tab w:leader="none" w:pos="1560" w:val="left"/>
        </w:tabs>
        <w:numPr>
          <w:ilvl w:val="0"/>
          <w:numId w:val="15"/>
        </w:numPr>
        <w:rPr>
          <w:rFonts w:ascii="Calibri" w:cs="Calibri" w:eastAsia="Calibri" w:hAnsi="Calibri"/>
          <w:sz w:val="22"/>
          <w:szCs w:val="22"/>
          <w:color w:val="auto"/>
        </w:rPr>
      </w:pPr>
      <w:r>
        <w:rPr>
          <w:rFonts w:ascii="Calibri" w:cs="Calibri" w:eastAsia="Calibri" w:hAnsi="Calibri"/>
          <w:sz w:val="22"/>
          <w:szCs w:val="22"/>
          <w:color w:val="auto"/>
        </w:rPr>
        <w:t>if the Date of Terminaton is to be other than the date of receipt of such notce, specifes the terminaton date (which date shall in all events be within ffeen (15) days afer the giving of such notce).</w:t>
      </w:r>
    </w:p>
    <w:p>
      <w:pPr>
        <w:spacing w:after="0" w:line="230" w:lineRule="exact"/>
        <w:rPr>
          <w:sz w:val="20"/>
          <w:szCs w:val="20"/>
          <w:color w:val="auto"/>
        </w:rPr>
      </w:pPr>
    </w:p>
    <w:p>
      <w:pPr>
        <w:ind w:left="200" w:right="419"/>
        <w:spacing w:after="0" w:line="239" w:lineRule="auto"/>
        <w:rPr>
          <w:sz w:val="20"/>
          <w:szCs w:val="20"/>
          <w:color w:val="auto"/>
        </w:rPr>
      </w:pPr>
      <w:r>
        <w:rPr>
          <w:rFonts w:ascii="Calibri" w:cs="Calibri" w:eastAsia="Calibri" w:hAnsi="Calibri"/>
          <w:sz w:val="22"/>
          <w:szCs w:val="22"/>
          <w:color w:val="auto"/>
        </w:rPr>
        <w:t>No purported terminaton of the Executve’s employment for Cause shall be efectve without a Notce of Terminaton to the Executve. The failure by the Executve to set forth in any Notce of Terminaton to the Company any facts or circumstances which contributes to a showing of Good Reason shall not waive any right of the Executve hereunder or preclude the Executve from assertng such fact or circumstances in enforcing the Executve’s rights hereunder.</w:t>
      </w:r>
    </w:p>
    <w:p>
      <w:pPr>
        <w:spacing w:after="0" w:line="229" w:lineRule="exact"/>
        <w:rPr>
          <w:sz w:val="20"/>
          <w:szCs w:val="20"/>
          <w:color w:val="auto"/>
        </w:rPr>
      </w:pPr>
    </w:p>
    <w:p>
      <w:pPr>
        <w:jc w:val="both"/>
        <w:ind w:left="200" w:right="459"/>
        <w:spacing w:after="0" w:line="252" w:lineRule="auto"/>
        <w:rPr>
          <w:sz w:val="20"/>
          <w:szCs w:val="20"/>
          <w:color w:val="auto"/>
        </w:rPr>
      </w:pPr>
      <w:r>
        <w:rPr>
          <w:rFonts w:ascii="Times New Roman" w:cs="Times New Roman" w:eastAsia="Times New Roman" w:hAnsi="Times New Roman"/>
          <w:sz w:val="20"/>
          <w:szCs w:val="20"/>
          <w:color w:val="auto"/>
        </w:rPr>
        <w:t xml:space="preserve">7.3. </w:t>
      </w:r>
      <w:r>
        <w:rPr>
          <w:rFonts w:ascii="Calibri" w:cs="Calibri" w:eastAsia="Calibri" w:hAnsi="Calibri"/>
          <w:sz w:val="21"/>
          <w:szCs w:val="21"/>
          <w:u w:val="single" w:color="auto"/>
          <w:color w:val="auto"/>
        </w:rPr>
        <w:t>Terminaton on or Afer a Mutually Agreed Retrement</w:t>
      </w:r>
      <w:r>
        <w:rPr>
          <w:rFonts w:ascii="Calibri" w:cs="Calibri" w:eastAsia="Calibri" w:hAnsi="Calibri"/>
          <w:sz w:val="21"/>
          <w:szCs w:val="21"/>
          <w:color w:val="auto"/>
        </w:rPr>
        <w:t>. The Company and the Executve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may mutually agree on the terminaton of the Executve’s employment on or afer a Retrement (as defned in Paragraph 7.4.6 below).</w:t>
      </w:r>
    </w:p>
    <w:p>
      <w:pPr>
        <w:spacing w:after="0" w:line="218" w:lineRule="exact"/>
        <w:rPr>
          <w:sz w:val="20"/>
          <w:szCs w:val="20"/>
          <w:color w:val="auto"/>
        </w:rPr>
      </w:pPr>
    </w:p>
    <w:p>
      <w:pPr>
        <w:ind w:left="200" w:right="879"/>
        <w:spacing w:after="0" w:line="252" w:lineRule="auto"/>
        <w:rPr>
          <w:sz w:val="20"/>
          <w:szCs w:val="20"/>
          <w:color w:val="auto"/>
        </w:rPr>
      </w:pPr>
      <w:r>
        <w:rPr>
          <w:rFonts w:ascii="Times New Roman" w:cs="Times New Roman" w:eastAsia="Times New Roman" w:hAnsi="Times New Roman"/>
          <w:sz w:val="20"/>
          <w:szCs w:val="20"/>
          <w:color w:val="auto"/>
        </w:rPr>
        <w:t xml:space="preserve">7.4. </w:t>
      </w:r>
      <w:r>
        <w:rPr>
          <w:rFonts w:ascii="Calibri" w:cs="Calibri" w:eastAsia="Calibri" w:hAnsi="Calibri"/>
          <w:sz w:val="21"/>
          <w:szCs w:val="21"/>
          <w:u w:val="single" w:color="auto"/>
          <w:color w:val="auto"/>
        </w:rPr>
        <w:t>Defnitons</w:t>
      </w:r>
      <w:r>
        <w:rPr>
          <w:rFonts w:ascii="Calibri" w:cs="Calibri" w:eastAsia="Calibri" w:hAnsi="Calibri"/>
          <w:sz w:val="21"/>
          <w:szCs w:val="21"/>
          <w:color w:val="auto"/>
        </w:rPr>
        <w:t>. For purposes of this Paragraph 7 and Paragraph 8 hereof, the following</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capitalized terms shall have the meanings set forth below:</w:t>
      </w:r>
    </w:p>
    <w:p>
      <w:pPr>
        <w:spacing w:after="0" w:line="218"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20"/>
          <w:szCs w:val="20"/>
          <w:color w:val="auto"/>
        </w:rPr>
        <w:t xml:space="preserve">7.4.1. </w:t>
      </w:r>
      <w:r>
        <w:rPr>
          <w:rFonts w:ascii="Calibri" w:cs="Calibri" w:eastAsia="Calibri" w:hAnsi="Calibri"/>
          <w:sz w:val="21"/>
          <w:szCs w:val="21"/>
          <w:color w:val="auto"/>
        </w:rPr>
        <w:t>“</w:t>
      </w:r>
      <w:r>
        <w:rPr>
          <w:rFonts w:ascii="Calibri" w:cs="Calibri" w:eastAsia="Calibri" w:hAnsi="Calibri"/>
          <w:sz w:val="21"/>
          <w:szCs w:val="21"/>
          <w:u w:val="single" w:color="auto"/>
          <w:color w:val="auto"/>
        </w:rPr>
        <w:t>Accrued Obligatons</w:t>
      </w:r>
      <w:r>
        <w:rPr>
          <w:rFonts w:ascii="Calibri" w:cs="Calibri" w:eastAsia="Calibri" w:hAnsi="Calibri"/>
          <w:sz w:val="21"/>
          <w:szCs w:val="21"/>
          <w:color w:val="auto"/>
        </w:rPr>
        <w:t>” shall mean, as of the Date of Terminaton, the sum of (A) the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Executve’s base salary under Paragraph 3 through the Date of Terminaton to the extent not theretofore paid, (B) the amount of any bonus, incentve compensaton, deferred compensaton and other cash compensaton accrued by the Executve as of the Date of Terminaton to the extent not theretofore paid and (C) any vacaton pay, expense reimbursements and other cash enttlements accrued by the Executve as of the Date of Terminaton to the extent not theretofore paid.</w:t>
      </w:r>
    </w:p>
    <w:p>
      <w:pPr>
        <w:spacing w:after="0" w:line="200" w:lineRule="exact"/>
        <w:rPr>
          <w:sz w:val="20"/>
          <w:szCs w:val="20"/>
          <w:color w:val="auto"/>
        </w:rPr>
      </w:pPr>
    </w:p>
    <w:p>
      <w:pPr>
        <w:spacing w:after="0" w:line="285" w:lineRule="exact"/>
        <w:rPr>
          <w:sz w:val="20"/>
          <w:szCs w:val="20"/>
          <w:color w:val="auto"/>
        </w:rPr>
      </w:pPr>
    </w:p>
    <w:p>
      <w:pPr>
        <w:ind w:left="200" w:right="379"/>
        <w:spacing w:after="0" w:line="253" w:lineRule="auto"/>
        <w:rPr>
          <w:sz w:val="20"/>
          <w:szCs w:val="20"/>
          <w:color w:val="auto"/>
        </w:rPr>
      </w:pPr>
      <w:r>
        <w:rPr>
          <w:rFonts w:ascii="Times New Roman" w:cs="Times New Roman" w:eastAsia="Times New Roman" w:hAnsi="Times New Roman"/>
          <w:sz w:val="20"/>
          <w:szCs w:val="20"/>
          <w:color w:val="auto"/>
        </w:rPr>
        <w:t xml:space="preserve">7.4.2. </w:t>
      </w:r>
      <w:r>
        <w:rPr>
          <w:rFonts w:ascii="Calibri" w:cs="Calibri" w:eastAsia="Calibri" w:hAnsi="Calibri"/>
          <w:sz w:val="21"/>
          <w:szCs w:val="21"/>
          <w:color w:val="auto"/>
        </w:rPr>
        <w:t>“</w:t>
      </w:r>
      <w:r>
        <w:rPr>
          <w:rFonts w:ascii="Calibri" w:cs="Calibri" w:eastAsia="Calibri" w:hAnsi="Calibri"/>
          <w:sz w:val="21"/>
          <w:szCs w:val="21"/>
          <w:u w:val="single" w:color="auto"/>
          <w:color w:val="auto"/>
        </w:rPr>
        <w:t>Cause</w:t>
      </w:r>
      <w:r>
        <w:rPr>
          <w:rFonts w:ascii="Calibri" w:cs="Calibri" w:eastAsia="Calibri" w:hAnsi="Calibri"/>
          <w:sz w:val="21"/>
          <w:szCs w:val="21"/>
          <w:color w:val="auto"/>
        </w:rPr>
        <w:t>” shall mean (A) the willful and contnued failure of the Executve to perform</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substantally the Executve’s dutes with the Company or one of its afliates (other than any such failure resultng from disability), afer a writen demand for substantal performance is delivered to the Executve by the Board of Directors which specifcally identfes the manner in which the Board believes that the Executve has not substantally performed the Executve’s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4" w:name="page35"/>
    <w:bookmarkEnd w:id="34"/>
    <w:p>
      <w:pPr>
        <w:ind w:left="200" w:right="219"/>
        <w:spacing w:after="0"/>
        <w:rPr>
          <w:sz w:val="20"/>
          <w:szCs w:val="20"/>
          <w:color w:val="auto"/>
        </w:rPr>
      </w:pPr>
      <w:r>
        <w:rPr>
          <w:rFonts w:ascii="Calibri" w:cs="Calibri" w:eastAsia="Calibri" w:hAnsi="Calibri"/>
          <w:sz w:val="22"/>
          <w:szCs w:val="22"/>
          <w:color w:val="auto"/>
        </w:rPr>
        <w:t>dutes, or (B) the willful engaging by the Executve in illegal conduct or gross misconduct which is injurious to the Company. For purposes of this provision, no act or failure to act on the part of the Executve shall be considered “willful” unless it is done, or omited to be done, by the Executve in bad faith or without reasonable belief that the Executve’s acton or omission was in the best interests of the Company. Any act or failure to act based upon authority given pursuant to a resoluton duly adopted by the Board or based on the advice of a senior ofcer of the Company or counsel for the Company shall be conclusively presumed to be done, or omited to be done, by the Executve in good faith and in the best interests of the Company. The cessaton of employment of the Executve shall not be deemed to be for Cause unless and untl there shall have been delivered to the Executve a copy of a resoluton duly adopted by the afrmatve vote of not less than two-thirds of the entre membership of the Board at a meetng of the Board called and held for such purpose (afer reasonable notce is provided to the Executve and the Executve is given an opportunity, together with counsel, to be heard before the Board), fnding that, in the good faith opinion of the Board, the Executve is guilty of the conduct described in subparagraph (A) or (B) above of this Paragraph 7.4.2, and specifying the partculars thereof in detail.</w:t>
      </w:r>
    </w:p>
    <w:p>
      <w:pPr>
        <w:spacing w:after="0" w:line="239" w:lineRule="exact"/>
        <w:rPr>
          <w:sz w:val="20"/>
          <w:szCs w:val="20"/>
          <w:color w:val="auto"/>
        </w:rPr>
      </w:pPr>
    </w:p>
    <w:p>
      <w:pPr>
        <w:ind w:left="200" w:right="279"/>
        <w:spacing w:after="0" w:line="252" w:lineRule="auto"/>
        <w:rPr>
          <w:sz w:val="20"/>
          <w:szCs w:val="20"/>
          <w:color w:val="auto"/>
        </w:rPr>
      </w:pPr>
      <w:r>
        <w:rPr>
          <w:rFonts w:ascii="Times New Roman" w:cs="Times New Roman" w:eastAsia="Times New Roman" w:hAnsi="Times New Roman"/>
          <w:sz w:val="20"/>
          <w:szCs w:val="20"/>
          <w:color w:val="auto"/>
        </w:rPr>
        <w:t xml:space="preserve">7.4.3. </w:t>
      </w:r>
      <w:r>
        <w:rPr>
          <w:rFonts w:ascii="Calibri" w:cs="Calibri" w:eastAsia="Calibri" w:hAnsi="Calibri"/>
          <w:sz w:val="21"/>
          <w:szCs w:val="21"/>
          <w:color w:val="auto"/>
        </w:rPr>
        <w:t>“</w:t>
      </w:r>
      <w:r>
        <w:rPr>
          <w:rFonts w:ascii="Calibri" w:cs="Calibri" w:eastAsia="Calibri" w:hAnsi="Calibri"/>
          <w:sz w:val="21"/>
          <w:szCs w:val="21"/>
          <w:u w:val="single" w:color="auto"/>
          <w:color w:val="auto"/>
        </w:rPr>
        <w:t>Date of Terminaton</w:t>
      </w:r>
      <w:r>
        <w:rPr>
          <w:rFonts w:ascii="Calibri" w:cs="Calibri" w:eastAsia="Calibri" w:hAnsi="Calibri"/>
          <w:sz w:val="21"/>
          <w:szCs w:val="21"/>
          <w:color w:val="auto"/>
        </w:rPr>
        <w:t>” shall mean (A) in the event of a discharge of the Executve by the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Company for Cause or a resignaton by the Executve for Good Reason, the date the Executve (in the case of such discharge) or the Company (in the case of such resignaton) receives a Notce of Terminaton, or any later permited date specifed in such Notce of Terminaton, as the case may be, (B) on the date of a mutually agreed terminaton of employment on or following a Retrement (as defned in Secton 7.4.6), (C) in the event of a discharge of the Executve without Cause or a resignaton by the Executve without Good Reason (other than on Retrement), the date the Executve (in the case of discharge) or the Company (in the case of resignaton) receives notce of such terminaton of employment other than in the case of a Retrement, (D) in the event of the Executve’s death, the date of the Executve’s death, and (E) in the event of terminaton of the Executve’s employment by reason of disability pursuant to Paragraph 7.1, the date the Executve receives writen notce of such terminaton.</w:t>
      </w:r>
    </w:p>
    <w:p>
      <w:pPr>
        <w:spacing w:after="0" w:line="226" w:lineRule="exact"/>
        <w:rPr>
          <w:sz w:val="20"/>
          <w:szCs w:val="20"/>
          <w:color w:val="auto"/>
        </w:rPr>
      </w:pPr>
    </w:p>
    <w:p>
      <w:pPr>
        <w:ind w:left="200" w:right="539"/>
        <w:spacing w:after="0" w:line="253" w:lineRule="auto"/>
        <w:rPr>
          <w:sz w:val="20"/>
          <w:szCs w:val="20"/>
          <w:color w:val="auto"/>
        </w:rPr>
      </w:pPr>
      <w:r>
        <w:rPr>
          <w:rFonts w:ascii="Times New Roman" w:cs="Times New Roman" w:eastAsia="Times New Roman" w:hAnsi="Times New Roman"/>
          <w:sz w:val="20"/>
          <w:szCs w:val="20"/>
          <w:color w:val="auto"/>
        </w:rPr>
        <w:t xml:space="preserve">7.4.4. </w:t>
      </w:r>
      <w:r>
        <w:rPr>
          <w:rFonts w:ascii="Calibri" w:cs="Calibri" w:eastAsia="Calibri" w:hAnsi="Calibri"/>
          <w:sz w:val="21"/>
          <w:szCs w:val="21"/>
          <w:color w:val="auto"/>
        </w:rPr>
        <w:t>“</w:t>
      </w:r>
      <w:r>
        <w:rPr>
          <w:rFonts w:ascii="Calibri" w:cs="Calibri" w:eastAsia="Calibri" w:hAnsi="Calibri"/>
          <w:sz w:val="21"/>
          <w:szCs w:val="21"/>
          <w:u w:val="single" w:color="auto"/>
          <w:color w:val="auto"/>
        </w:rPr>
        <w:t>Good Reason</w:t>
      </w:r>
      <w:r>
        <w:rPr>
          <w:rFonts w:ascii="Calibri" w:cs="Calibri" w:eastAsia="Calibri" w:hAnsi="Calibri"/>
          <w:sz w:val="21"/>
          <w:szCs w:val="21"/>
          <w:color w:val="auto"/>
        </w:rPr>
        <w:t>” shall mean, subject to the notce and cure requirements below, a</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voluntary terminaton by the Executve within one year following the inital existence of one or more of the following conditons, without the consent of the Executve:</w:t>
      </w:r>
    </w:p>
    <w:p>
      <w:pPr>
        <w:spacing w:after="0" w:line="205" w:lineRule="exact"/>
        <w:rPr>
          <w:sz w:val="20"/>
          <w:szCs w:val="20"/>
          <w:color w:val="auto"/>
        </w:rPr>
      </w:pPr>
    </w:p>
    <w:p>
      <w:pPr>
        <w:ind w:left="1180" w:hanging="323"/>
        <w:spacing w:after="0"/>
        <w:tabs>
          <w:tab w:leader="none" w:pos="118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Material diminuton of base compensaton;</w:t>
      </w:r>
    </w:p>
    <w:p>
      <w:pPr>
        <w:spacing w:after="0" w:line="215"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Material diminuton of the Executve’s authority, dutes or responsibilites;</w:t>
      </w:r>
    </w:p>
    <w:p>
      <w:pPr>
        <w:spacing w:after="0" w:line="229" w:lineRule="exact"/>
        <w:rPr>
          <w:rFonts w:ascii="Times New Roman" w:cs="Times New Roman" w:eastAsia="Times New Roman" w:hAnsi="Times New Roman"/>
          <w:sz w:val="22"/>
          <w:szCs w:val="22"/>
          <w:color w:val="auto"/>
        </w:rPr>
      </w:pPr>
    </w:p>
    <w:p>
      <w:pPr>
        <w:ind w:left="1180" w:right="499" w:hanging="323"/>
        <w:spacing w:after="0" w:line="235" w:lineRule="auto"/>
        <w:tabs>
          <w:tab w:leader="none" w:pos="118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Material change in the geographic locaton in which the Executve provides services; and</w:t>
      </w:r>
    </w:p>
    <w:p>
      <w:pPr>
        <w:spacing w:after="0" w:line="230" w:lineRule="exact"/>
        <w:rPr>
          <w:rFonts w:ascii="Times New Roman" w:cs="Times New Roman" w:eastAsia="Times New Roman" w:hAnsi="Times New Roman"/>
          <w:sz w:val="22"/>
          <w:szCs w:val="22"/>
          <w:color w:val="auto"/>
        </w:rPr>
      </w:pPr>
    </w:p>
    <w:p>
      <w:pPr>
        <w:ind w:left="1180" w:right="339" w:hanging="323"/>
        <w:spacing w:after="0" w:line="235" w:lineRule="auto"/>
        <w:tabs>
          <w:tab w:leader="none" w:pos="118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other acton or inacton by the Company that consttutes a material breach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5" w:name="page36"/>
    <w:bookmarkEnd w:id="35"/>
    <w:p>
      <w:pPr>
        <w:ind w:left="200" w:right="339"/>
        <w:spacing w:after="0" w:line="239" w:lineRule="auto"/>
        <w:rPr>
          <w:sz w:val="20"/>
          <w:szCs w:val="20"/>
          <w:color w:val="auto"/>
        </w:rPr>
      </w:pPr>
      <w:r>
        <w:rPr>
          <w:rFonts w:ascii="Calibri" w:cs="Calibri" w:eastAsia="Calibri" w:hAnsi="Calibri"/>
          <w:sz w:val="22"/>
          <w:szCs w:val="22"/>
          <w:color w:val="auto"/>
        </w:rPr>
        <w:t>The Executve must provide notce to the Company of the existence of the good reason conditon not later than 90 days of its inital existence. The Company shall have a period of 60 days to cure the conditon giving rise to such notce. In the event the Company cures or corrects the specifc Good Reason conditon within the tme period specifed above, Good Reason terminaton shall not be deemed to exist with respect to the specifc conditon set forth in the Notce of Terminaton.</w:t>
      </w:r>
    </w:p>
    <w:p>
      <w:pPr>
        <w:spacing w:after="0" w:line="231"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20"/>
          <w:szCs w:val="20"/>
          <w:color w:val="auto"/>
        </w:rPr>
        <w:t xml:space="preserve">7.4.5. </w:t>
      </w:r>
      <w:r>
        <w:rPr>
          <w:rFonts w:ascii="Calibri" w:cs="Calibri" w:eastAsia="Calibri" w:hAnsi="Calibri"/>
          <w:sz w:val="21"/>
          <w:szCs w:val="21"/>
          <w:color w:val="auto"/>
        </w:rPr>
        <w:t>“</w:t>
      </w:r>
      <w:r>
        <w:rPr>
          <w:rFonts w:ascii="Calibri" w:cs="Calibri" w:eastAsia="Calibri" w:hAnsi="Calibri"/>
          <w:sz w:val="21"/>
          <w:szCs w:val="21"/>
          <w:u w:val="single" w:color="auto"/>
          <w:color w:val="auto"/>
        </w:rPr>
        <w:t>Monthly Bonus Amount</w:t>
      </w:r>
      <w:r>
        <w:rPr>
          <w:rFonts w:ascii="Calibri" w:cs="Calibri" w:eastAsia="Calibri" w:hAnsi="Calibri"/>
          <w:sz w:val="21"/>
          <w:szCs w:val="21"/>
          <w:color w:val="auto"/>
        </w:rPr>
        <w:t>” shall mean the quotent of (A) the “bonus percentage” (as</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hereinafer defned) tmes the Executve’s annual base salary as in efect under Paragraph 3 on the Date of Terminaton, divided by (B) twelve (12). The term “bonus percentage” shall mean the percentage of the Executve’s base salary that the Executve received as a bonus with respect to the fscal year immediately preceding the fscal year in which the Date of Terminaton occurs, but in no event less than 25%.</w:t>
      </w:r>
    </w:p>
    <w:p>
      <w:pPr>
        <w:spacing w:after="0" w:line="202"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20"/>
          <w:szCs w:val="20"/>
          <w:color w:val="auto"/>
        </w:rPr>
        <w:t xml:space="preserve">7.4.6. </w:t>
      </w:r>
      <w:r>
        <w:rPr>
          <w:rFonts w:ascii="Times New Roman" w:cs="Times New Roman" w:eastAsia="Times New Roman" w:hAnsi="Times New Roman"/>
          <w:sz w:val="21"/>
          <w:szCs w:val="21"/>
          <w:color w:val="auto"/>
        </w:rPr>
        <w:t>“</w:t>
      </w:r>
      <w:r>
        <w:rPr>
          <w:rFonts w:ascii="Calibri" w:cs="Calibri" w:eastAsia="Calibri" w:hAnsi="Calibri"/>
          <w:sz w:val="21"/>
          <w:szCs w:val="21"/>
          <w:u w:val="single" w:color="auto"/>
          <w:color w:val="auto"/>
        </w:rPr>
        <w:t>Retrement</w:t>
      </w:r>
      <w:r>
        <w:rPr>
          <w:rFonts w:ascii="Calibri" w:cs="Calibri" w:eastAsia="Calibri" w:hAnsi="Calibri"/>
          <w:sz w:val="21"/>
          <w:szCs w:val="21"/>
          <w:color w:val="auto"/>
        </w:rPr>
        <w:t>” shall mean a terminaton of full tme service as Chief Executve Ofcer afer</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the Executve’s 65th birthday (whether or not the Executve’s employment terminates at that tme), as mutually agreed by the Executve and the Company, provided that the Executve, to the extent requested by Company, agrees to provide transiton advisory services (as a part tme employee or as a consultant) to the new Chief Executve Ofcer and Board of Directors for a period of up to 12 months following the date of Retrement at a rate of up to 5 hours per week (the “</w:t>
      </w:r>
      <w:r>
        <w:rPr>
          <w:rFonts w:ascii="Calibri" w:cs="Calibri" w:eastAsia="Calibri" w:hAnsi="Calibri"/>
          <w:sz w:val="21"/>
          <w:szCs w:val="21"/>
          <w:u w:val="single" w:color="auto"/>
          <w:color w:val="auto"/>
        </w:rPr>
        <w:t>Advisory Agreement</w:t>
      </w:r>
      <w:r>
        <w:rPr>
          <w:rFonts w:ascii="Calibri" w:cs="Calibri" w:eastAsia="Calibri" w:hAnsi="Calibri"/>
          <w:sz w:val="21"/>
          <w:szCs w:val="21"/>
          <w:color w:val="auto"/>
        </w:rPr>
        <w:t>”), which will include an agreement by the Executve, during the term of the Advisory Agreement and for a period of one (1) year thereafer, not to organize or serve in any capacity (whether as an ofcer, director, employee, consultant or otherwise) any person, frm, corporaton or other entty which is in direct competton with the Company or which may otherwise give rise to a confict of interest or appearance of a confict of interest with Executve’s service to the Company, without the prior writen consent of the Company.</w:t>
      </w:r>
    </w:p>
    <w:p>
      <w:pPr>
        <w:spacing w:after="0" w:line="226" w:lineRule="exact"/>
        <w:rPr>
          <w:sz w:val="20"/>
          <w:szCs w:val="20"/>
          <w:color w:val="auto"/>
        </w:rPr>
      </w:pPr>
    </w:p>
    <w:p>
      <w:pPr>
        <w:ind w:left="200" w:right="219"/>
        <w:spacing w:after="0" w:line="239" w:lineRule="auto"/>
        <w:rPr>
          <w:sz w:val="20"/>
          <w:szCs w:val="20"/>
          <w:color w:val="auto"/>
        </w:rPr>
      </w:pPr>
      <w:r>
        <w:rPr>
          <w:rFonts w:ascii="Calibri" w:cs="Calibri" w:eastAsia="Calibri" w:hAnsi="Calibri"/>
          <w:sz w:val="22"/>
          <w:szCs w:val="22"/>
          <w:color w:val="auto"/>
        </w:rPr>
        <w:t>To document a mutually agreeable Retrement, the Executve shall provide a Retrement Resignaton to the Company given in accordance with Paragraph 10 of this Agreement. For purposes of this Agreement, a “Retrement Resignaton” means a writen notce which refects the Executve’s resignaton from her seat on the Board of Directors and ofces with the Company and its subsidiaries, efectve upon a date that is mutually agreeable with the Board of Directors. For the avoidance of doubt, in the event that the Company and Executve cannot agree to a Retrement date, Executve maintains all rights under this Agreement, under the Executve Equity Retrement Program, and to otherwise to provide notce of her retrement.</w:t>
      </w:r>
    </w:p>
    <w:p>
      <w:pPr>
        <w:spacing w:after="0" w:line="224" w:lineRule="exact"/>
        <w:rPr>
          <w:sz w:val="20"/>
          <w:szCs w:val="20"/>
          <w:color w:val="auto"/>
        </w:rPr>
      </w:pPr>
    </w:p>
    <w:p>
      <w:pPr>
        <w:ind w:left="860" w:hanging="651"/>
        <w:spacing w:after="0"/>
        <w:tabs>
          <w:tab w:leader="none" w:pos="8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2"/>
          <w:szCs w:val="22"/>
          <w:b w:val="1"/>
          <w:bCs w:val="1"/>
          <w:u w:val="single" w:color="auto"/>
          <w:color w:val="auto"/>
        </w:rPr>
        <w:t>Obligatons of the Company Upon Terminaton</w:t>
      </w:r>
      <w:r>
        <w:rPr>
          <w:rFonts w:ascii="Calibri" w:cs="Calibri" w:eastAsia="Calibri" w:hAnsi="Calibri"/>
          <w:sz w:val="22"/>
          <w:szCs w:val="22"/>
          <w:color w:val="auto"/>
        </w:rPr>
        <w:t>.</w:t>
      </w:r>
    </w:p>
    <w:p>
      <w:pPr>
        <w:spacing w:after="0" w:line="230" w:lineRule="exact"/>
        <w:rPr>
          <w:sz w:val="20"/>
          <w:szCs w:val="20"/>
          <w:color w:val="auto"/>
        </w:rPr>
      </w:pPr>
    </w:p>
    <w:p>
      <w:pPr>
        <w:ind w:left="200" w:right="399"/>
        <w:spacing w:after="0" w:line="253" w:lineRule="auto"/>
        <w:rPr>
          <w:sz w:val="20"/>
          <w:szCs w:val="20"/>
          <w:color w:val="auto"/>
        </w:rPr>
      </w:pPr>
      <w:r>
        <w:rPr>
          <w:rFonts w:ascii="Times New Roman" w:cs="Times New Roman" w:eastAsia="Times New Roman" w:hAnsi="Times New Roman"/>
          <w:sz w:val="20"/>
          <w:szCs w:val="20"/>
          <w:color w:val="auto"/>
        </w:rPr>
        <w:t xml:space="preserve">8.1. </w:t>
      </w:r>
      <w:r>
        <w:rPr>
          <w:rFonts w:ascii="Calibri" w:cs="Calibri" w:eastAsia="Calibri" w:hAnsi="Calibri"/>
          <w:sz w:val="21"/>
          <w:szCs w:val="21"/>
          <w:u w:val="single" w:color="auto"/>
          <w:color w:val="auto"/>
        </w:rPr>
        <w:t>Discharge for Cause, Resignaton Without Good Reason (except on Retrement), Death or</w:t>
      </w:r>
      <w:r>
        <w:rPr>
          <w:rFonts w:ascii="Times New Roman" w:cs="Times New Roman" w:eastAsia="Times New Roman" w:hAnsi="Times New Roman"/>
          <w:sz w:val="20"/>
          <w:szCs w:val="20"/>
          <w:color w:val="auto"/>
        </w:rPr>
        <w:t xml:space="preserve"> </w:t>
      </w:r>
      <w:r>
        <w:rPr>
          <w:rFonts w:ascii="Calibri" w:cs="Calibri" w:eastAsia="Calibri" w:hAnsi="Calibri"/>
          <w:sz w:val="21"/>
          <w:szCs w:val="21"/>
          <w:u w:val="single" w:color="auto"/>
          <w:color w:val="auto"/>
        </w:rPr>
        <w:t>Disability</w:t>
      </w:r>
      <w:r>
        <w:rPr>
          <w:rFonts w:ascii="Calibri" w:cs="Calibri" w:eastAsia="Calibri" w:hAnsi="Calibri"/>
          <w:sz w:val="21"/>
          <w:szCs w:val="21"/>
          <w:color w:val="auto"/>
        </w:rPr>
        <w:t>. During the Term of this Agreement, in the event of a discharge of the Executve for Cause or resignaton by the Executve without Good Reason (except on Retrement), or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6" w:name="page37"/>
    <w:bookmarkEnd w:id="36"/>
    <w:p>
      <w:pPr>
        <w:ind w:left="200" w:right="979"/>
        <w:spacing w:after="0" w:line="235" w:lineRule="auto"/>
        <w:rPr>
          <w:sz w:val="20"/>
          <w:szCs w:val="20"/>
          <w:color w:val="auto"/>
        </w:rPr>
      </w:pPr>
      <w:r>
        <w:rPr>
          <w:rFonts w:ascii="Calibri" w:cs="Calibri" w:eastAsia="Calibri" w:hAnsi="Calibri"/>
          <w:sz w:val="22"/>
          <w:szCs w:val="22"/>
          <w:color w:val="auto"/>
        </w:rPr>
        <w:t>the event this Agreement terminates pursuant to Paragraph 7.1 by reason of the death or disability of the Executve:</w:t>
      </w:r>
    </w:p>
    <w:p>
      <w:pPr>
        <w:spacing w:after="0" w:line="230" w:lineRule="exact"/>
        <w:rPr>
          <w:sz w:val="20"/>
          <w:szCs w:val="20"/>
          <w:color w:val="auto"/>
        </w:rPr>
      </w:pPr>
    </w:p>
    <w:p>
      <w:pPr>
        <w:jc w:val="both"/>
        <w:ind w:left="1180" w:right="239" w:hanging="323"/>
        <w:spacing w:after="0" w:line="237" w:lineRule="auto"/>
        <w:tabs>
          <w:tab w:leader="none" w:pos="118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shall pay all Accrued Obligatons to the Executve, or to her benefciaries, heirs or estate in the event of the Executve’s death, in a lump sum in cash within thirty (30) days afer the Date of Terminaton; and</w:t>
      </w:r>
    </w:p>
    <w:p>
      <w:pPr>
        <w:spacing w:after="0" w:line="230" w:lineRule="exact"/>
        <w:rPr>
          <w:rFonts w:ascii="Times New Roman" w:cs="Times New Roman" w:eastAsia="Times New Roman" w:hAnsi="Times New Roman"/>
          <w:sz w:val="22"/>
          <w:szCs w:val="22"/>
          <w:color w:val="auto"/>
        </w:rPr>
      </w:pPr>
    </w:p>
    <w:p>
      <w:pPr>
        <w:ind w:left="1180" w:right="239" w:hanging="323"/>
        <w:spacing w:after="0" w:line="239" w:lineRule="auto"/>
        <w:tabs>
          <w:tab w:leader="none" w:pos="118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Executve, or her benefciaries, heirs or estate in the event of the Executve’s death, shall be enttled to receive all benefts accrued by her as of the Date of Terminaton under all qualifed and nonqualifed retrement, pension, proft sharing and similar plans of the Company in such manner and at such tme as are provided under the terms of such plans and arrangements; and</w:t>
      </w:r>
    </w:p>
    <w:p>
      <w:pPr>
        <w:spacing w:after="0" w:line="228" w:lineRule="exact"/>
        <w:rPr>
          <w:rFonts w:ascii="Times New Roman" w:cs="Times New Roman" w:eastAsia="Times New Roman" w:hAnsi="Times New Roman"/>
          <w:sz w:val="22"/>
          <w:szCs w:val="22"/>
          <w:color w:val="auto"/>
        </w:rPr>
      </w:pPr>
    </w:p>
    <w:p>
      <w:pPr>
        <w:ind w:left="1180" w:right="819" w:hanging="323"/>
        <w:spacing w:after="0" w:line="235" w:lineRule="auto"/>
        <w:tabs>
          <w:tab w:leader="none" w:pos="118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except as otherwise provided in Paragraph 15 hereof, all other obligatons of the Company under this Agreement shall cease forthwith.</w:t>
      </w:r>
    </w:p>
    <w:p>
      <w:pPr>
        <w:spacing w:after="0" w:line="230"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20"/>
          <w:szCs w:val="20"/>
          <w:color w:val="auto"/>
        </w:rPr>
        <w:t xml:space="preserve">8.2. </w:t>
      </w:r>
      <w:r>
        <w:rPr>
          <w:rFonts w:ascii="Calibri" w:cs="Calibri" w:eastAsia="Calibri" w:hAnsi="Calibri"/>
          <w:sz w:val="21"/>
          <w:szCs w:val="21"/>
          <w:u w:val="single" w:color="auto"/>
          <w:color w:val="auto"/>
        </w:rPr>
        <w:t>Discharge Without Cause or Resignaton for Good Reason</w:t>
      </w:r>
      <w:r>
        <w:rPr>
          <w:rFonts w:ascii="Calibri" w:cs="Calibri" w:eastAsia="Calibri" w:hAnsi="Calibri"/>
          <w:sz w:val="21"/>
          <w:szCs w:val="21"/>
          <w:color w:val="auto"/>
        </w:rPr>
        <w:t>. During the Term of this</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Agreement and/or during the Term of the Advisory Agreement (if Executve remains an employee under said Advisory Agreement), if the Executve is discharged other than for (x) Cause (i.e., without Cause) or (y) disability, or if the Executve resigns with Good Reason:</w:t>
      </w:r>
    </w:p>
    <w:p>
      <w:pPr>
        <w:spacing w:after="0" w:line="215" w:lineRule="exact"/>
        <w:rPr>
          <w:sz w:val="20"/>
          <w:szCs w:val="20"/>
          <w:color w:val="auto"/>
        </w:rPr>
      </w:pPr>
    </w:p>
    <w:p>
      <w:pPr>
        <w:ind w:left="1180" w:right="499" w:hanging="323"/>
        <w:spacing w:after="0" w:line="235" w:lineRule="auto"/>
        <w:tabs>
          <w:tab w:leader="none" w:pos="118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shall pay to the Executve in a lump sum in cash within thirty (30) days afer the Date of Terminaton the aggregate of the following amounts:</w:t>
      </w:r>
    </w:p>
    <w:p>
      <w:pPr>
        <w:spacing w:after="0" w:line="217" w:lineRule="exact"/>
        <w:rPr>
          <w:rFonts w:ascii="Times New Roman" w:cs="Times New Roman" w:eastAsia="Times New Roman" w:hAnsi="Times New Roman"/>
          <w:sz w:val="22"/>
          <w:szCs w:val="22"/>
          <w:color w:val="auto"/>
        </w:rPr>
      </w:pPr>
    </w:p>
    <w:p>
      <w:pPr>
        <w:ind w:left="2160" w:hanging="273"/>
        <w:spacing w:after="0"/>
        <w:tabs>
          <w:tab w:leader="none" w:pos="2160" w:val="left"/>
        </w:tabs>
        <w:numPr>
          <w:ilvl w:val="1"/>
          <w:numId w:val="19"/>
        </w:numPr>
        <w:rPr>
          <w:rFonts w:ascii="Calibri" w:cs="Calibri" w:eastAsia="Calibri" w:hAnsi="Calibri"/>
          <w:sz w:val="22"/>
          <w:szCs w:val="22"/>
          <w:color w:val="auto"/>
        </w:rPr>
      </w:pPr>
      <w:r>
        <w:rPr>
          <w:rFonts w:ascii="Calibri" w:cs="Calibri" w:eastAsia="Calibri" w:hAnsi="Calibri"/>
          <w:sz w:val="22"/>
          <w:szCs w:val="22"/>
          <w:color w:val="auto"/>
        </w:rPr>
        <w:t>all Accrued Obligatons; and</w:t>
      </w:r>
    </w:p>
    <w:p>
      <w:pPr>
        <w:spacing w:after="0" w:line="230" w:lineRule="exact"/>
        <w:rPr>
          <w:rFonts w:ascii="Calibri" w:cs="Calibri" w:eastAsia="Calibri" w:hAnsi="Calibri"/>
          <w:sz w:val="22"/>
          <w:szCs w:val="22"/>
          <w:color w:val="auto"/>
        </w:rPr>
      </w:pPr>
    </w:p>
    <w:p>
      <w:pPr>
        <w:ind w:left="2160" w:right="379" w:hanging="323"/>
        <w:spacing w:after="0" w:line="235" w:lineRule="auto"/>
        <w:tabs>
          <w:tab w:leader="none" w:pos="2160" w:val="left"/>
        </w:tabs>
        <w:numPr>
          <w:ilvl w:val="1"/>
          <w:numId w:val="19"/>
        </w:numPr>
        <w:rPr>
          <w:rFonts w:ascii="Calibri" w:cs="Calibri" w:eastAsia="Calibri" w:hAnsi="Calibri"/>
          <w:sz w:val="22"/>
          <w:szCs w:val="22"/>
          <w:color w:val="auto"/>
        </w:rPr>
      </w:pPr>
      <w:r>
        <w:rPr>
          <w:rFonts w:ascii="Calibri" w:cs="Calibri" w:eastAsia="Calibri" w:hAnsi="Calibri"/>
          <w:sz w:val="22"/>
          <w:szCs w:val="22"/>
          <w:color w:val="auto"/>
        </w:rPr>
        <w:t>an amount equal to her monthly base salary at the highest rate in efect in the most recent year multplied by 24; and</w:t>
      </w:r>
    </w:p>
    <w:p>
      <w:pPr>
        <w:spacing w:after="0" w:line="217" w:lineRule="exact"/>
        <w:rPr>
          <w:rFonts w:ascii="Calibri" w:cs="Calibri" w:eastAsia="Calibri" w:hAnsi="Calibri"/>
          <w:sz w:val="22"/>
          <w:szCs w:val="22"/>
          <w:color w:val="auto"/>
        </w:rPr>
      </w:pPr>
    </w:p>
    <w:p>
      <w:pPr>
        <w:ind w:left="2160" w:hanging="372"/>
        <w:spacing w:after="0"/>
        <w:tabs>
          <w:tab w:leader="none" w:pos="2160" w:val="left"/>
        </w:tabs>
        <w:numPr>
          <w:ilvl w:val="1"/>
          <w:numId w:val="19"/>
        </w:numPr>
        <w:rPr>
          <w:rFonts w:ascii="Calibri" w:cs="Calibri" w:eastAsia="Calibri" w:hAnsi="Calibri"/>
          <w:sz w:val="22"/>
          <w:szCs w:val="22"/>
          <w:color w:val="auto"/>
        </w:rPr>
      </w:pPr>
      <w:r>
        <w:rPr>
          <w:rFonts w:ascii="Calibri" w:cs="Calibri" w:eastAsia="Calibri" w:hAnsi="Calibri"/>
          <w:sz w:val="22"/>
          <w:szCs w:val="22"/>
          <w:color w:val="auto"/>
        </w:rPr>
        <w:t>an amount equal to the Monthly Bonus Amount multplied by 24.</w:t>
      </w:r>
    </w:p>
    <w:p>
      <w:pPr>
        <w:spacing w:after="0" w:line="229" w:lineRule="exact"/>
        <w:rPr>
          <w:rFonts w:ascii="Calibri" w:cs="Calibri" w:eastAsia="Calibri" w:hAnsi="Calibri"/>
          <w:sz w:val="22"/>
          <w:szCs w:val="22"/>
          <w:color w:val="auto"/>
        </w:rPr>
      </w:pPr>
    </w:p>
    <w:p>
      <w:pPr>
        <w:ind w:left="1180" w:right="479" w:hanging="323"/>
        <w:spacing w:after="0" w:line="239" w:lineRule="auto"/>
        <w:tabs>
          <w:tab w:leader="none" w:pos="118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Executve elects to contnue health coverage under the Company’s health plan in accordance with the contnuaton requirements of COBRA, the Company will pay for the cost of such coverage untl the earlier of (i) the date Executve begins full-tme employment or full-tme self-employment; or (ii) the end of the eighteenth month afer the Date of Terminaton; and</w:t>
      </w:r>
    </w:p>
    <w:p>
      <w:pPr>
        <w:spacing w:after="0" w:line="228" w:lineRule="exact"/>
        <w:rPr>
          <w:rFonts w:ascii="Times New Roman" w:cs="Times New Roman" w:eastAsia="Times New Roman" w:hAnsi="Times New Roman"/>
          <w:sz w:val="22"/>
          <w:szCs w:val="22"/>
          <w:color w:val="auto"/>
        </w:rPr>
      </w:pPr>
    </w:p>
    <w:p>
      <w:pPr>
        <w:ind w:left="1180" w:right="439" w:hanging="323"/>
        <w:spacing w:after="0" w:line="238" w:lineRule="auto"/>
        <w:tabs>
          <w:tab w:leader="none" w:pos="118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Executve shall be enttled to receive all benefts accrued by her as of the Date of Terminaton under all qualifed and nonqualifed retrement, pension, proft sharing and similar plans of the Company in such manner and at such tme as are provided under the terms of such plans; and</w:t>
      </w:r>
    </w:p>
    <w:p>
      <w:pPr>
        <w:spacing w:after="0" w:line="230" w:lineRule="exact"/>
        <w:rPr>
          <w:rFonts w:ascii="Times New Roman" w:cs="Times New Roman" w:eastAsia="Times New Roman" w:hAnsi="Times New Roman"/>
          <w:sz w:val="22"/>
          <w:szCs w:val="22"/>
          <w:color w:val="auto"/>
        </w:rPr>
      </w:pPr>
    </w:p>
    <w:p>
      <w:pPr>
        <w:ind w:left="1180" w:right="359" w:hanging="323"/>
        <w:spacing w:after="0" w:line="238" w:lineRule="auto"/>
        <w:tabs>
          <w:tab w:leader="none" w:pos="118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stock optons and other stock interests or stock-based rights awarded to the Executve by the Company on or before the Date of Terminaton shall become fully vested and nonforfeitable as of the Date of Terminaton and shall remain in efect and exercisable in accordance with the terms and conditons of their grant;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7" w:name="page38"/>
    <w:bookmarkEnd w:id="37"/>
    <w:p>
      <w:pPr>
        <w:ind w:left="1180" w:right="819" w:hanging="323"/>
        <w:spacing w:after="0" w:line="235" w:lineRule="auto"/>
        <w:tabs>
          <w:tab w:leader="none" w:pos="1180"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except as otherwise provided in Paragraph 15 hereof, all other obligatons of the Company under this Agreement shall cease forthwith.</w:t>
      </w:r>
    </w:p>
    <w:p>
      <w:pPr>
        <w:spacing w:after="0" w:line="230" w:lineRule="exact"/>
        <w:rPr>
          <w:sz w:val="20"/>
          <w:szCs w:val="20"/>
          <w:color w:val="auto"/>
        </w:rPr>
      </w:pPr>
    </w:p>
    <w:p>
      <w:pPr>
        <w:ind w:left="200" w:right="399"/>
        <w:spacing w:after="0" w:line="254" w:lineRule="auto"/>
        <w:rPr>
          <w:sz w:val="20"/>
          <w:szCs w:val="20"/>
          <w:color w:val="auto"/>
        </w:rPr>
      </w:pPr>
      <w:r>
        <w:rPr>
          <w:rFonts w:ascii="Times New Roman" w:cs="Times New Roman" w:eastAsia="Times New Roman" w:hAnsi="Times New Roman"/>
          <w:sz w:val="20"/>
          <w:szCs w:val="20"/>
          <w:color w:val="auto"/>
        </w:rPr>
        <w:t xml:space="preserve">8.3. </w:t>
      </w:r>
      <w:r>
        <w:rPr>
          <w:rFonts w:ascii="Calibri" w:cs="Calibri" w:eastAsia="Calibri" w:hAnsi="Calibri"/>
          <w:sz w:val="21"/>
          <w:szCs w:val="21"/>
          <w:u w:val="single" w:color="auto"/>
          <w:color w:val="auto"/>
        </w:rPr>
        <w:t>Retrement</w:t>
      </w:r>
      <w:r>
        <w:rPr>
          <w:rFonts w:ascii="Calibri" w:cs="Calibri" w:eastAsia="Calibri" w:hAnsi="Calibri"/>
          <w:sz w:val="21"/>
          <w:szCs w:val="21"/>
          <w:color w:val="auto"/>
        </w:rPr>
        <w:t>. In the event of a Retrement (whether or not accompanied by a terminaton</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of employment):</w:t>
      </w:r>
    </w:p>
    <w:p>
      <w:pPr>
        <w:spacing w:after="0" w:line="213" w:lineRule="exact"/>
        <w:rPr>
          <w:sz w:val="20"/>
          <w:szCs w:val="20"/>
          <w:color w:val="auto"/>
        </w:rPr>
      </w:pPr>
    </w:p>
    <w:p>
      <w:pPr>
        <w:ind w:left="1180" w:right="359" w:hanging="323"/>
        <w:spacing w:after="0" w:line="237" w:lineRule="auto"/>
        <w:tabs>
          <w:tab w:leader="none" w:pos="118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shall pay all Accrued Obligatons to the Executve, in a lump sum in cash within thirty (30) days afer the Date of Terminaton on or following the Retrement; and</w:t>
      </w:r>
    </w:p>
    <w:p>
      <w:pPr>
        <w:spacing w:after="0" w:line="230" w:lineRule="exact"/>
        <w:rPr>
          <w:rFonts w:ascii="Times New Roman" w:cs="Times New Roman" w:eastAsia="Times New Roman" w:hAnsi="Times New Roman"/>
          <w:sz w:val="22"/>
          <w:szCs w:val="22"/>
          <w:color w:val="auto"/>
        </w:rPr>
      </w:pPr>
    </w:p>
    <w:p>
      <w:pPr>
        <w:ind w:left="1180" w:right="299" w:hanging="323"/>
        <w:spacing w:after="0" w:line="237" w:lineRule="auto"/>
        <w:tabs>
          <w:tab w:leader="none" w:pos="118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will contnue to pay the Executve an amount equal to her base pay in efect on the date of Retrement, for 12 months following the date of Retrement, on a payroll contnuaton basis; and</w:t>
      </w:r>
    </w:p>
    <w:p>
      <w:pPr>
        <w:spacing w:after="0" w:line="230" w:lineRule="exact"/>
        <w:rPr>
          <w:rFonts w:ascii="Times New Roman" w:cs="Times New Roman" w:eastAsia="Times New Roman" w:hAnsi="Times New Roman"/>
          <w:sz w:val="22"/>
          <w:szCs w:val="22"/>
          <w:color w:val="auto"/>
        </w:rPr>
      </w:pPr>
    </w:p>
    <w:p>
      <w:pPr>
        <w:ind w:left="1180" w:right="379" w:hanging="323"/>
        <w:spacing w:after="0"/>
        <w:tabs>
          <w:tab w:leader="none" w:pos="118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Notwithstanding Executve’s Retrement and/or terminaton of employment, the Executve will contnue to have a target opportunity under the Axcelis Management Incentve plan (or any equivalent successor annual cash incentve plan in which the executve ofcers partcipate) for the year in which the date of Retrement occurs, equal to 100% of her annual base salary at the date of Retrement (but not less than the amount set forth in Paragraph 3), and be enttled to a payout under such plan, based on the score as determined in accordance with the plan, and paid as and when other plan payouts are made regardless of whether Executve remains employed on that date; and</w:t>
      </w:r>
    </w:p>
    <w:p>
      <w:pPr>
        <w:spacing w:after="0" w:line="229" w:lineRule="exact"/>
        <w:rPr>
          <w:rFonts w:ascii="Times New Roman" w:cs="Times New Roman" w:eastAsia="Times New Roman" w:hAnsi="Times New Roman"/>
          <w:sz w:val="22"/>
          <w:szCs w:val="22"/>
          <w:color w:val="auto"/>
        </w:rPr>
      </w:pPr>
    </w:p>
    <w:p>
      <w:pPr>
        <w:ind w:left="1180" w:right="279" w:hanging="323"/>
        <w:spacing w:after="0" w:line="239" w:lineRule="auto"/>
        <w:tabs>
          <w:tab w:leader="none" w:pos="118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the event the Executve’s employment contnues afer the year in which the date of Retrement occurs, the Executve will contnue to have a target opportunity under the Axcelis Management Incentve plan (or any equivalent successor annual cash incentve plan in which the executve ofcers partcipate) for any year in which her employment contnues equal to 100% of her actual base salary received during the applicable year, and be enttled to a payout under such plan, based on the score as determined in accordance with the plan, and paid as and when other plan payouts are made regardless of whether Executve remains employed on that date; and</w:t>
      </w:r>
    </w:p>
    <w:p>
      <w:pPr>
        <w:spacing w:after="0" w:line="236" w:lineRule="exact"/>
        <w:rPr>
          <w:rFonts w:ascii="Times New Roman" w:cs="Times New Roman" w:eastAsia="Times New Roman" w:hAnsi="Times New Roman"/>
          <w:sz w:val="22"/>
          <w:szCs w:val="22"/>
          <w:color w:val="auto"/>
        </w:rPr>
      </w:pPr>
    </w:p>
    <w:p>
      <w:pPr>
        <w:ind w:left="1180" w:right="259" w:hanging="323"/>
        <w:spacing w:after="0" w:line="252" w:lineRule="auto"/>
        <w:tabs>
          <w:tab w:leader="none" w:pos="1180" w:val="left"/>
        </w:tabs>
        <w:numPr>
          <w:ilvl w:val="0"/>
          <w:numId w:val="21"/>
        </w:numPr>
        <w:rPr>
          <w:rFonts w:ascii="Times New Roman" w:cs="Times New Roman" w:eastAsia="Times New Roman" w:hAnsi="Times New Roman"/>
          <w:sz w:val="21"/>
          <w:szCs w:val="21"/>
          <w:color w:val="auto"/>
        </w:rPr>
      </w:pPr>
      <w:r>
        <w:rPr>
          <w:rFonts w:ascii="Calibri" w:cs="Calibri" w:eastAsia="Calibri" w:hAnsi="Calibri"/>
          <w:sz w:val="21"/>
          <w:szCs w:val="21"/>
          <w:color w:val="auto"/>
        </w:rPr>
        <w:t>Except as provided in Secton 5.2.2 (which is governed by the terms therein), the Executve shall be enttled to the acceleraton of unvested equity awards at the date of Retrement in accordance with the Executve Equity Retrement Program adopted by the Compensaton Commitee of the Board of Directors as if the Executve had given notce of Retrement on December 31, 2022, and without regard to whether the date of Retrement is less than 18 months afer such agreement; accordingly, at Retrement:</w:t>
      </w:r>
    </w:p>
    <w:p>
      <w:pPr>
        <w:spacing w:after="0" w:line="210" w:lineRule="exact"/>
        <w:rPr>
          <w:rFonts w:ascii="Times New Roman" w:cs="Times New Roman" w:eastAsia="Times New Roman" w:hAnsi="Times New Roman"/>
          <w:sz w:val="21"/>
          <w:szCs w:val="21"/>
          <w:color w:val="auto"/>
        </w:rPr>
      </w:pPr>
    </w:p>
    <w:p>
      <w:pPr>
        <w:ind w:left="1600" w:hanging="523"/>
        <w:spacing w:after="0"/>
        <w:tabs>
          <w:tab w:leader="none" w:pos="1600" w:val="left"/>
        </w:tabs>
        <w:numPr>
          <w:ilvl w:val="1"/>
          <w:numId w:val="21"/>
        </w:numPr>
        <w:rPr>
          <w:rFonts w:ascii="Calibri" w:cs="Calibri" w:eastAsia="Calibri" w:hAnsi="Calibri"/>
          <w:sz w:val="22"/>
          <w:szCs w:val="22"/>
          <w:color w:val="auto"/>
        </w:rPr>
      </w:pPr>
      <w:r>
        <w:rPr>
          <w:rFonts w:ascii="Calibri" w:cs="Calibri" w:eastAsia="Calibri" w:hAnsi="Calibri"/>
          <w:sz w:val="22"/>
          <w:szCs w:val="22"/>
          <w:color w:val="auto"/>
        </w:rPr>
        <w:t>all equity awards made during and prior to 2021 shall be fully vested;</w:t>
      </w:r>
    </w:p>
    <w:p>
      <w:pPr>
        <w:spacing w:after="0" w:line="227" w:lineRule="exact"/>
        <w:rPr>
          <w:rFonts w:ascii="Calibri" w:cs="Calibri" w:eastAsia="Calibri" w:hAnsi="Calibri"/>
          <w:sz w:val="22"/>
          <w:szCs w:val="22"/>
          <w:color w:val="auto"/>
        </w:rPr>
      </w:pPr>
    </w:p>
    <w:p>
      <w:pPr>
        <w:ind w:left="1500" w:right="559" w:hanging="473"/>
        <w:spacing w:after="0" w:line="254" w:lineRule="auto"/>
        <w:tabs>
          <w:tab w:leader="none" w:pos="1500" w:val="left"/>
        </w:tabs>
        <w:numPr>
          <w:ilvl w:val="1"/>
          <w:numId w:val="21"/>
        </w:numPr>
        <w:rPr>
          <w:rFonts w:ascii="Calibri" w:cs="Calibri" w:eastAsia="Calibri" w:hAnsi="Calibri"/>
          <w:sz w:val="21"/>
          <w:szCs w:val="21"/>
          <w:color w:val="auto"/>
        </w:rPr>
      </w:pPr>
      <w:r>
        <w:rPr>
          <w:rFonts w:ascii="Calibri" w:cs="Calibri" w:eastAsia="Calibri" w:hAnsi="Calibri"/>
          <w:sz w:val="21"/>
          <w:szCs w:val="21"/>
          <w:color w:val="auto"/>
        </w:rPr>
        <w:t>the service based equity award made in 2022 shall be at least 75% vested (and shall be 100% vested on May 16, 2024 in the event the Executve’s employment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8" w:name="page39"/>
    <w:bookmarkEnd w:id="38"/>
    <w:p>
      <w:pPr>
        <w:ind w:left="1500" w:right="379"/>
        <w:spacing w:after="0" w:line="235" w:lineRule="auto"/>
        <w:rPr>
          <w:sz w:val="20"/>
          <w:szCs w:val="20"/>
          <w:color w:val="auto"/>
        </w:rPr>
      </w:pPr>
      <w:r>
        <w:rPr>
          <w:rFonts w:ascii="Calibri" w:cs="Calibri" w:eastAsia="Calibri" w:hAnsi="Calibri"/>
          <w:sz w:val="22"/>
          <w:szCs w:val="22"/>
          <w:color w:val="auto"/>
        </w:rPr>
        <w:t>contnues through that date), unless a higher percentage of vestng is provided by the Executve Equity Retrement Program;</w:t>
      </w:r>
    </w:p>
    <w:p>
      <w:pPr>
        <w:spacing w:after="0" w:line="230" w:lineRule="exact"/>
        <w:rPr>
          <w:sz w:val="20"/>
          <w:szCs w:val="20"/>
          <w:color w:val="auto"/>
        </w:rPr>
      </w:pPr>
    </w:p>
    <w:p>
      <w:pPr>
        <w:ind w:left="1500" w:right="219" w:hanging="522"/>
        <w:spacing w:after="0" w:line="253" w:lineRule="auto"/>
        <w:tabs>
          <w:tab w:leader="none" w:pos="1500" w:val="left"/>
        </w:tabs>
        <w:numPr>
          <w:ilvl w:val="1"/>
          <w:numId w:val="22"/>
        </w:numPr>
        <w:rPr>
          <w:rFonts w:ascii="Calibri" w:cs="Calibri" w:eastAsia="Calibri" w:hAnsi="Calibri"/>
          <w:sz w:val="21"/>
          <w:szCs w:val="21"/>
          <w:color w:val="auto"/>
        </w:rPr>
      </w:pPr>
      <w:r>
        <w:rPr>
          <w:rFonts w:ascii="Calibri" w:cs="Calibri" w:eastAsia="Calibri" w:hAnsi="Calibri"/>
          <w:sz w:val="21"/>
          <w:szCs w:val="21"/>
          <w:color w:val="auto"/>
        </w:rPr>
        <w:t>the frst tranche (50% of the number earned) of the 2022 performance based RSUs will be fully vested and the second tranche of 2022 performance based grant shall be at least 75% vested (and shall be 100% vested on February 28, 2024 in the event the Executve’s employment contnues through that date) unless a higher percentage of vestng is provided in the Executve Equity Retrement Program;</w:t>
      </w:r>
    </w:p>
    <w:p>
      <w:pPr>
        <w:spacing w:after="0" w:line="214" w:lineRule="exact"/>
        <w:rPr>
          <w:rFonts w:ascii="Calibri" w:cs="Calibri" w:eastAsia="Calibri" w:hAnsi="Calibri"/>
          <w:sz w:val="21"/>
          <w:szCs w:val="21"/>
          <w:color w:val="auto"/>
        </w:rPr>
      </w:pPr>
    </w:p>
    <w:p>
      <w:pPr>
        <w:ind w:left="1500" w:right="379" w:hanging="503"/>
        <w:spacing w:after="0" w:line="235" w:lineRule="auto"/>
        <w:tabs>
          <w:tab w:leader="none" w:pos="1500" w:val="left"/>
        </w:tabs>
        <w:numPr>
          <w:ilvl w:val="1"/>
          <w:numId w:val="22"/>
        </w:numPr>
        <w:rPr>
          <w:rFonts w:ascii="Calibri" w:cs="Calibri" w:eastAsia="Calibri" w:hAnsi="Calibri"/>
          <w:sz w:val="22"/>
          <w:szCs w:val="22"/>
          <w:color w:val="auto"/>
        </w:rPr>
      </w:pPr>
      <w:r>
        <w:rPr>
          <w:rFonts w:ascii="Calibri" w:cs="Calibri" w:eastAsia="Calibri" w:hAnsi="Calibri"/>
          <w:sz w:val="22"/>
          <w:szCs w:val="22"/>
          <w:color w:val="auto"/>
        </w:rPr>
        <w:t>the 2023 performance based RSUs described in Secton 5.2.2(a) shall be vested as described in that secton; and</w:t>
      </w:r>
    </w:p>
    <w:p>
      <w:pPr>
        <w:spacing w:after="0" w:line="230" w:lineRule="exact"/>
        <w:rPr>
          <w:rFonts w:ascii="Calibri" w:cs="Calibri" w:eastAsia="Calibri" w:hAnsi="Calibri"/>
          <w:sz w:val="22"/>
          <w:szCs w:val="22"/>
          <w:color w:val="auto"/>
        </w:rPr>
      </w:pPr>
    </w:p>
    <w:p>
      <w:pPr>
        <w:ind w:left="1500" w:right="299" w:hanging="454"/>
        <w:spacing w:after="0" w:line="254" w:lineRule="auto"/>
        <w:tabs>
          <w:tab w:leader="none" w:pos="1500" w:val="left"/>
        </w:tabs>
        <w:numPr>
          <w:ilvl w:val="1"/>
          <w:numId w:val="22"/>
        </w:numPr>
        <w:rPr>
          <w:rFonts w:ascii="Calibri" w:cs="Calibri" w:eastAsia="Calibri" w:hAnsi="Calibri"/>
          <w:sz w:val="21"/>
          <w:szCs w:val="21"/>
          <w:color w:val="auto"/>
        </w:rPr>
      </w:pPr>
      <w:r>
        <w:rPr>
          <w:rFonts w:ascii="Calibri" w:cs="Calibri" w:eastAsia="Calibri" w:hAnsi="Calibri"/>
          <w:sz w:val="21"/>
          <w:szCs w:val="21"/>
          <w:color w:val="auto"/>
        </w:rPr>
        <w:t>if the date of Retrement is in 2024, the Executve will receive the service based grant described in Secton 5.2.2(b) which will vest as described in that secton; and</w:t>
      </w:r>
    </w:p>
    <w:p>
      <w:pPr>
        <w:spacing w:after="0" w:line="213" w:lineRule="exact"/>
        <w:rPr>
          <w:rFonts w:ascii="Calibri" w:cs="Calibri" w:eastAsia="Calibri" w:hAnsi="Calibri"/>
          <w:sz w:val="21"/>
          <w:szCs w:val="21"/>
          <w:color w:val="auto"/>
        </w:rPr>
      </w:pPr>
    </w:p>
    <w:p>
      <w:pPr>
        <w:ind w:left="1180" w:right="259" w:hanging="323"/>
        <w:spacing w:after="0" w:line="237" w:lineRule="auto"/>
        <w:tabs>
          <w:tab w:leader="none" w:pos="1180" w:val="left"/>
        </w:tabs>
        <w:numPr>
          <w:ilvl w:val="0"/>
          <w:numId w:val="23"/>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Executve elects to contnue health coverage under the Company’s health plan in accordance with the contnuaton requirements of COBRA, the Company will pay 100% of the COBRA premium for the cost of such coverage for up to 18 months; and</w:t>
      </w:r>
    </w:p>
    <w:p>
      <w:pPr>
        <w:spacing w:after="0" w:line="230" w:lineRule="exact"/>
        <w:rPr>
          <w:rFonts w:ascii="Times New Roman" w:cs="Times New Roman" w:eastAsia="Times New Roman" w:hAnsi="Times New Roman"/>
          <w:sz w:val="22"/>
          <w:szCs w:val="22"/>
          <w:color w:val="auto"/>
        </w:rPr>
      </w:pPr>
    </w:p>
    <w:p>
      <w:pPr>
        <w:ind w:left="1180" w:right="339" w:hanging="323"/>
        <w:spacing w:after="0" w:line="238" w:lineRule="auto"/>
        <w:tabs>
          <w:tab w:leader="none" w:pos="1180" w:val="left"/>
        </w:tabs>
        <w:numPr>
          <w:ilvl w:val="0"/>
          <w:numId w:val="2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Executve shall be enttled to receive all benefts accrued by her as of the Date of Terminaton under all qualifed and nonqualifed retrement, pension, deferred compensaton, proft sharing and similar plans of the Company in such manner and at such tme as are provided under the terms of such plans and arrangements; and</w:t>
      </w:r>
    </w:p>
    <w:p>
      <w:pPr>
        <w:spacing w:after="0" w:line="230" w:lineRule="exact"/>
        <w:rPr>
          <w:rFonts w:ascii="Times New Roman" w:cs="Times New Roman" w:eastAsia="Times New Roman" w:hAnsi="Times New Roman"/>
          <w:sz w:val="22"/>
          <w:szCs w:val="22"/>
          <w:color w:val="auto"/>
        </w:rPr>
      </w:pPr>
    </w:p>
    <w:p>
      <w:pPr>
        <w:ind w:left="1180" w:right="819" w:hanging="323"/>
        <w:spacing w:after="0" w:line="235" w:lineRule="auto"/>
        <w:tabs>
          <w:tab w:leader="none" w:pos="1180" w:val="left"/>
        </w:tabs>
        <w:numPr>
          <w:ilvl w:val="0"/>
          <w:numId w:val="2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except as otherwise provided in Paragraph 15 hereof, all other obligatons of the Company under this Agreement shall cease forthwith.</w:t>
      </w:r>
    </w:p>
    <w:p>
      <w:pPr>
        <w:spacing w:after="0" w:line="230" w:lineRule="exact"/>
        <w:rPr>
          <w:sz w:val="20"/>
          <w:szCs w:val="20"/>
          <w:color w:val="auto"/>
        </w:rPr>
      </w:pPr>
    </w:p>
    <w:p>
      <w:pPr>
        <w:ind w:left="200" w:right="339"/>
        <w:spacing w:after="0" w:line="253" w:lineRule="auto"/>
        <w:rPr>
          <w:sz w:val="20"/>
          <w:szCs w:val="20"/>
          <w:color w:val="auto"/>
        </w:rPr>
      </w:pPr>
      <w:r>
        <w:rPr>
          <w:rFonts w:ascii="Times New Roman" w:cs="Times New Roman" w:eastAsia="Times New Roman" w:hAnsi="Times New Roman"/>
          <w:sz w:val="20"/>
          <w:szCs w:val="20"/>
          <w:color w:val="auto"/>
        </w:rPr>
        <w:t xml:space="preserve">8.4. </w:t>
      </w:r>
      <w:r>
        <w:rPr>
          <w:rFonts w:ascii="Calibri" w:cs="Calibri" w:eastAsia="Calibri" w:hAnsi="Calibri"/>
          <w:sz w:val="21"/>
          <w:szCs w:val="21"/>
          <w:u w:val="single" w:color="auto"/>
          <w:color w:val="auto"/>
        </w:rPr>
        <w:t>Payment Obligatons Absolute</w:t>
      </w:r>
      <w:r>
        <w:rPr>
          <w:rFonts w:ascii="Calibri" w:cs="Calibri" w:eastAsia="Calibri" w:hAnsi="Calibri"/>
          <w:sz w:val="21"/>
          <w:szCs w:val="21"/>
          <w:color w:val="auto"/>
        </w:rPr>
        <w:t>. The Company’s obligaton to make the payments and the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arrangements provided for herein shall be absolute and unconditonal, and shall not be afected by any circumstances, including, without limitaton, any ofset, counterclaim, recoupment, defense, or other right which the Company may have against the Executve or any other party. Each and every payment made hereunder by the Company shall be fnal, and the Company shall not seek to recover all or any part of such payment from the Executve or from whomsoever may be enttled thereto, for any reasons whatsoever.</w:t>
      </w:r>
    </w:p>
    <w:p>
      <w:pPr>
        <w:spacing w:after="0" w:line="214"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20"/>
          <w:szCs w:val="20"/>
          <w:color w:val="auto"/>
        </w:rPr>
        <w:t xml:space="preserve">8.5. </w:t>
      </w:r>
      <w:r>
        <w:rPr>
          <w:rFonts w:ascii="Calibri" w:cs="Calibri" w:eastAsia="Calibri" w:hAnsi="Calibri"/>
          <w:sz w:val="21"/>
          <w:szCs w:val="21"/>
          <w:u w:val="single" w:color="auto"/>
          <w:color w:val="auto"/>
        </w:rPr>
        <w:t>Secton 409A</w:t>
      </w:r>
      <w:r>
        <w:rPr>
          <w:rFonts w:ascii="Calibri" w:cs="Calibri" w:eastAsia="Calibri" w:hAnsi="Calibri"/>
          <w:sz w:val="21"/>
          <w:szCs w:val="21"/>
          <w:b w:val="1"/>
          <w:bCs w:val="1"/>
          <w:color w:val="auto"/>
        </w:rPr>
        <w:t>.</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Notwithstanding anything to the contrary in this Agreement, if the</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Executve is a “specifed employee” within the meaning of Secton 409A of the Internal Revenue Code of 1986, as amended (the “Code”) and the fnal regulatons and any guidance promulgated thereunder (“Secton 409A”) at the tme of Executve’s separaton from service, and the severance payments and separaton benefts payable to Executve, if any, pursuant to this Agreement is considered “nonqualifed deferred compensaton” as defned pursuant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200" w:right="319"/>
        <w:spacing w:after="0" w:line="235" w:lineRule="auto"/>
        <w:rPr>
          <w:sz w:val="20"/>
          <w:szCs w:val="20"/>
          <w:color w:val="auto"/>
        </w:rPr>
      </w:pPr>
      <w:r>
        <w:rPr>
          <w:rFonts w:ascii="Calibri" w:cs="Calibri" w:eastAsia="Calibri" w:hAnsi="Calibri"/>
          <w:sz w:val="22"/>
          <w:szCs w:val="22"/>
          <w:color w:val="auto"/>
        </w:rPr>
        <w:t>Secton 409A, such payments and benefts shall be made to Executve with the frst payroll that is six months and one day following the Executve’s Date of Terminaton.</w:t>
      </w:r>
    </w:p>
    <w:p>
      <w:pPr>
        <w:spacing w:after="0" w:line="230"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20"/>
          <w:szCs w:val="20"/>
          <w:color w:val="auto"/>
        </w:rPr>
        <w:t xml:space="preserve">8.6. </w:t>
      </w:r>
      <w:r>
        <w:rPr>
          <w:rFonts w:ascii="Calibri" w:cs="Calibri" w:eastAsia="Calibri" w:hAnsi="Calibri"/>
          <w:sz w:val="21"/>
          <w:szCs w:val="21"/>
          <w:u w:val="single" w:color="auto"/>
          <w:color w:val="auto"/>
        </w:rPr>
        <w:t>Contractual Rights to Benefts</w:t>
      </w:r>
      <w:r>
        <w:rPr>
          <w:rFonts w:ascii="Calibri" w:cs="Calibri" w:eastAsia="Calibri" w:hAnsi="Calibri"/>
          <w:sz w:val="21"/>
          <w:szCs w:val="21"/>
          <w:color w:val="auto"/>
        </w:rPr>
        <w:t>. This Agreement establishes and vests in the Executve a</w:t>
      </w:r>
      <w:r>
        <w:rPr>
          <w:rFonts w:ascii="Times New Roman" w:cs="Times New Roman" w:eastAsia="Times New Roman" w:hAnsi="Times New Roman"/>
          <w:sz w:val="20"/>
          <w:szCs w:val="20"/>
          <w:color w:val="auto"/>
        </w:rPr>
        <w:t xml:space="preserve"> </w:t>
      </w:r>
      <w:r>
        <w:rPr>
          <w:rFonts w:ascii="Calibri" w:cs="Calibri" w:eastAsia="Calibri" w:hAnsi="Calibri"/>
          <w:sz w:val="21"/>
          <w:szCs w:val="21"/>
          <w:color w:val="auto"/>
        </w:rPr>
        <w:t>contractual right to the benefts to which she is enttled hereunder. The Executve shall not be obligated to seek other employment in mitgaton of the amounts payable or arrangements made under any provision of this Agreement, and the obtaining of any such other employment shall in no event efect any reducton of the Company’s obligatons to make the payments and arrangements required to be made under this Agreement.</w:t>
      </w:r>
    </w:p>
    <w:p>
      <w:pPr>
        <w:spacing w:after="0" w:line="215" w:lineRule="exact"/>
        <w:rPr>
          <w:sz w:val="20"/>
          <w:szCs w:val="20"/>
          <w:color w:val="auto"/>
        </w:rPr>
      </w:pPr>
    </w:p>
    <w:p>
      <w:pPr>
        <w:ind w:left="200" w:right="219" w:firstLine="9"/>
        <w:spacing w:after="0"/>
        <w:tabs>
          <w:tab w:leader="none" w:pos="848"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Binding Efect</w:t>
      </w:r>
      <w:r>
        <w:rPr>
          <w:rFonts w:ascii="Calibri" w:cs="Calibri" w:eastAsia="Calibri" w:hAnsi="Calibri"/>
          <w:sz w:val="22"/>
          <w:szCs w:val="22"/>
          <w:color w:val="auto"/>
        </w:rPr>
        <w:t>. This Agreement shall be binding upon and inure to the beneft of the heirs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and representatves of the Executve and the successors and assigns of the Company. The Company shall require any successor (whether direct or indirect, by purchase, merger, reorganizaton, consolidaton, acquisiton of property or stock, liquidaton, or otherwise) to all or a majority of its assets, by agreement in form and substance reasonably satsfactory to the Executve, expressly to assume and agree to perform this Agreement in the same manner and to the same extent that the Company would be required to perform this Agreement if no such succession had taken place. Regardless whether such agreement is executed, this Agreement shall be binding upon any successor of the Company in accordance with the operaton of law and such successor shall be deemed the “Company” for purposes of this Agreement.</w:t>
      </w:r>
    </w:p>
    <w:p>
      <w:pPr>
        <w:spacing w:after="0" w:line="230" w:lineRule="exact"/>
        <w:rPr>
          <w:rFonts w:ascii="Times New Roman" w:cs="Times New Roman" w:eastAsia="Times New Roman" w:hAnsi="Times New Roman"/>
          <w:sz w:val="20"/>
          <w:szCs w:val="20"/>
          <w:color w:val="auto"/>
        </w:rPr>
      </w:pPr>
    </w:p>
    <w:p>
      <w:pPr>
        <w:ind w:left="200" w:right="359" w:firstLine="9"/>
        <w:spacing w:after="0" w:line="238" w:lineRule="auto"/>
        <w:tabs>
          <w:tab w:leader="none" w:pos="848"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Notces</w:t>
      </w:r>
      <w:r>
        <w:rPr>
          <w:rFonts w:ascii="Calibri" w:cs="Calibri" w:eastAsia="Calibri" w:hAnsi="Calibri"/>
          <w:sz w:val="22"/>
          <w:szCs w:val="22"/>
          <w:color w:val="auto"/>
        </w:rPr>
        <w:t>. All notces, requests, demands and other communicatons hereunder shall be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writng and shall be deemed to have been duly given if delivered by hand or mailed within the contnental United States by frst class certfed mail, return receipt requested, postage prepaid, addressed as follows:</w:t>
      </w:r>
    </w:p>
    <w:p>
      <w:pPr>
        <w:spacing w:after="0" w:line="218"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to the Board or the Company, to:</w:t>
      </w:r>
    </w:p>
    <w:p>
      <w:pPr>
        <w:spacing w:after="0" w:line="217"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Axcelis Technologies, Inc.</w:t>
      </w:r>
    </w:p>
    <w:p>
      <w:pPr>
        <w:spacing w:after="0" w:line="1"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108 Cherry Hill Drive</w:t>
      </w:r>
    </w:p>
    <w:p>
      <w:pPr>
        <w:spacing w:after="0" w:line="1"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Beverly, Massachusets 01915</w:t>
      </w:r>
    </w:p>
    <w:p>
      <w:pPr>
        <w:spacing w:after="0" w:line="271"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to the Executve, to:</w:t>
      </w:r>
    </w:p>
    <w:p>
      <w:pPr>
        <w:spacing w:after="0" w:line="219"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Mary G. Puma</w:t>
      </w:r>
    </w:p>
    <w:p>
      <w:pPr>
        <w:spacing w:after="0" w:line="1"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c/o Axcelis Technologies, Inc.</w:t>
      </w:r>
    </w:p>
    <w:p>
      <w:pPr>
        <w:ind w:left="2160"/>
        <w:spacing w:after="0"/>
        <w:rPr>
          <w:sz w:val="20"/>
          <w:szCs w:val="20"/>
          <w:color w:val="auto"/>
        </w:rPr>
      </w:pPr>
      <w:r>
        <w:rPr>
          <w:rFonts w:ascii="Calibri" w:cs="Calibri" w:eastAsia="Calibri" w:hAnsi="Calibri"/>
          <w:sz w:val="22"/>
          <w:szCs w:val="22"/>
          <w:color w:val="auto"/>
        </w:rPr>
        <w:t>108 Cherry Hill Drive</w:t>
      </w:r>
    </w:p>
    <w:p>
      <w:pPr>
        <w:spacing w:after="0" w:line="1" w:lineRule="exact"/>
        <w:rPr>
          <w:sz w:val="20"/>
          <w:szCs w:val="20"/>
          <w:color w:val="auto"/>
        </w:rPr>
      </w:pPr>
    </w:p>
    <w:p>
      <w:pPr>
        <w:ind w:left="2160"/>
        <w:spacing w:after="0"/>
        <w:rPr>
          <w:sz w:val="20"/>
          <w:szCs w:val="20"/>
          <w:color w:val="auto"/>
        </w:rPr>
      </w:pPr>
      <w:r>
        <w:rPr>
          <w:rFonts w:ascii="Calibri" w:cs="Calibri" w:eastAsia="Calibri" w:hAnsi="Calibri"/>
          <w:sz w:val="22"/>
          <w:szCs w:val="22"/>
          <w:color w:val="auto"/>
        </w:rPr>
        <w:t>Beverly, Massachusets 01915</w:t>
      </w:r>
    </w:p>
    <w:p>
      <w:pPr>
        <w:spacing w:after="0" w:line="392"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22"/>
          <w:szCs w:val="22"/>
          <w:color w:val="auto"/>
        </w:rPr>
        <w:t>Addresses may be changed by writen notce sent to the other party at the last recorded address of that party.</w:t>
      </w:r>
    </w:p>
    <w:p>
      <w:pPr>
        <w:spacing w:after="0" w:line="122" w:lineRule="exact"/>
        <w:rPr>
          <w:sz w:val="20"/>
          <w:szCs w:val="20"/>
          <w:color w:val="auto"/>
        </w:rPr>
      </w:pPr>
    </w:p>
    <w:p>
      <w:pPr>
        <w:ind w:left="200" w:right="499" w:firstLine="9"/>
        <w:spacing w:after="0" w:line="237" w:lineRule="auto"/>
        <w:tabs>
          <w:tab w:leader="none" w:pos="848"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No Assignment</w:t>
      </w:r>
      <w:r>
        <w:rPr>
          <w:rFonts w:ascii="Calibri" w:cs="Calibri" w:eastAsia="Calibri" w:hAnsi="Calibri"/>
          <w:sz w:val="22"/>
          <w:szCs w:val="22"/>
          <w:color w:val="auto"/>
        </w:rPr>
        <w:t>. Except as expressly provided in Paragraph 9, this Agreement is not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assignable by any party and no payment to be made hereunder shall be subject to antcipaton, alienaton, sale, transfer, assignment, pledge, encumbrance or other charge.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jc w:val="both"/>
        <w:ind w:left="200" w:right="359" w:firstLine="9"/>
        <w:spacing w:after="0" w:line="238" w:lineRule="auto"/>
        <w:tabs>
          <w:tab w:leader="none" w:pos="848"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Executon in Counterparts</w:t>
      </w:r>
      <w:r>
        <w:rPr>
          <w:rFonts w:ascii="Calibri" w:cs="Calibri" w:eastAsia="Calibri" w:hAnsi="Calibri"/>
          <w:sz w:val="22"/>
          <w:szCs w:val="22"/>
          <w:color w:val="auto"/>
        </w:rPr>
        <w:t>. This Agreement will be executed by the partes hereto in two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or more counterparts, each of which shall be deemed to be an original, but all such counterparts shall consttute one and the same instrument, and all signatures need not appear on any one counterpart.</w:t>
      </w:r>
    </w:p>
    <w:p>
      <w:pPr>
        <w:spacing w:after="0" w:line="230" w:lineRule="exact"/>
        <w:rPr>
          <w:rFonts w:ascii="Times New Roman" w:cs="Times New Roman" w:eastAsia="Times New Roman" w:hAnsi="Times New Roman"/>
          <w:sz w:val="20"/>
          <w:szCs w:val="20"/>
          <w:color w:val="auto"/>
        </w:rPr>
      </w:pPr>
    </w:p>
    <w:p>
      <w:pPr>
        <w:ind w:left="200" w:right="319" w:firstLine="9"/>
        <w:spacing w:after="0" w:line="253" w:lineRule="auto"/>
        <w:tabs>
          <w:tab w:leader="none" w:pos="848" w:val="left"/>
        </w:tabs>
        <w:numPr>
          <w:ilvl w:val="0"/>
          <w:numId w:val="26"/>
        </w:numPr>
        <w:rPr>
          <w:rFonts w:ascii="Times New Roman" w:cs="Times New Roman" w:eastAsia="Times New Roman" w:hAnsi="Times New Roman"/>
          <w:sz w:val="19"/>
          <w:szCs w:val="19"/>
          <w:color w:val="auto"/>
        </w:rPr>
      </w:pPr>
      <w:r>
        <w:rPr>
          <w:rFonts w:ascii="Calibri" w:cs="Calibri" w:eastAsia="Calibri" w:hAnsi="Calibri"/>
          <w:sz w:val="21"/>
          <w:szCs w:val="21"/>
          <w:b w:val="1"/>
          <w:bCs w:val="1"/>
          <w:color w:val="auto"/>
        </w:rPr>
        <w:t>Jurisdicton and Governing Law</w:t>
      </w:r>
      <w:r>
        <w:rPr>
          <w:rFonts w:ascii="Calibri" w:cs="Calibri" w:eastAsia="Calibri" w:hAnsi="Calibri"/>
          <w:sz w:val="21"/>
          <w:szCs w:val="21"/>
          <w:color w:val="auto"/>
        </w:rPr>
        <w:t>. Jurisdicton over disputes with regard to this Agreement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shall be exclusively in the courts of the Commonwealth of Massachusets, and this Agreement shall be construed and interpreted in accordance with and governed by the local laws of the Commonwealth of Massachusets, other than the confict of laws provisions of such laws.</w:t>
      </w:r>
    </w:p>
    <w:p>
      <w:pPr>
        <w:spacing w:after="0" w:line="215" w:lineRule="exact"/>
        <w:rPr>
          <w:rFonts w:ascii="Times New Roman" w:cs="Times New Roman" w:eastAsia="Times New Roman" w:hAnsi="Times New Roman"/>
          <w:sz w:val="19"/>
          <w:szCs w:val="19"/>
          <w:color w:val="auto"/>
        </w:rPr>
      </w:pPr>
    </w:p>
    <w:p>
      <w:pPr>
        <w:ind w:left="200" w:right="659" w:firstLine="9"/>
        <w:spacing w:after="0" w:line="237" w:lineRule="auto"/>
        <w:tabs>
          <w:tab w:leader="none" w:pos="848"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2"/>
          <w:szCs w:val="22"/>
          <w:b w:val="1"/>
          <w:bCs w:val="1"/>
          <w:color w:val="auto"/>
        </w:rPr>
        <w:t>Severability</w:t>
      </w:r>
      <w:r>
        <w:rPr>
          <w:rFonts w:ascii="Calibri" w:cs="Calibri" w:eastAsia="Calibri" w:hAnsi="Calibri"/>
          <w:sz w:val="22"/>
          <w:szCs w:val="22"/>
          <w:color w:val="auto"/>
        </w:rPr>
        <w:t>. If any provision of this Agreement shall be adjudged by any court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competent jurisdicton to be invalid or unenforceable for any reason, such judgment shall not afect, impair or invalidate the remainder of this Agreement.</w:t>
      </w:r>
    </w:p>
    <w:p>
      <w:pPr>
        <w:spacing w:after="0" w:line="230" w:lineRule="exact"/>
        <w:rPr>
          <w:rFonts w:ascii="Times New Roman" w:cs="Times New Roman" w:eastAsia="Times New Roman" w:hAnsi="Times New Roman"/>
          <w:sz w:val="20"/>
          <w:szCs w:val="20"/>
          <w:color w:val="auto"/>
        </w:rPr>
      </w:pPr>
    </w:p>
    <w:p>
      <w:pPr>
        <w:ind w:left="200" w:right="319" w:firstLine="9"/>
        <w:spacing w:after="0" w:line="252" w:lineRule="auto"/>
        <w:tabs>
          <w:tab w:leader="none" w:pos="848" w:val="left"/>
        </w:tabs>
        <w:numPr>
          <w:ilvl w:val="0"/>
          <w:numId w:val="26"/>
        </w:numPr>
        <w:rPr>
          <w:rFonts w:ascii="Times New Roman" w:cs="Times New Roman" w:eastAsia="Times New Roman" w:hAnsi="Times New Roman"/>
          <w:sz w:val="19"/>
          <w:szCs w:val="19"/>
          <w:color w:val="auto"/>
        </w:rPr>
      </w:pPr>
      <w:r>
        <w:rPr>
          <w:rFonts w:ascii="Calibri" w:cs="Calibri" w:eastAsia="Calibri" w:hAnsi="Calibri"/>
          <w:sz w:val="21"/>
          <w:szCs w:val="21"/>
          <w:b w:val="1"/>
          <w:bCs w:val="1"/>
          <w:color w:val="auto"/>
        </w:rPr>
        <w:t>Prior Understandings</w:t>
      </w:r>
      <w:r>
        <w:rPr>
          <w:rFonts w:ascii="Calibri" w:cs="Calibri" w:eastAsia="Calibri" w:hAnsi="Calibri"/>
          <w:sz w:val="21"/>
          <w:szCs w:val="21"/>
          <w:color w:val="auto"/>
        </w:rPr>
        <w:t>. This Agreement amends and restates in its entrety the Current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Agreement as of the Efectve Date and embodies the entre understanding of the partes hereto, and supersedes all other oral or writen agreements or understandings between them regarding the subject mater hereof including the Current Agreement, but excluding the Change of Control Severance Agreement dated as of March 1, 2017, and efectve as of November 6, 2019, the Indemnifcaton Agreement between the Executve and the Company dated February 28, 2012, and the Executve Equity Retrement Program. In the event of a terminaton of Executve’s employment during a Potental Change of Control or following a Change of Control (as defned in such Change of Control Agreement), the Executve shall be enttled to receive the greater of the amounts and benefts under this Agreement or the Change of Control Agreement but the Executve shall not receive the aggregate of the amounts and benefts under both such agreements. If she is enttled to receive amounts and benefts under both the Change of Control Agreement and this Agreement, the amount and benefts payable, if any, under the Change of Control Agreement shall be deemed to have been paid frst and, if the amounts and benefts due under this Agreement are greater than those actually paid under the Change of Control Agreement, such excess shall be paid under this Agreement. Nothing in this Agreement is intended as and shall not be read as a modifcaton of the Change of Control Agreement, the Indemnifcaton Agreement or any outstanding equity award agreement, and such agreements shall be and remain in full force and efect in accordance with their respectve terms. No change, alteraton or modifcaton hereof may be made except in a writng, signed by each of the partes hereto. The headings in this Agreement are for convenience of reference only and shall not be construed as part of this Agreement or to limit or otherwise afect the meaning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200" w:right="419"/>
        <w:spacing w:after="0" w:line="235" w:lineRule="auto"/>
        <w:rPr>
          <w:sz w:val="20"/>
          <w:szCs w:val="20"/>
          <w:color w:val="auto"/>
        </w:rPr>
      </w:pPr>
      <w:r>
        <w:rPr>
          <w:rFonts w:ascii="Calibri" w:cs="Calibri" w:eastAsia="Calibri" w:hAnsi="Calibri"/>
          <w:sz w:val="22"/>
          <w:szCs w:val="22"/>
          <w:color w:val="auto"/>
        </w:rPr>
        <w:t>IN WITNESS WHEREOF, the partes hereto have executed and delivered this Agreement as of the Efectve Date.</w:t>
      </w:r>
    </w:p>
    <w:p>
      <w:pPr>
        <w:spacing w:after="0" w:line="220" w:lineRule="exact"/>
        <w:rPr>
          <w:sz w:val="20"/>
          <w:szCs w:val="20"/>
          <w:color w:val="auto"/>
        </w:rPr>
      </w:pPr>
    </w:p>
    <w:p>
      <w:pPr>
        <w:ind w:left="4100"/>
        <w:spacing w:after="0"/>
        <w:rPr>
          <w:sz w:val="20"/>
          <w:szCs w:val="20"/>
          <w:color w:val="auto"/>
        </w:rPr>
      </w:pPr>
      <w:r>
        <w:rPr>
          <w:rFonts w:ascii="Calibri" w:cs="Calibri" w:eastAsia="Calibri" w:hAnsi="Calibri"/>
          <w:sz w:val="22"/>
          <w:szCs w:val="22"/>
          <w:color w:val="auto"/>
        </w:rPr>
        <w:t>AXCELIS TECHNOLOGIES, INC.</w:t>
      </w: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Calibri" w:cs="Calibri" w:eastAsia="Calibri" w:hAnsi="Calibri"/>
          <w:sz w:val="22"/>
          <w:szCs w:val="22"/>
          <w:color w:val="auto"/>
        </w:rPr>
        <w:t>By: /s/ Lynnete C. Fallon​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-24765</wp:posOffset>
            </wp:positionV>
            <wp:extent cx="656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56590" cy="8890"/>
                    </a:xfrm>
                    <a:prstGeom prst="rect">
                      <a:avLst/>
                    </a:prstGeom>
                    <a:noFill/>
                  </pic:spPr>
                </pic:pic>
              </a:graphicData>
            </a:graphic>
          </wp:anchor>
        </w:drawing>
      </w:r>
    </w:p>
    <w:p>
      <w:pPr>
        <w:spacing w:after="0" w:line="89" w:lineRule="exact"/>
        <w:rPr>
          <w:sz w:val="20"/>
          <w:szCs w:val="20"/>
          <w:color w:val="auto"/>
        </w:rPr>
      </w:pPr>
    </w:p>
    <w:p>
      <w:pPr>
        <w:ind w:left="4100"/>
        <w:spacing w:after="0"/>
        <w:rPr>
          <w:sz w:val="20"/>
          <w:szCs w:val="20"/>
          <w:color w:val="auto"/>
        </w:rPr>
      </w:pPr>
      <w:r>
        <w:rPr>
          <w:rFonts w:ascii="Calibri" w:cs="Calibri" w:eastAsia="Calibri" w:hAnsi="Calibri"/>
          <w:sz w:val="22"/>
          <w:szCs w:val="22"/>
          <w:color w:val="auto"/>
        </w:rPr>
        <w:t>Name: Lynnete C. Fallon</w:t>
      </w:r>
    </w:p>
    <w:p>
      <w:pPr>
        <w:spacing w:after="0" w:line="107" w:lineRule="exact"/>
        <w:rPr>
          <w:sz w:val="20"/>
          <w:szCs w:val="20"/>
          <w:color w:val="auto"/>
        </w:rPr>
      </w:pPr>
    </w:p>
    <w:p>
      <w:pPr>
        <w:jc w:val="right"/>
        <w:ind w:right="299"/>
        <w:spacing w:after="0"/>
        <w:rPr>
          <w:sz w:val="20"/>
          <w:szCs w:val="20"/>
          <w:color w:val="auto"/>
        </w:rPr>
      </w:pPr>
      <w:r>
        <w:rPr>
          <w:rFonts w:ascii="Calibri" w:cs="Calibri" w:eastAsia="Calibri" w:hAnsi="Calibri"/>
          <w:sz w:val="22"/>
          <w:szCs w:val="22"/>
          <w:color w:val="auto"/>
        </w:rPr>
        <w:t>Title: Executve Vice President HR/Legal and General</w:t>
      </w:r>
    </w:p>
    <w:p>
      <w:pPr>
        <w:spacing w:after="0" w:line="1"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Calibri" w:cs="Calibri" w:eastAsia="Calibri" w:hAnsi="Calibri"/>
          <w:sz w:val="22"/>
          <w:szCs w:val="22"/>
          <w:color w:val="auto"/>
        </w:rPr>
        <w:t>MARY G. PUMA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Calibri" w:cs="Calibri" w:eastAsia="Calibri" w:hAnsi="Calibri"/>
          <w:sz w:val="22"/>
          <w:szCs w:val="22"/>
          <w:u w:val="single" w:color="auto"/>
          <w:color w:val="auto"/>
        </w:rPr>
        <w:t>/s/ Mary G. Puma</w:t>
      </w:r>
      <w:r>
        <w:rPr>
          <w:rFonts w:ascii="Calibri" w:cs="Calibri" w:eastAsia="Calibri" w:hAnsi="Calibri"/>
          <w:sz w:val="22"/>
          <w:szCs w:val="22"/>
          <w:color w:val="auto"/>
        </w:rPr>
        <w:t>________________</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Mary G. Puma, certify that:</w:t>
      </w:r>
    </w:p>
    <w:p>
      <w:pPr>
        <w:spacing w:after="0" w:line="225" w:lineRule="exact"/>
        <w:rPr>
          <w:sz w:val="20"/>
          <w:szCs w:val="20"/>
          <w:color w:val="auto"/>
        </w:rPr>
      </w:pPr>
    </w:p>
    <w:p>
      <w:pPr>
        <w:ind w:left="540" w:hanging="49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J. Brewer, certify that:</w:t>
      </w:r>
    </w:p>
    <w:p>
      <w:pPr>
        <w:spacing w:after="0" w:line="225" w:lineRule="exact"/>
        <w:rPr>
          <w:sz w:val="20"/>
          <w:szCs w:val="20"/>
          <w:color w:val="auto"/>
        </w:rPr>
      </w:pPr>
    </w:p>
    <w:p>
      <w:pPr>
        <w:ind w:left="540" w:hanging="490"/>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August 4, 2022.</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August 4, 2022.</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2."/>
      <w:numFmt w:val="upperLetter"/>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01"/>
    </w:lvl>
  </w:abstractNum>
  <w:abstractNum w:abstractNumId="6">
    <w:nsid w:val="519B500D"/>
    <w:multiLevelType w:val="hybridMultilevel"/>
    <w:lvl w:ilvl="0">
      <w:lvlJc w:val="left"/>
      <w:lvlText w:val="%1"/>
      <w:numFmt w:val="decimal"/>
      <w:start w:val="104"/>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2"/>
    </w:lvl>
  </w:abstractNum>
  <w:abstractNum w:abstractNumId="12">
    <w:nsid w:val="436C6125"/>
    <w:multiLevelType w:val="hybridMultilevel"/>
    <w:lvl w:ilvl="0">
      <w:lvlJc w:val="left"/>
      <w:lvlText w:val="%1."/>
      <w:numFmt w:val="decimal"/>
      <w:start w:val="6"/>
    </w:lvl>
  </w:abstractNum>
  <w:abstractNum w:abstractNumId="13">
    <w:nsid w:val="628C895D"/>
    <w:multiLevelType w:val="hybridMultilevel"/>
    <w:lvl w:ilvl="0">
      <w:lvlJc w:val="left"/>
      <w:lvlText w:val="%1."/>
      <w:numFmt w:val="decimal"/>
      <w:start w:val="7"/>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8"/>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lvl w:ilvl="1">
      <w:lvlJc w:val="left"/>
      <w:lvlText w:val="%2."/>
      <w:numFmt w:val="lowerRoman"/>
      <w:start w:val="1"/>
    </w:lvl>
  </w:abstractNum>
  <w:abstractNum w:abstractNumId="19">
    <w:nsid w:val="75A2A8D4"/>
    <w:multiLevelType w:val="hybridMultilevel"/>
    <w:lvl w:ilvl="0">
      <w:lvlJc w:val="left"/>
      <w:lvlText w:val="(%1)"/>
      <w:numFmt w:val="lowerLetter"/>
      <w:start w:val="5"/>
    </w:lvl>
  </w:abstractNum>
  <w:abstractNum w:abstractNumId="20">
    <w:nsid w:val="8EDBDAB"/>
    <w:multiLevelType w:val="hybridMultilevel"/>
    <w:lvl w:ilvl="0">
      <w:lvlJc w:val="left"/>
      <w:lvlText w:val="(%1)"/>
      <w:numFmt w:val="lowerLetter"/>
      <w:start w:val="1"/>
    </w:lvl>
    <w:lvl w:ilvl="1">
      <w:lvlJc w:val="left"/>
      <w:lvlText w:val="%2."/>
      <w:numFmt w:val="lowerRoman"/>
      <w:start w:val="1"/>
    </w:lvl>
  </w:abstractNum>
  <w:abstractNum w:abstractNumId="21">
    <w:nsid w:val="79838CB2"/>
    <w:multiLevelType w:val="hybridMultilevel"/>
    <w:lvl w:ilvl="0">
      <w:lvlJc w:val="left"/>
      <w:lvlText w:val="%1"/>
      <w:numFmt w:val="lowerLetter"/>
      <w:start w:val="1"/>
    </w:lvl>
    <w:lvl w:ilvl="1">
      <w:lvlJc w:val="left"/>
      <w:lvlText w:val="%2."/>
      <w:numFmt w:val="lowerRoman"/>
      <w:start w:val="3"/>
    </w:lvl>
  </w:abstractNum>
  <w:abstractNum w:abstractNumId="22">
    <w:nsid w:val="4353D0CD"/>
    <w:multiLevelType w:val="hybridMultilevel"/>
    <w:lvl w:ilvl="0">
      <w:lvlJc w:val="left"/>
      <w:lvlText w:val="(%1)"/>
      <w:numFmt w:val="lowerLetter"/>
      <w:start w:val="6"/>
    </w:lvl>
    <w:lvl w:ilvl="1">
      <w:lvlJc w:val="left"/>
      <w:lvlText w:val="%2"/>
      <w:numFmt w:val="lowerRoman"/>
      <w:start w:val="1"/>
    </w:lvl>
  </w:abstractNum>
  <w:abstractNum w:abstractNumId="23">
    <w:nsid w:val="B03E0C6"/>
    <w:multiLevelType w:val="hybridMultilevel"/>
    <w:lvl w:ilvl="0">
      <w:lvlJc w:val="left"/>
      <w:lvlText w:val="%1."/>
      <w:numFmt w:val="decimal"/>
      <w:start w:val="9"/>
    </w:lvl>
  </w:abstractNum>
  <w:abstractNum w:abstractNumId="24">
    <w:nsid w:val="189A769B"/>
    <w:multiLevelType w:val="hybridMultilevel"/>
    <w:lvl w:ilvl="0">
      <w:lvlJc w:val="left"/>
      <w:lvlText w:val="%1."/>
      <w:numFmt w:val="decimal"/>
      <w:start w:val="11"/>
    </w:lvl>
  </w:abstractNum>
  <w:abstractNum w:abstractNumId="25">
    <w:nsid w:val="54E49EB4"/>
    <w:multiLevelType w:val="hybridMultilevel"/>
    <w:lvl w:ilvl="0">
      <w:lvlJc w:val="left"/>
      <w:lvlText w:val="%1."/>
      <w:numFmt w:val="decimal"/>
      <w:start w:val="12"/>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28" Type="http://schemas.openxmlformats.org/officeDocument/2006/relationships/hyperlink" Target="https://www.sec.gov/ix?doc=/Archives/edgar/data/1113232/000155837022002096/acls-20211231x10k.htm" TargetMode="External"/><Relationship Id="rId39" Type="http://schemas.openxmlformats.org/officeDocument/2006/relationships/hyperlink" Target="http://www.sec.gov/Archives/edgar/data/1113232/000155837017008078/acls-20170930ex31a83feb6.htm" TargetMode="External"/><Relationship Id="rId40"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2022-08-04T11:24:25Z</dcterms:created>
  <dcterms:modified xsi:type="dcterms:W3CDTF">2022-08-04T11:24:25Z</dcterms:modified>
</cp:coreProperties>
</file>