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434975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81" w:lineRule="exact"/>
        <w:rPr>
          <w:sz w:val="24"/>
          <w:szCs w:val="24"/>
          <w:color w:val="auto"/>
        </w:rPr>
      </w:pPr>
    </w:p>
    <w:p>
      <w:pPr>
        <w:ind w:left="640" w:right="1260" w:hanging="326"/>
        <w:spacing w:after="0" w:line="256"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wp:posOffset>
            </wp:positionH>
            <wp:positionV relativeFrom="paragraph">
              <wp:posOffset>-301625</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640" w:right="1260" w:hanging="32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wp:posOffset>
            </wp:positionH>
            <wp:positionV relativeFrom="paragraph">
              <wp:posOffset>-301625</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6" w:lineRule="exact"/>
        <w:rPr>
          <w:sz w:val="24"/>
          <w:szCs w:val="24"/>
          <w:color w:val="auto"/>
        </w:rPr>
      </w:pPr>
    </w:p>
    <w:p>
      <w:pPr>
        <w:ind w:left="3200"/>
        <w:spacing w:after="0"/>
        <w:tabs>
          <w:tab w:leader="none" w:pos="6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000-30941</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AXCELIS TECHNOLOGIES,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7" w:lineRule="exact"/>
        <w:rPr>
          <w:sz w:val="24"/>
          <w:szCs w:val="24"/>
          <w:color w:val="auto"/>
        </w:rPr>
      </w:pPr>
    </w:p>
    <w:tbl>
      <w:tblPr>
        <w:tblLayout w:type="fixed"/>
        <w:tblInd w:w="1420" w:type="dxa"/>
        <w:tblCellMar>
          <w:top w:w="0" w:type="dxa"/>
          <w:left w:w="0" w:type="dxa"/>
          <w:bottom w:w="0" w:type="dxa"/>
          <w:right w:w="0" w:type="dxa"/>
        </w:tblCellMar>
      </w:tblPr>
      <w:tr>
        <w:trPr>
          <w:trHeight w:val="234"/>
        </w:trPr>
        <w:tc>
          <w:tcPr>
            <w:tcW w:w="390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34-1818596</w:t>
            </w:r>
          </w:p>
        </w:tc>
      </w:tr>
      <w:tr>
        <w:trPr>
          <w:trHeight w:val="243"/>
        </w:trPr>
        <w:tc>
          <w:tcPr>
            <w:tcW w:w="3900" w:type="dxa"/>
            <w:vAlign w:val="bottom"/>
          </w:tcPr>
          <w:p>
            <w:pPr>
              <w:jc w:val="center"/>
              <w:ind w:right="1650"/>
              <w:spacing w:after="0"/>
              <w:rPr>
                <w:sz w:val="20"/>
                <w:szCs w:val="20"/>
                <w:color w:val="auto"/>
              </w:rPr>
            </w:pPr>
            <w:r>
              <w:rPr>
                <w:rFonts w:ascii="Arial" w:cs="Arial" w:eastAsia="Arial" w:hAnsi="Arial"/>
                <w:sz w:val="18"/>
                <w:szCs w:val="18"/>
                <w:color w:val="auto"/>
                <w:w w:val="92"/>
              </w:rPr>
              <w:t>(State or other jurisdiction of</w:t>
            </w:r>
          </w:p>
        </w:tc>
        <w:tc>
          <w:tcPr>
            <w:tcW w:w="3060" w:type="dxa"/>
            <w:vAlign w:val="bottom"/>
          </w:tcPr>
          <w:p>
            <w:pPr>
              <w:jc w:val="center"/>
              <w:ind w:left="1630"/>
              <w:spacing w:after="0"/>
              <w:rPr>
                <w:sz w:val="20"/>
                <w:szCs w:val="20"/>
                <w:color w:val="auto"/>
              </w:rPr>
            </w:pPr>
            <w:r>
              <w:rPr>
                <w:rFonts w:ascii="Arial" w:cs="Arial" w:eastAsia="Arial" w:hAnsi="Arial"/>
                <w:sz w:val="18"/>
                <w:szCs w:val="18"/>
                <w:color w:val="auto"/>
                <w:w w:val="93"/>
              </w:rPr>
              <w:t>(IRS Employer</w:t>
            </w:r>
          </w:p>
        </w:tc>
      </w:tr>
      <w:tr>
        <w:trPr>
          <w:trHeight w:val="243"/>
        </w:trPr>
        <w:tc>
          <w:tcPr>
            <w:tcW w:w="3900" w:type="dxa"/>
            <w:vAlign w:val="bottom"/>
          </w:tcPr>
          <w:p>
            <w:pPr>
              <w:jc w:val="center"/>
              <w:ind w:right="1650"/>
              <w:spacing w:after="0"/>
              <w:rPr>
                <w:sz w:val="20"/>
                <w:szCs w:val="20"/>
                <w:color w:val="auto"/>
              </w:rPr>
            </w:pPr>
            <w:r>
              <w:rPr>
                <w:rFonts w:ascii="Arial" w:cs="Arial" w:eastAsia="Arial" w:hAnsi="Arial"/>
                <w:sz w:val="18"/>
                <w:szCs w:val="18"/>
                <w:color w:val="auto"/>
                <w:w w:val="92"/>
              </w:rPr>
              <w:t>incorporation or organization)</w:t>
            </w:r>
          </w:p>
        </w:tc>
        <w:tc>
          <w:tcPr>
            <w:tcW w:w="3060" w:type="dxa"/>
            <w:vAlign w:val="bottom"/>
          </w:tcPr>
          <w:p>
            <w:pPr>
              <w:jc w:val="center"/>
              <w:ind w:left="1630"/>
              <w:spacing w:after="0"/>
              <w:rPr>
                <w:sz w:val="20"/>
                <w:szCs w:val="20"/>
                <w:color w:val="auto"/>
              </w:rPr>
            </w:pPr>
            <w:r>
              <w:rPr>
                <w:rFonts w:ascii="Arial" w:cs="Arial" w:eastAsia="Arial" w:hAnsi="Arial"/>
                <w:sz w:val="18"/>
                <w:szCs w:val="18"/>
                <w:color w:val="auto"/>
                <w:w w:val="95"/>
              </w:rPr>
              <w:t>Identification No.)</w:t>
            </w: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108 Cherry Hill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Beverly, Massachusetts 01915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(978) 787-4000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5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ACLS</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67" w:lineRule="exact"/>
        <w:rPr>
          <w:sz w:val="24"/>
          <w:szCs w:val="24"/>
          <w:color w:val="auto"/>
        </w:rPr>
      </w:pPr>
    </w:p>
    <w:p>
      <w:pPr>
        <w:ind w:right="280" w:firstLine="23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1" w:lineRule="exact"/>
        <w:rPr>
          <w:sz w:val="24"/>
          <w:szCs w:val="24"/>
          <w:color w:val="auto"/>
        </w:rPr>
      </w:pPr>
    </w:p>
    <w:p>
      <w:pPr>
        <w:ind w:right="20" w:firstLine="23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49" w:lineRule="exact"/>
        <w:rPr>
          <w:sz w:val="24"/>
          <w:szCs w:val="24"/>
          <w:color w:val="auto"/>
        </w:rPr>
      </w:pPr>
    </w:p>
    <w:p>
      <w:pPr>
        <w:ind w:right="160" w:firstLine="23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56" w:lineRule="exact"/>
        <w:rPr>
          <w:sz w:val="24"/>
          <w:szCs w:val="24"/>
          <w:color w:val="auto"/>
        </w:rPr>
      </w:pPr>
    </w:p>
    <w:p>
      <w:pPr>
        <w:ind w:left="1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6280" w:space="720"/>
            <w:col w:w="3220"/>
          </w:cols>
          <w:pgMar w:left="840" w:top="665" w:right="839" w:bottom="1440" w:gutter="0" w:footer="0" w:header="0"/>
          <w:type w:val="continuous"/>
        </w:sectPr>
      </w:pPr>
    </w:p>
    <w:p>
      <w:pPr>
        <w:ind w:left="16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8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6" w:lineRule="exact"/>
        <w:rPr>
          <w:sz w:val="24"/>
          <w:szCs w:val="24"/>
          <w:color w:val="auto"/>
        </w:rPr>
      </w:pPr>
    </w:p>
    <w:p>
      <w:pPr>
        <w:sectPr>
          <w:pgSz w:w="11900" w:h="16838" w:orient="portrait"/>
          <w:cols w:equalWidth="0" w:num="3">
            <w:col w:w="5880" w:space="720"/>
            <w:col w:w="1960" w:space="100"/>
            <w:col w:w="1560"/>
          </w:cols>
          <w:pgMar w:left="840" w:top="665" w:right="839" w:bottom="1440" w:gutter="0" w:footer="0" w:header="0"/>
          <w:type w:val="continuous"/>
        </w:sectPr>
      </w:pPr>
    </w:p>
    <w:p>
      <w:pPr>
        <w:ind w:right="200" w:firstLine="233"/>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8" w:lineRule="exact"/>
        <w:rPr>
          <w:sz w:val="24"/>
          <w:szCs w:val="24"/>
          <w:color w:val="auto"/>
        </w:rPr>
      </w:pPr>
    </w:p>
    <w:p>
      <w:pPr>
        <w:ind w:left="220" w:right="840" w:hanging="3"/>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3, 2020 there were 33,496,006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421005</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635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43815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360" w:type="dxa"/>
            <w:vAlign w:val="bottom"/>
            <w:gridSpan w:val="3"/>
          </w:tcPr>
          <w:p>
            <w:pPr>
              <w:ind w:left="24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r>
      <w:tr>
        <w:trPr>
          <w:trHeight w:val="459"/>
        </w:trPr>
        <w:tc>
          <w:tcPr>
            <w:tcW w:w="8760" w:type="dxa"/>
            <w:vAlign w:val="bottom"/>
            <w:gridSpan w:val="5"/>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360" w:type="dxa"/>
            <w:vAlign w:val="bottom"/>
          </w:tcPr>
          <w:p>
            <w:pPr>
              <w:spacing w:after="0"/>
              <w:rPr>
                <w:sz w:val="24"/>
                <w:szCs w:val="24"/>
                <w:color w:val="auto"/>
              </w:rPr>
            </w:pP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1.</w:t>
              </w:r>
            </w:hyperlink>
          </w:p>
        </w:tc>
        <w:tc>
          <w:tcPr>
            <w:tcW w:w="8020" w:type="dxa"/>
            <w:vAlign w:val="bottom"/>
            <w:gridSpan w:val="4"/>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Statements (Unaudited)</w:t>
              </w:r>
            </w:hyperlink>
          </w:p>
        </w:tc>
        <w:tc>
          <w:tcPr>
            <w:tcW w:w="360" w:type="dxa"/>
            <w:vAlign w:val="bottom"/>
          </w:tcPr>
          <w:p>
            <w:pPr>
              <w:spacing w:after="0"/>
              <w:rPr>
                <w:sz w:val="21"/>
                <w:szCs w:val="21"/>
                <w:color w:val="auto"/>
              </w:rPr>
            </w:pPr>
          </w:p>
        </w:tc>
      </w:tr>
      <w:tr>
        <w:trPr>
          <w:trHeight w:val="243"/>
        </w:trPr>
        <w:tc>
          <w:tcPr>
            <w:tcW w:w="740" w:type="dxa"/>
            <w:vAlign w:val="bottom"/>
          </w:tcPr>
          <w:p>
            <w:pPr>
              <w:spacing w:after="0"/>
              <w:rPr>
                <w:sz w:val="21"/>
                <w:szCs w:val="21"/>
                <w:color w:val="auto"/>
              </w:rPr>
            </w:pPr>
          </w:p>
        </w:tc>
        <w:tc>
          <w:tcPr>
            <w:tcW w:w="8020" w:type="dxa"/>
            <w:vAlign w:val="bottom"/>
            <w:gridSpan w:val="4"/>
          </w:tcPr>
          <w:p>
            <w:pPr>
              <w:spacing w:after="0"/>
              <w:rPr>
                <w:rFonts w:ascii="Arial" w:cs="Arial" w:eastAsia="Arial" w:hAnsi="Arial"/>
                <w:sz w:val="18"/>
                <w:szCs w:val="18"/>
                <w:u w:val="single" w:color="auto"/>
                <w:color w:val="0000EE"/>
                <w:w w:val="93"/>
              </w:rPr>
            </w:pPr>
            <w:hyperlink w:anchor="page3">
              <w:r>
                <w:rPr>
                  <w:rFonts w:ascii="Arial" w:cs="Arial" w:eastAsia="Arial" w:hAnsi="Arial"/>
                  <w:sz w:val="18"/>
                  <w:szCs w:val="18"/>
                  <w:u w:val="single" w:color="auto"/>
                  <w:color w:val="0000EE"/>
                  <w:w w:val="93"/>
                </w:rPr>
                <w:t>Consolidated Statements of Operations for the three and nine months ended September 30, 2020 and 2019</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3"/>
        </w:trPr>
        <w:tc>
          <w:tcPr>
            <w:tcW w:w="740" w:type="dxa"/>
            <w:vAlign w:val="bottom"/>
          </w:tcPr>
          <w:p>
            <w:pPr>
              <w:spacing w:after="0"/>
              <w:rPr>
                <w:sz w:val="17"/>
                <w:szCs w:val="17"/>
                <w:color w:val="auto"/>
              </w:rPr>
            </w:pPr>
          </w:p>
        </w:tc>
        <w:tc>
          <w:tcPr>
            <w:tcW w:w="7860" w:type="dxa"/>
            <w:vAlign w:val="bottom"/>
            <w:tcBorders>
              <w:bottom w:val="single" w:sz="8" w:color="0000EE"/>
            </w:tcBorders>
            <w:gridSpan w:val="3"/>
          </w:tcPr>
          <w:p>
            <w:pPr>
              <w:spacing w:after="0" w:line="20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Comprehensive Income for the three and nine months ended September 30, 2020</w:t>
              </w:r>
            </w:hyperlink>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23"/>
        </w:trPr>
        <w:tc>
          <w:tcPr>
            <w:tcW w:w="740" w:type="dxa"/>
            <w:vAlign w:val="bottom"/>
          </w:tcPr>
          <w:p>
            <w:pPr>
              <w:spacing w:after="0"/>
              <w:rPr>
                <w:sz w:val="19"/>
                <w:szCs w:val="19"/>
                <w:color w:val="auto"/>
              </w:rPr>
            </w:pPr>
          </w:p>
        </w:tc>
        <w:tc>
          <w:tcPr>
            <w:tcW w:w="660" w:type="dxa"/>
            <w:vAlign w:val="bottom"/>
            <w:tcBorders>
              <w:bottom w:val="single" w:sz="8" w:color="0000EE"/>
            </w:tcBorders>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and 2019</w:t>
              </w:r>
            </w:hyperlink>
          </w:p>
        </w:tc>
        <w:tc>
          <w:tcPr>
            <w:tcW w:w="7360" w:type="dxa"/>
            <w:vAlign w:val="bottom"/>
            <w:gridSpan w:val="3"/>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740" w:type="dxa"/>
            <w:vAlign w:val="bottom"/>
          </w:tcPr>
          <w:p>
            <w:pPr>
              <w:spacing w:after="0"/>
              <w:rPr>
                <w:sz w:val="22"/>
                <w:szCs w:val="22"/>
                <w:color w:val="auto"/>
              </w:rPr>
            </w:pPr>
          </w:p>
        </w:tc>
        <w:tc>
          <w:tcPr>
            <w:tcW w:w="802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 as of September 30, 2020 and December 31, 2019</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2"/>
        </w:trPr>
        <w:tc>
          <w:tcPr>
            <w:tcW w:w="740" w:type="dxa"/>
            <w:vAlign w:val="bottom"/>
          </w:tcPr>
          <w:p>
            <w:pPr>
              <w:spacing w:after="0"/>
              <w:rPr>
                <w:sz w:val="17"/>
                <w:szCs w:val="17"/>
                <w:color w:val="auto"/>
              </w:rPr>
            </w:pPr>
          </w:p>
        </w:tc>
        <w:tc>
          <w:tcPr>
            <w:tcW w:w="8020" w:type="dxa"/>
            <w:vAlign w:val="bottom"/>
            <w:gridSpan w:val="4"/>
          </w:tcPr>
          <w:p>
            <w:pPr>
              <w:spacing w:after="0" w:line="202"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Consolidated Statements of Stockholders’ Equity for the three and nine months ended September 30, 2020</w:t>
              </w:r>
            </w:hyperlink>
          </w:p>
        </w:tc>
        <w:tc>
          <w:tcPr>
            <w:tcW w:w="360" w:type="dxa"/>
            <w:vAlign w:val="bottom"/>
          </w:tcPr>
          <w:p>
            <w:pPr>
              <w:spacing w:after="0"/>
              <w:rPr>
                <w:sz w:val="17"/>
                <w:szCs w:val="17"/>
                <w:color w:val="auto"/>
              </w:rPr>
            </w:pPr>
          </w:p>
        </w:tc>
      </w:tr>
      <w:tr>
        <w:trPr>
          <w:trHeight w:val="223"/>
        </w:trPr>
        <w:tc>
          <w:tcPr>
            <w:tcW w:w="740" w:type="dxa"/>
            <w:vAlign w:val="bottom"/>
          </w:tcPr>
          <w:p>
            <w:pPr>
              <w:spacing w:after="0"/>
              <w:rPr>
                <w:sz w:val="19"/>
                <w:szCs w:val="19"/>
                <w:color w:val="auto"/>
              </w:rPr>
            </w:pPr>
          </w:p>
        </w:tc>
        <w:tc>
          <w:tcPr>
            <w:tcW w:w="660" w:type="dxa"/>
            <w:vAlign w:val="bottom"/>
            <w:tcBorders>
              <w:top w:val="single" w:sz="8" w:color="0000EE"/>
              <w:bottom w:val="single" w:sz="8" w:color="0000EE"/>
            </w:tcBorders>
          </w:tcPr>
          <w:p>
            <w:pPr>
              <w:spacing w:after="0"/>
              <w:rPr>
                <w:rFonts w:ascii="Arial" w:cs="Arial" w:eastAsia="Arial" w:hAnsi="Arial"/>
                <w:sz w:val="18"/>
                <w:szCs w:val="18"/>
                <w:color w:val="0000EE"/>
                <w:w w:val="85"/>
              </w:rPr>
            </w:pPr>
            <w:hyperlink w:anchor="page6">
              <w:r>
                <w:rPr>
                  <w:rFonts w:ascii="Arial" w:cs="Arial" w:eastAsia="Arial" w:hAnsi="Arial"/>
                  <w:sz w:val="18"/>
                  <w:szCs w:val="18"/>
                  <w:color w:val="0000EE"/>
                  <w:w w:val="85"/>
                </w:rPr>
                <w:t>and 2019</w:t>
              </w:r>
            </w:hyperlink>
          </w:p>
        </w:tc>
        <w:tc>
          <w:tcPr>
            <w:tcW w:w="7000" w:type="dxa"/>
            <w:vAlign w:val="bottom"/>
            <w:tcBorders>
              <w:top w:val="single" w:sz="8" w:color="0000EE"/>
            </w:tcBorders>
          </w:tcPr>
          <w:p>
            <w:pPr>
              <w:spacing w:after="0"/>
              <w:rPr>
                <w:sz w:val="19"/>
                <w:szCs w:val="19"/>
                <w:color w:val="auto"/>
              </w:rPr>
            </w:pPr>
          </w:p>
        </w:tc>
        <w:tc>
          <w:tcPr>
            <w:tcW w:w="360" w:type="dxa"/>
            <w:vAlign w:val="bottom"/>
            <w:gridSpan w:val="2"/>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740" w:type="dxa"/>
            <w:vAlign w:val="bottom"/>
          </w:tcPr>
          <w:p>
            <w:pPr>
              <w:spacing w:after="0"/>
              <w:rPr>
                <w:sz w:val="22"/>
                <w:szCs w:val="22"/>
                <w:color w:val="auto"/>
              </w:rPr>
            </w:pPr>
          </w:p>
        </w:tc>
        <w:tc>
          <w:tcPr>
            <w:tcW w:w="802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Cash Flows for the nine months ended September 30, 2020 and 2019</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740" w:type="dxa"/>
            <w:vAlign w:val="bottom"/>
          </w:tcPr>
          <w:p>
            <w:pPr>
              <w:spacing w:after="0"/>
              <w:rPr>
                <w:sz w:val="21"/>
                <w:szCs w:val="21"/>
                <w:color w:val="auto"/>
              </w:rPr>
            </w:pPr>
          </w:p>
        </w:tc>
        <w:tc>
          <w:tcPr>
            <w:tcW w:w="8020" w:type="dxa"/>
            <w:vAlign w:val="bottom"/>
            <w:gridSpan w:val="4"/>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 (Unaudited)</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Item 2.</w:t>
              </w:r>
            </w:hyperlink>
          </w:p>
        </w:tc>
        <w:tc>
          <w:tcPr>
            <w:tcW w:w="8020" w:type="dxa"/>
            <w:vAlign w:val="bottom"/>
            <w:gridSpan w:val="4"/>
          </w:tcPr>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40" w:type="dxa"/>
            <w:vAlign w:val="bottom"/>
          </w:tcPr>
          <w:p>
            <w:pPr>
              <w:spacing w:after="0"/>
              <w:rPr>
                <w:sz w:val="21"/>
                <w:szCs w:val="21"/>
                <w:color w:val="auto"/>
              </w:rPr>
            </w:pPr>
          </w:p>
        </w:tc>
        <w:tc>
          <w:tcPr>
            <w:tcW w:w="8020" w:type="dxa"/>
            <w:vAlign w:val="bottom"/>
            <w:gridSpan w:val="4"/>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Overview</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40" w:type="dxa"/>
            <w:vAlign w:val="bottom"/>
          </w:tcPr>
          <w:p>
            <w:pPr>
              <w:spacing w:after="0"/>
              <w:rPr>
                <w:sz w:val="21"/>
                <w:szCs w:val="21"/>
                <w:color w:val="auto"/>
              </w:rPr>
            </w:pPr>
          </w:p>
        </w:tc>
        <w:tc>
          <w:tcPr>
            <w:tcW w:w="8020" w:type="dxa"/>
            <w:vAlign w:val="bottom"/>
            <w:gridSpan w:val="4"/>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Critical Accounting Estimates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40" w:type="dxa"/>
            <w:vAlign w:val="bottom"/>
          </w:tcPr>
          <w:p>
            <w:pPr>
              <w:spacing w:after="0"/>
              <w:rPr>
                <w:sz w:val="21"/>
                <w:szCs w:val="21"/>
                <w:color w:val="auto"/>
              </w:rPr>
            </w:pPr>
          </w:p>
        </w:tc>
        <w:tc>
          <w:tcPr>
            <w:tcW w:w="8020" w:type="dxa"/>
            <w:vAlign w:val="bottom"/>
            <w:gridSpan w:val="4"/>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740" w:type="dxa"/>
            <w:vAlign w:val="bottom"/>
          </w:tcPr>
          <w:p>
            <w:pPr>
              <w:spacing w:after="0"/>
              <w:rPr>
                <w:sz w:val="21"/>
                <w:szCs w:val="21"/>
                <w:color w:val="auto"/>
              </w:rPr>
            </w:pPr>
          </w:p>
        </w:tc>
        <w:tc>
          <w:tcPr>
            <w:tcW w:w="8020" w:type="dxa"/>
            <w:vAlign w:val="bottom"/>
            <w:gridSpan w:val="4"/>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Liquidity and Capital Resources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Item 3.</w:t>
              </w:r>
            </w:hyperlink>
          </w:p>
        </w:tc>
        <w:tc>
          <w:tcPr>
            <w:tcW w:w="8020" w:type="dxa"/>
            <w:vAlign w:val="bottom"/>
            <w:gridSpan w:val="4"/>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Item 4.</w:t>
              </w:r>
            </w:hyperlink>
          </w:p>
        </w:tc>
        <w:tc>
          <w:tcPr>
            <w:tcW w:w="8020" w:type="dxa"/>
            <w:vAlign w:val="bottom"/>
            <w:gridSpan w:val="4"/>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8760" w:type="dxa"/>
            <w:vAlign w:val="bottom"/>
            <w:gridSpan w:val="5"/>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PART II - 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Item 1.</w:t>
              </w:r>
            </w:hyperlink>
          </w:p>
        </w:tc>
        <w:tc>
          <w:tcPr>
            <w:tcW w:w="8020" w:type="dxa"/>
            <w:vAlign w:val="bottom"/>
            <w:gridSpan w:val="4"/>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Legal Proceedings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Item 1A.</w:t>
              </w:r>
            </w:hyperlink>
          </w:p>
        </w:tc>
        <w:tc>
          <w:tcPr>
            <w:tcW w:w="8020" w:type="dxa"/>
            <w:vAlign w:val="bottom"/>
            <w:gridSpan w:val="4"/>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Item 2.</w:t>
              </w:r>
            </w:hyperlink>
          </w:p>
        </w:tc>
        <w:tc>
          <w:tcPr>
            <w:tcW w:w="8020" w:type="dxa"/>
            <w:vAlign w:val="bottom"/>
            <w:gridSpan w:val="4"/>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Unregistered Sales of Equity Securities and Use of Proceeds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Item 3.</w:t>
              </w:r>
            </w:hyperlink>
          </w:p>
        </w:tc>
        <w:tc>
          <w:tcPr>
            <w:tcW w:w="8020" w:type="dxa"/>
            <w:vAlign w:val="bottom"/>
            <w:gridSpan w:val="4"/>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Defaults Upon Senior Securities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Item 4.</w:t>
              </w:r>
            </w:hyperlink>
          </w:p>
        </w:tc>
        <w:tc>
          <w:tcPr>
            <w:tcW w:w="8020" w:type="dxa"/>
            <w:vAlign w:val="bottom"/>
            <w:gridSpan w:val="4"/>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Mine Safety Disclosures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Item 5.</w:t>
              </w:r>
            </w:hyperlink>
          </w:p>
        </w:tc>
        <w:tc>
          <w:tcPr>
            <w:tcW w:w="8020" w:type="dxa"/>
            <w:vAlign w:val="bottom"/>
            <w:gridSpan w:val="4"/>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Item 6.</w:t>
              </w:r>
            </w:hyperlink>
          </w:p>
        </w:tc>
        <w:tc>
          <w:tcPr>
            <w:tcW w:w="8020" w:type="dxa"/>
            <w:vAlign w:val="bottom"/>
            <w:gridSpan w:val="4"/>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Exhibits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905"/>
        </w:trPr>
        <w:tc>
          <w:tcPr>
            <w:tcW w:w="740" w:type="dxa"/>
            <w:vAlign w:val="bottom"/>
          </w:tcPr>
          <w:p>
            <w:pPr>
              <w:spacing w:after="0"/>
              <w:rPr>
                <w:sz w:val="24"/>
                <w:szCs w:val="24"/>
                <w:color w:val="auto"/>
              </w:rPr>
            </w:pPr>
          </w:p>
        </w:tc>
        <w:tc>
          <w:tcPr>
            <w:tcW w:w="7660" w:type="dxa"/>
            <w:vAlign w:val="bottom"/>
            <w:gridSpan w:val="2"/>
          </w:tcPr>
          <w:p>
            <w:pPr>
              <w:ind w:left="37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7"/>
        </w:trPr>
        <w:tc>
          <w:tcPr>
            <w:tcW w:w="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17" w:right="13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Product</w:t>
            </w:r>
          </w:p>
        </w:tc>
        <w:tc>
          <w:tcPr>
            <w:tcW w:w="6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104,799</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64,290</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334,126</w:t>
            </w:r>
          </w:p>
        </w:tc>
        <w:tc>
          <w:tcPr>
            <w:tcW w:w="6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217,201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18,235</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110,405</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69,453</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352,361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235,235</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Product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56,427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189,118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118,105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17,634</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cost of revenue</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62,244</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38,872</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206,752</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135,399</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145,609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27,404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34,279</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28,694</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101,643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88,843</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(expense) income: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(3,898)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(3,849)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expense</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41,427</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provision (benefit)</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6,119</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10,785</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35,308</w:t>
            </w:r>
          </w:p>
        </w:tc>
        <w:tc>
          <w:tcPr>
            <w:tcW w:w="2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7,322</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Diluted</w:t>
            </w:r>
          </w:p>
        </w:tc>
        <w:tc>
          <w:tcPr>
            <w:tcW w:w="4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c>
          <w:tcPr>
            <w:tcW w:w="2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2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w:t>
            </w:r>
          </w:p>
        </w:tc>
        <w:tc>
          <w:tcPr>
            <w:tcW w:w="26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0.22</w:t>
            </w: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Shares used in computing net income per share:</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 weighted average common shares</w:t>
            </w:r>
          </w:p>
        </w:tc>
        <w:tc>
          <w:tcPr>
            <w:tcW w:w="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33,477</w:t>
            </w:r>
          </w:p>
        </w:tc>
        <w:tc>
          <w:tcPr>
            <w:tcW w:w="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32,344</w:t>
            </w:r>
          </w:p>
        </w:tc>
        <w:tc>
          <w:tcPr>
            <w:tcW w:w="2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33,159</w:t>
            </w:r>
          </w:p>
        </w:tc>
        <w:tc>
          <w:tcPr>
            <w:tcW w:w="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32,584</w:t>
            </w:r>
          </w:p>
        </w:tc>
        <w:tc>
          <w:tcPr>
            <w:tcW w:w="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 weighted average common shares</w:t>
            </w:r>
          </w:p>
        </w:tc>
        <w:tc>
          <w:tcPr>
            <w:tcW w:w="4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34,174</w:t>
            </w: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33,323</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34,070</w:t>
            </w:r>
          </w:p>
        </w:tc>
        <w:tc>
          <w:tcPr>
            <w:tcW w:w="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33,821</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7"/>
              </w:rPr>
              <w:t>Three months ended</w:t>
            </w:r>
          </w:p>
        </w:tc>
        <w:tc>
          <w:tcPr>
            <w:tcW w:w="140" w:type="dxa"/>
            <w:vAlign w:val="bottom"/>
          </w:tcPr>
          <w:p>
            <w:pPr>
              <w:spacing w:after="0"/>
              <w:rPr>
                <w:sz w:val="14"/>
                <w:szCs w:val="14"/>
                <w:color w:val="auto"/>
              </w:rPr>
            </w:pPr>
          </w:p>
        </w:tc>
        <w:tc>
          <w:tcPr>
            <w:tcW w:w="17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7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$ 10,785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$ 35,308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w w:val="93"/>
              </w:rPr>
              <w:t>Amortization of actuarial loss and other adjustments from pension plan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other comprehensive income (loss)</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(1,103)</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(1,758)</w:t>
            </w:r>
          </w:p>
        </w:tc>
        <w:tc>
          <w:tcPr>
            <w:tcW w:w="140" w:type="dxa"/>
            <w:vAlign w:val="bottom"/>
            <w:tcBorders>
              <w:top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$ 12,283</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$ 36,644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1400" w:type="dxa"/>
            <w:vAlign w:val="bottom"/>
            <w:gridSpan w:val="4"/>
          </w:tcPr>
          <w:p>
            <w:pPr>
              <w:ind w:left="220"/>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40" w:type="dxa"/>
            <w:vAlign w:val="bottom"/>
            <w:shd w:val="clear" w:color="auto" w:fill="CCEEFF"/>
          </w:tcPr>
          <w:p>
            <w:pPr>
              <w:ind w:left="298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211,967</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139,881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45,161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83,753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11,681</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Finance lease assets,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58,247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68,060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44,645</w:t>
            </w:r>
          </w:p>
        </w:tc>
        <w:tc>
          <w:tcPr>
            <w:tcW w:w="100" w:type="dxa"/>
            <w:vAlign w:val="bottom"/>
            <w:shd w:val="clear" w:color="auto" w:fill="CCEEFF"/>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6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590,656</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548,094</w:t>
            </w:r>
          </w:p>
        </w:tc>
        <w:tc>
          <w:tcPr>
            <w:tcW w:w="100" w:type="dxa"/>
            <w:vAlign w:val="bottom"/>
            <w:tcBorders>
              <w:bottom w:val="single" w:sz="8" w:color="CCEEFF"/>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6640" w:type="dxa"/>
            <w:vAlign w:val="bottom"/>
            <w:shd w:val="clear" w:color="auto" w:fill="CCEEFF"/>
          </w:tcPr>
          <w:p>
            <w:pPr>
              <w:ind w:left="13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24,260</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Current portion of finance lease obligation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Long-term finance lease obligation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129,993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128,667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Common stock, $0.001 par value, 75,000 shares authorized; 33,491 shares issued and</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outstanding at September 30, 2020; 32,585 shares issued and outstanding at December</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31, 2019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566,195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559,878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460,663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419,427</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590,656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548,094</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260" w:type="dxa"/>
            <w:vAlign w:val="bottom"/>
            <w:gridSpan w:val="4"/>
            <w:vMerge w:val="restart"/>
          </w:tcPr>
          <w:p>
            <w:pPr>
              <w:jc w:val="right"/>
              <w:ind w:right="79"/>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4"/>
                <w:szCs w:val="14"/>
                <w:color w:val="auto"/>
              </w:rPr>
            </w:pPr>
          </w:p>
        </w:tc>
        <w:tc>
          <w:tcPr>
            <w:tcW w:w="1260" w:type="dxa"/>
            <w:vAlign w:val="bottom"/>
            <w:tcBorders>
              <w:bottom w:val="single" w:sz="8" w:color="auto"/>
            </w:tcBorders>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4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18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40"/>
              <w:spacing w:after="0" w:line="142"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116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2018</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32,558</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565,116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(157,260)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408,337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rPr>
                <w:sz w:val="20"/>
                <w:szCs w:val="20"/>
                <w:color w:val="auto"/>
              </w:rPr>
            </w:pPr>
            <w:r>
              <w:rPr>
                <w:rFonts w:ascii="Arial" w:cs="Arial" w:eastAsia="Arial" w:hAnsi="Arial"/>
                <w:sz w:val="16"/>
                <w:szCs w:val="16"/>
                <w:color w:val="auto"/>
              </w:rPr>
              <w:t>Net income</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6,062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Pr>
          <w:p>
            <w:pPr>
              <w:spacing w:after="0"/>
              <w:rPr>
                <w:sz w:val="20"/>
                <w:szCs w:val="20"/>
                <w:color w:val="auto"/>
              </w:rPr>
            </w:pPr>
            <w:r>
              <w:rPr>
                <w:rFonts w:ascii="Arial" w:cs="Arial" w:eastAsia="Arial" w:hAnsi="Arial"/>
                <w:sz w:val="16"/>
                <w:szCs w:val="16"/>
                <w:color w:val="auto"/>
              </w:rPr>
              <w:t>Change in pension obligation</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560" w:type="dxa"/>
            <w:vAlign w:val="bottom"/>
          </w:tcPr>
          <w:p>
            <w:pPr>
              <w:spacing w:after="0"/>
              <w:rPr>
                <w:sz w:val="20"/>
                <w:szCs w:val="20"/>
                <w:color w:val="auto"/>
              </w:rPr>
            </w:pPr>
            <w:r>
              <w:rPr>
                <w:rFonts w:ascii="Arial" w:cs="Arial" w:eastAsia="Arial" w:hAnsi="Arial"/>
                <w:sz w:val="16"/>
                <w:szCs w:val="16"/>
                <w:color w:val="auto"/>
              </w:rPr>
              <w:t>Issuance of restricted common shares,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20"/>
                <w:szCs w:val="20"/>
                <w:color w:val="auto"/>
              </w:rPr>
            </w:pPr>
            <w:r>
              <w:rPr>
                <w:rFonts w:ascii="Arial" w:cs="Arial" w:eastAsia="Arial" w:hAnsi="Arial"/>
                <w:sz w:val="16"/>
                <w:szCs w:val="16"/>
                <w:color w:val="auto"/>
              </w:rPr>
              <w:t>net of shares withheld</w:t>
            </w:r>
          </w:p>
        </w:tc>
        <w:tc>
          <w:tcPr>
            <w:tcW w:w="540" w:type="dxa"/>
            <w:vAlign w:val="bottom"/>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at March 31, 2019</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32,881</w:t>
            </w:r>
          </w:p>
        </w:tc>
        <w:tc>
          <w:tcPr>
            <w:tcW w:w="1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568,335</w:t>
            </w:r>
          </w:p>
        </w:tc>
        <w:tc>
          <w:tcPr>
            <w:tcW w:w="1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(151,198)</w:t>
            </w:r>
          </w:p>
        </w:tc>
        <w:tc>
          <w:tcPr>
            <w:tcW w:w="1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417,153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5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56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Change in pension obligation</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Issuance of shares under Employee Stock</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Purchase Plan</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560" w:type="dxa"/>
            <w:vAlign w:val="bottom"/>
          </w:tcPr>
          <w:p>
            <w:pPr>
              <w:spacing w:after="0"/>
              <w:rPr>
                <w:sz w:val="20"/>
                <w:szCs w:val="20"/>
                <w:color w:val="auto"/>
              </w:rPr>
            </w:pPr>
            <w:r>
              <w:rPr>
                <w:rFonts w:ascii="Arial" w:cs="Arial" w:eastAsia="Arial" w:hAnsi="Arial"/>
                <w:sz w:val="16"/>
                <w:szCs w:val="16"/>
                <w:color w:val="auto"/>
              </w:rPr>
              <w:t>Issuance of restricted common shares,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20"/>
                <w:szCs w:val="20"/>
                <w:color w:val="auto"/>
              </w:rPr>
            </w:pPr>
            <w:r>
              <w:rPr>
                <w:rFonts w:ascii="Arial" w:cs="Arial" w:eastAsia="Arial" w:hAnsi="Arial"/>
                <w:sz w:val="16"/>
                <w:szCs w:val="16"/>
                <w:color w:val="auto"/>
              </w:rPr>
              <w:t>net of shares withheld</w:t>
            </w:r>
          </w:p>
        </w:tc>
        <w:tc>
          <w:tcPr>
            <w:tcW w:w="540" w:type="dxa"/>
            <w:vAlign w:val="bottom"/>
          </w:tcPr>
          <w:p>
            <w:pPr>
              <w:jc w:val="right"/>
              <w:spacing w:after="0"/>
              <w:rPr>
                <w:sz w:val="20"/>
                <w:szCs w:val="20"/>
                <w:color w:val="auto"/>
              </w:rPr>
            </w:pPr>
            <w:r>
              <w:rPr>
                <w:rFonts w:ascii="Arial" w:cs="Arial" w:eastAsia="Arial" w:hAnsi="Arial"/>
                <w:sz w:val="16"/>
                <w:szCs w:val="16"/>
                <w:color w:val="auto"/>
              </w:rPr>
              <w:t>165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6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540" w:type="dxa"/>
            <w:vAlign w:val="bottom"/>
          </w:tcPr>
          <w:p>
            <w:pPr>
              <w:jc w:val="right"/>
              <w:spacing w:after="0"/>
              <w:rPr>
                <w:sz w:val="20"/>
                <w:szCs w:val="20"/>
                <w:color w:val="auto"/>
              </w:rPr>
            </w:pPr>
            <w:r>
              <w:rPr>
                <w:rFonts w:ascii="Arial" w:cs="Arial" w:eastAsia="Arial" w:hAnsi="Arial"/>
                <w:sz w:val="16"/>
                <w:szCs w:val="16"/>
                <w:color w:val="auto"/>
              </w:rPr>
              <w:t>(885)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2019</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32,297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556,283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(150,642)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405,466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6"/>
                <w:szCs w:val="16"/>
                <w:color w:val="auto"/>
              </w:rPr>
              <w:t>Net income</w:t>
            </w: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60" w:type="dxa"/>
            <w:vAlign w:val="bottom"/>
            <w:vMerge w:val="continue"/>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Pr>
          <w:p>
            <w:pPr>
              <w:spacing w:after="0"/>
              <w:rPr>
                <w:sz w:val="20"/>
                <w:szCs w:val="20"/>
                <w:color w:val="auto"/>
              </w:rPr>
            </w:pPr>
            <w:r>
              <w:rPr>
                <w:rFonts w:ascii="Arial" w:cs="Arial" w:eastAsia="Arial" w:hAnsi="Arial"/>
                <w:sz w:val="16"/>
                <w:szCs w:val="16"/>
                <w:color w:val="auto"/>
              </w:rPr>
              <w:t>Change in pension obligation</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560" w:type="dxa"/>
            <w:vAlign w:val="bottom"/>
          </w:tcPr>
          <w:p>
            <w:pPr>
              <w:spacing w:after="0"/>
              <w:rPr>
                <w:sz w:val="20"/>
                <w:szCs w:val="20"/>
                <w:color w:val="auto"/>
              </w:rPr>
            </w:pPr>
            <w:r>
              <w:rPr>
                <w:rFonts w:ascii="Arial" w:cs="Arial" w:eastAsia="Arial" w:hAnsi="Arial"/>
                <w:sz w:val="16"/>
                <w:szCs w:val="16"/>
                <w:color w:val="auto"/>
              </w:rPr>
              <w:t>Issuance of restricted common shares,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20"/>
                <w:szCs w:val="20"/>
                <w:color w:val="auto"/>
              </w:rPr>
            </w:pPr>
            <w:r>
              <w:rPr>
                <w:rFonts w:ascii="Arial" w:cs="Arial" w:eastAsia="Arial" w:hAnsi="Arial"/>
                <w:sz w:val="16"/>
                <w:szCs w:val="16"/>
                <w:color w:val="auto"/>
              </w:rPr>
              <w:t>net of shares withheld</w:t>
            </w: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rPr>
                <w:sz w:val="20"/>
                <w:szCs w:val="20"/>
                <w:color w:val="auto"/>
              </w:rPr>
            </w:pPr>
            <w:r>
              <w:rPr>
                <w:rFonts w:ascii="Arial" w:cs="Arial" w:eastAsia="Arial" w:hAnsi="Arial"/>
                <w:sz w:val="16"/>
                <w:szCs w:val="16"/>
                <w:color w:val="auto"/>
              </w:rPr>
              <w:t>Balance at September 30, 2019</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32,397</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559,063</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(149,938)</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(1,310)</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407,847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357505</wp:posOffset>
            </wp:positionV>
            <wp:extent cx="579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240"/>
          </w:cols>
          <w:pgMar w:left="1320" w:top="517" w:right="1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7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44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1020" w:type="dxa"/>
            <w:vAlign w:val="bottom"/>
            <w:gridSpan w:val="3"/>
            <w:vMerge w:val="continue"/>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Shares</w:t>
            </w: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9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Deficit</w:t>
            </w:r>
          </w:p>
        </w:tc>
        <w:tc>
          <w:tcPr>
            <w:tcW w:w="116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2"/>
                <w:szCs w:val="12"/>
                <w:color w:val="auto"/>
              </w:rPr>
            </w:pPr>
          </w:p>
        </w:tc>
        <w:tc>
          <w:tcPr>
            <w:tcW w:w="720" w:type="dxa"/>
            <w:vAlign w:val="bottom"/>
          </w:tcPr>
          <w:p>
            <w:pPr>
              <w:jc w:val="right"/>
              <w:ind w:right="16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32,585</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559,878</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(140,226)</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419,427</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20"/>
                <w:szCs w:val="20"/>
                <w:color w:val="auto"/>
              </w:rPr>
            </w:pPr>
            <w:r>
              <w:rPr>
                <w:rFonts w:ascii="Arial" w:cs="Arial" w:eastAsia="Arial" w:hAnsi="Arial"/>
                <w:sz w:val="16"/>
                <w:szCs w:val="16"/>
                <w:color w:val="auto"/>
              </w:rPr>
              <w:t>Net income</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11,221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11,221</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(1,112)</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6"/>
                <w:szCs w:val="16"/>
                <w:color w:val="auto"/>
              </w:rPr>
              <w:t>Change in pension obligation</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w:t>
            </w:r>
          </w:p>
        </w:tc>
        <w:tc>
          <w:tcPr>
            <w:tcW w:w="0" w:type="dxa"/>
            <w:vAlign w:val="bottom"/>
          </w:tcPr>
          <w:p>
            <w:pPr>
              <w:spacing w:after="0"/>
              <w:rPr>
                <w:sz w:val="1"/>
                <w:szCs w:val="1"/>
                <w:color w:val="auto"/>
              </w:rPr>
            </w:pPr>
          </w:p>
        </w:tc>
      </w:tr>
      <w:tr>
        <w:trPr>
          <w:trHeight w:val="193"/>
        </w:trPr>
        <w:tc>
          <w:tcPr>
            <w:tcW w:w="3540" w:type="dxa"/>
            <w:vAlign w:val="bottom"/>
          </w:tcPr>
          <w:p>
            <w:pPr>
              <w:spacing w:after="0"/>
              <w:rPr>
                <w:sz w:val="20"/>
                <w:szCs w:val="20"/>
                <w:color w:val="auto"/>
              </w:rPr>
            </w:pPr>
            <w:r>
              <w:rPr>
                <w:rFonts w:ascii="Arial" w:cs="Arial" w:eastAsia="Arial" w:hAnsi="Arial"/>
                <w:sz w:val="16"/>
                <w:szCs w:val="16"/>
                <w:color w:val="auto"/>
              </w:rPr>
              <w:t>Issuance of shares under Employee Stock</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20"/>
                <w:szCs w:val="20"/>
                <w:color w:val="auto"/>
              </w:rPr>
            </w:pPr>
            <w:r>
              <w:rPr>
                <w:rFonts w:ascii="Arial" w:cs="Arial" w:eastAsia="Arial" w:hAnsi="Arial"/>
                <w:sz w:val="16"/>
                <w:szCs w:val="16"/>
                <w:color w:val="auto"/>
              </w:rPr>
              <w:t>Purchase Plan</w:t>
            </w: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Issuance of restricted common shares,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net of shares withheld</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(1,162)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(358)</w:t>
            </w: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(5,775)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(1,725)</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(7,501)</w:t>
            </w:r>
          </w:p>
        </w:tc>
        <w:tc>
          <w:tcPr>
            <w:tcW w:w="0" w:type="dxa"/>
            <w:vAlign w:val="bottom"/>
          </w:tcPr>
          <w:p>
            <w:pPr>
              <w:spacing w:after="0"/>
              <w:rPr>
                <w:sz w:val="1"/>
                <w:szCs w:val="1"/>
                <w:color w:val="auto"/>
              </w:rPr>
            </w:pPr>
          </w:p>
        </w:tc>
      </w:tr>
      <w:tr>
        <w:trPr>
          <w:trHeight w:val="236"/>
        </w:trPr>
        <w:tc>
          <w:tcPr>
            <w:tcW w:w="3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at March 31, 2020</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32,837</w:t>
            </w:r>
          </w:p>
        </w:tc>
        <w:tc>
          <w:tcPr>
            <w:tcW w:w="1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559,182</w:t>
            </w:r>
          </w:p>
        </w:tc>
        <w:tc>
          <w:tcPr>
            <w:tcW w:w="1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(130,730)</w:t>
            </w:r>
          </w:p>
        </w:tc>
        <w:tc>
          <w:tcPr>
            <w:tcW w:w="1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(1,313)</w:t>
            </w:r>
          </w:p>
        </w:tc>
        <w:tc>
          <w:tcPr>
            <w:tcW w:w="1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427,172</w:t>
            </w:r>
          </w:p>
        </w:tc>
        <w:tc>
          <w:tcPr>
            <w:tcW w:w="0" w:type="dxa"/>
            <w:vAlign w:val="bottom"/>
          </w:tcPr>
          <w:p>
            <w:pPr>
              <w:spacing w:after="0"/>
              <w:rPr>
                <w:sz w:val="1"/>
                <w:szCs w:val="1"/>
                <w:color w:val="auto"/>
              </w:rPr>
            </w:pPr>
          </w:p>
        </w:tc>
      </w:tr>
      <w:tr>
        <w:trPr>
          <w:trHeight w:val="183"/>
        </w:trPr>
        <w:tc>
          <w:tcPr>
            <w:tcW w:w="35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13,302</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13,302</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Change in pension obligation</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2"/>
        </w:trPr>
        <w:tc>
          <w:tcPr>
            <w:tcW w:w="354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6"/>
                <w:szCs w:val="16"/>
                <w:color w:val="auto"/>
              </w:rPr>
              <w:t>343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2,783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2,783</w:t>
            </w:r>
          </w:p>
        </w:tc>
        <w:tc>
          <w:tcPr>
            <w:tcW w:w="0" w:type="dxa"/>
            <w:vAlign w:val="bottom"/>
          </w:tcPr>
          <w:p>
            <w:pPr>
              <w:spacing w:after="0"/>
              <w:rPr>
                <w:sz w:val="1"/>
                <w:szCs w:val="1"/>
                <w:color w:val="auto"/>
              </w:rPr>
            </w:pPr>
          </w:p>
        </w:tc>
      </w:tr>
      <w:tr>
        <w:trPr>
          <w:trHeight w:val="193"/>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Issuance of shares under Employee Stock</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Purchase Plan</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193"/>
        </w:trPr>
        <w:tc>
          <w:tcPr>
            <w:tcW w:w="3540" w:type="dxa"/>
            <w:vAlign w:val="bottom"/>
          </w:tcPr>
          <w:p>
            <w:pPr>
              <w:spacing w:after="0"/>
              <w:rPr>
                <w:sz w:val="20"/>
                <w:szCs w:val="20"/>
                <w:color w:val="auto"/>
              </w:rPr>
            </w:pPr>
            <w:r>
              <w:rPr>
                <w:rFonts w:ascii="Arial" w:cs="Arial" w:eastAsia="Arial" w:hAnsi="Arial"/>
                <w:sz w:val="16"/>
                <w:szCs w:val="16"/>
                <w:color w:val="auto"/>
              </w:rPr>
              <w:t>Issuance of restricted common shares,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20"/>
                <w:szCs w:val="20"/>
                <w:color w:val="auto"/>
              </w:rPr>
            </w:pPr>
            <w:r>
              <w:rPr>
                <w:rFonts w:ascii="Arial" w:cs="Arial" w:eastAsia="Arial" w:hAnsi="Arial"/>
                <w:sz w:val="16"/>
                <w:szCs w:val="16"/>
                <w:color w:val="auto"/>
              </w:rPr>
              <w:t>net of shares withheld</w:t>
            </w:r>
          </w:p>
        </w:tc>
        <w:tc>
          <w:tcPr>
            <w:tcW w:w="540" w:type="dxa"/>
            <w:vAlign w:val="bottom"/>
          </w:tcPr>
          <w:p>
            <w:pPr>
              <w:jc w:val="right"/>
              <w:spacing w:after="0"/>
              <w:rPr>
                <w:sz w:val="20"/>
                <w:szCs w:val="20"/>
                <w:color w:val="auto"/>
              </w:rPr>
            </w:pPr>
            <w:r>
              <w:rPr>
                <w:rFonts w:ascii="Arial" w:cs="Arial" w:eastAsia="Arial" w:hAnsi="Arial"/>
                <w:sz w:val="16"/>
                <w:szCs w:val="16"/>
                <w:color w:val="auto"/>
              </w:rPr>
              <w:t>232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(2,698)</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(2,698)</w:t>
            </w: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w:t>
            </w:r>
          </w:p>
        </w:tc>
        <w:tc>
          <w:tcPr>
            <w:tcW w:w="0" w:type="dxa"/>
            <w:vAlign w:val="bottom"/>
          </w:tcPr>
          <w:p>
            <w:pPr>
              <w:spacing w:after="0"/>
              <w:rPr>
                <w:sz w:val="1"/>
                <w:szCs w:val="1"/>
                <w:color w:val="auto"/>
              </w:rPr>
            </w:pPr>
          </w:p>
        </w:tc>
      </w:tr>
      <w:tr>
        <w:trPr>
          <w:trHeight w:val="236"/>
        </w:trPr>
        <w:tc>
          <w:tcPr>
            <w:tcW w:w="3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at June 30, 2020</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33,433</w:t>
            </w:r>
          </w:p>
        </w:tc>
        <w:tc>
          <w:tcPr>
            <w:tcW w:w="1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562,839</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(117,428)</w:t>
            </w:r>
          </w:p>
        </w:tc>
        <w:tc>
          <w:tcPr>
            <w:tcW w:w="1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445,024</w:t>
            </w:r>
          </w:p>
        </w:tc>
        <w:tc>
          <w:tcPr>
            <w:tcW w:w="0" w:type="dxa"/>
            <w:vAlign w:val="bottom"/>
          </w:tcPr>
          <w:p>
            <w:pPr>
              <w:spacing w:after="0"/>
              <w:rPr>
                <w:sz w:val="1"/>
                <w:szCs w:val="1"/>
                <w:color w:val="auto"/>
              </w:rPr>
            </w:pPr>
          </w:p>
        </w:tc>
      </w:tr>
      <w:tr>
        <w:trPr>
          <w:trHeight w:val="183"/>
        </w:trPr>
        <w:tc>
          <w:tcPr>
            <w:tcW w:w="35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10,785</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1,437</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Change in pension obligation</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6"/>
                <w:szCs w:val="16"/>
                <w:color w:val="auto"/>
              </w:rPr>
              <w:t>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193"/>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Issuance of restricted common shares,</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net of shares withheld</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2,926</w:t>
            </w: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September 30, 2020</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33,491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566,195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(106,643)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460,663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center"/>
        <w:ind w:left="6600"/>
        <w:spacing w:after="0"/>
        <w:rPr>
          <w:sz w:val="20"/>
          <w:szCs w:val="20"/>
          <w:color w:val="auto"/>
        </w:rPr>
      </w:pPr>
      <w:r>
        <w:rPr>
          <w:rFonts w:ascii="Arial" w:cs="Arial" w:eastAsia="Arial" w:hAnsi="Arial"/>
          <w:sz w:val="16"/>
          <w:szCs w:val="16"/>
          <w:b w:val="1"/>
          <w:bCs w:val="1"/>
          <w:color w:val="auto"/>
        </w:rPr>
        <w:t>Nine months ended</w:t>
      </w:r>
    </w:p>
    <w:p>
      <w:pPr>
        <w:spacing w:after="0" w:line="32" w:lineRule="exact"/>
        <w:rPr>
          <w:sz w:val="20"/>
          <w:szCs w:val="20"/>
          <w:color w:val="auto"/>
        </w:rPr>
      </w:pPr>
    </w:p>
    <w:p>
      <w:pPr>
        <w:jc w:val="center"/>
        <w:ind w:left="6600"/>
        <w:spacing w:after="0"/>
        <w:rPr>
          <w:sz w:val="20"/>
          <w:szCs w:val="20"/>
          <w:color w:val="auto"/>
        </w:rPr>
      </w:pPr>
      <w:r>
        <w:rPr>
          <w:rFonts w:ascii="Arial" w:cs="Arial" w:eastAsia="Arial" w:hAnsi="Arial"/>
          <w:sz w:val="16"/>
          <w:szCs w:val="16"/>
          <w:b w:val="1"/>
          <w:bCs w:val="1"/>
          <w:color w:val="auto"/>
        </w:rPr>
        <w:t>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r>
      <w:tr>
        <w:trPr>
          <w:trHeight w:val="20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30"/>
        </w:trPr>
        <w:tc>
          <w:tcPr>
            <w:tcW w:w="69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35,308</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7,322</w:t>
            </w:r>
          </w:p>
        </w:tc>
        <w:tc>
          <w:tcPr>
            <w:tcW w:w="340" w:type="dxa"/>
            <w:vAlign w:val="bottom"/>
          </w:tcPr>
          <w:p>
            <w:pPr>
              <w:spacing w:after="0"/>
              <w:rPr>
                <w:sz w:val="19"/>
                <w:szCs w:val="19"/>
                <w:color w:val="auto"/>
              </w:rPr>
            </w:pPr>
          </w:p>
        </w:tc>
      </w:tr>
      <w:tr>
        <w:trPr>
          <w:trHeight w:val="25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(used in) operating</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r>
      <w:tr>
        <w:trPr>
          <w:trHeight w:val="230"/>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29"/>
        </w:trPr>
        <w:tc>
          <w:tcPr>
            <w:tcW w:w="69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7,346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5,583</w:t>
            </w:r>
          </w:p>
        </w:tc>
        <w:tc>
          <w:tcPr>
            <w:tcW w:w="340" w:type="dxa"/>
            <w:vAlign w:val="bottom"/>
          </w:tcPr>
          <w:p>
            <w:pPr>
              <w:spacing w:after="0"/>
              <w:rPr>
                <w:sz w:val="19"/>
                <w:szCs w:val="19"/>
                <w:color w:val="auto"/>
              </w:rPr>
            </w:pPr>
          </w:p>
        </w:tc>
      </w:tr>
      <w:tr>
        <w:trPr>
          <w:trHeight w:val="229"/>
        </w:trPr>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40" w:type="dxa"/>
            <w:vAlign w:val="bottom"/>
            <w:shd w:val="clear" w:color="auto" w:fill="CCEEFF"/>
          </w:tcPr>
          <w:p>
            <w:pPr>
              <w:spacing w:after="0"/>
              <w:rPr>
                <w:sz w:val="19"/>
                <w:szCs w:val="19"/>
                <w:color w:val="auto"/>
              </w:rPr>
            </w:pPr>
          </w:p>
        </w:tc>
      </w:tr>
      <w:tr>
        <w:trPr>
          <w:trHeight w:val="243"/>
        </w:trPr>
        <w:tc>
          <w:tcPr>
            <w:tcW w:w="69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7,727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6,140</w:t>
            </w:r>
          </w:p>
        </w:tc>
        <w:tc>
          <w:tcPr>
            <w:tcW w:w="340" w:type="dxa"/>
            <w:vAlign w:val="bottom"/>
          </w:tcPr>
          <w:p>
            <w:pPr>
              <w:spacing w:after="0"/>
              <w:rPr>
                <w:sz w:val="21"/>
                <w:szCs w:val="21"/>
                <w:color w:val="auto"/>
              </w:rPr>
            </w:pPr>
          </w:p>
        </w:tc>
      </w:tr>
      <w:tr>
        <w:trPr>
          <w:trHeight w:val="229"/>
        </w:trPr>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excess and obsolete inventory</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340" w:type="dxa"/>
            <w:vAlign w:val="bottom"/>
            <w:shd w:val="clear" w:color="auto" w:fill="CCEEFF"/>
          </w:tcPr>
          <w:p>
            <w:pPr>
              <w:spacing w:after="0"/>
              <w:rPr>
                <w:sz w:val="19"/>
                <w:szCs w:val="19"/>
                <w:color w:val="auto"/>
              </w:rPr>
            </w:pPr>
          </w:p>
        </w:tc>
      </w:tr>
      <w:tr>
        <w:trPr>
          <w:trHeight w:val="230"/>
        </w:trPr>
        <w:tc>
          <w:tcPr>
            <w:tcW w:w="6960" w:type="dxa"/>
            <w:vAlign w:val="bottom"/>
          </w:tcPr>
          <w:p>
            <w:pPr>
              <w:ind w:left="340"/>
              <w:spacing w:after="0"/>
              <w:rPr>
                <w:sz w:val="20"/>
                <w:szCs w:val="20"/>
                <w:color w:val="auto"/>
              </w:rPr>
            </w:pPr>
            <w:r>
              <w:rPr>
                <w:rFonts w:ascii="Arial" w:cs="Arial" w:eastAsia="Arial" w:hAnsi="Arial"/>
                <w:sz w:val="18"/>
                <w:szCs w:val="18"/>
                <w:color w:val="auto"/>
              </w:rPr>
              <w:t>Changes in operating assets &amp; liabilities:</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29,232</w:t>
            </w:r>
          </w:p>
        </w:tc>
        <w:tc>
          <w:tcPr>
            <w:tcW w:w="340" w:type="dxa"/>
            <w:vAlign w:val="bottom"/>
            <w:shd w:val="clear" w:color="auto" w:fill="CCEEFF"/>
          </w:tcPr>
          <w:p>
            <w:pPr>
              <w:spacing w:after="0"/>
              <w:rPr>
                <w:sz w:val="19"/>
                <w:szCs w:val="19"/>
                <w:color w:val="auto"/>
              </w:rPr>
            </w:pPr>
          </w:p>
        </w:tc>
      </w:tr>
      <w:tr>
        <w:trPr>
          <w:trHeight w:val="243"/>
        </w:trPr>
        <w:tc>
          <w:tcPr>
            <w:tcW w:w="696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(18,611)</w:t>
            </w:r>
          </w:p>
        </w:tc>
        <w:tc>
          <w:tcPr>
            <w:tcW w:w="16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(16,602)</w:t>
            </w:r>
          </w:p>
        </w:tc>
      </w:tr>
      <w:tr>
        <w:trPr>
          <w:trHeight w:val="229"/>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w:t>
            </w:r>
          </w:p>
        </w:tc>
      </w:tr>
      <w:tr>
        <w:trPr>
          <w:trHeight w:val="230"/>
        </w:trPr>
        <w:tc>
          <w:tcPr>
            <w:tcW w:w="6960" w:type="dxa"/>
            <w:vAlign w:val="bottom"/>
          </w:tcPr>
          <w:p>
            <w:pPr>
              <w:ind w:left="440"/>
              <w:spacing w:after="0"/>
              <w:rPr>
                <w:sz w:val="20"/>
                <w:szCs w:val="20"/>
                <w:color w:val="auto"/>
              </w:rPr>
            </w:pPr>
            <w:r>
              <w:rPr>
                <w:rFonts w:ascii="Arial" w:cs="Arial" w:eastAsia="Arial" w:hAnsi="Arial"/>
                <w:sz w:val="18"/>
                <w:szCs w:val="18"/>
                <w:color w:val="auto"/>
              </w:rPr>
              <w:t>Accounts payable and other current liabilities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10,540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(22,887)</w:t>
            </w:r>
          </w:p>
        </w:tc>
      </w:tr>
      <w:tr>
        <w:trPr>
          <w:trHeight w:val="229"/>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(12,292)</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340" w:type="dxa"/>
            <w:vAlign w:val="bottom"/>
            <w:shd w:val="clear" w:color="auto" w:fill="CCEEFF"/>
          </w:tcPr>
          <w:p>
            <w:pPr>
              <w:spacing w:after="0"/>
              <w:rPr>
                <w:sz w:val="19"/>
                <w:szCs w:val="19"/>
                <w:color w:val="auto"/>
              </w:rPr>
            </w:pPr>
          </w:p>
        </w:tc>
      </w:tr>
      <w:tr>
        <w:trPr>
          <w:trHeight w:val="243"/>
        </w:trPr>
        <w:tc>
          <w:tcPr>
            <w:tcW w:w="696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(185)</w:t>
            </w:r>
          </w:p>
        </w:tc>
      </w:tr>
      <w:tr>
        <w:trPr>
          <w:trHeight w:val="230"/>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 and liabilities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(16,436)</w:t>
            </w:r>
          </w:p>
        </w:tc>
      </w:tr>
      <w:tr>
        <w:trPr>
          <w:trHeight w:val="210"/>
        </w:trPr>
        <w:tc>
          <w:tcPr>
            <w:tcW w:w="6960" w:type="dxa"/>
            <w:vAlign w:val="bottom"/>
          </w:tcPr>
          <w:p>
            <w:pPr>
              <w:ind w:left="66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75,667</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340" w:type="dxa"/>
            <w:vAlign w:val="bottom"/>
          </w:tcPr>
          <w:p>
            <w:pPr>
              <w:spacing w:after="0"/>
              <w:rPr>
                <w:sz w:val="18"/>
                <w:szCs w:val="18"/>
                <w:color w:val="auto"/>
              </w:rPr>
            </w:pPr>
          </w:p>
        </w:tc>
      </w:tr>
      <w:tr>
        <w:trPr>
          <w:trHeight w:val="229"/>
        </w:trPr>
        <w:tc>
          <w:tcPr>
            <w:tcW w:w="6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43"/>
        </w:trPr>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Expenditures for property, plant and equipment and capitalized software</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(5,567)</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(11,064)</w:t>
            </w:r>
          </w:p>
        </w:tc>
      </w:tr>
      <w:tr>
        <w:trPr>
          <w:trHeight w:val="210"/>
        </w:trPr>
        <w:tc>
          <w:tcPr>
            <w:tcW w:w="696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(5,567)</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(11,064)</w:t>
            </w:r>
          </w:p>
        </w:tc>
        <w:tc>
          <w:tcPr>
            <w:tcW w:w="340" w:type="dxa"/>
            <w:vAlign w:val="bottom"/>
          </w:tcPr>
          <w:p>
            <w:pPr>
              <w:spacing w:after="0"/>
              <w:rPr>
                <w:sz w:val="18"/>
                <w:szCs w:val="18"/>
                <w:color w:val="auto"/>
              </w:rPr>
            </w:pPr>
          </w:p>
        </w:tc>
      </w:tr>
      <w:tr>
        <w:trPr>
          <w:trHeight w:val="230"/>
        </w:trPr>
        <w:tc>
          <w:tcPr>
            <w:tcW w:w="6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settlement on restricted stock grants</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(1,602)</w:t>
            </w:r>
          </w:p>
        </w:tc>
      </w:tr>
      <w:tr>
        <w:trPr>
          <w:trHeight w:val="243"/>
        </w:trPr>
        <w:tc>
          <w:tcPr>
            <w:tcW w:w="696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(7,501)</w:t>
            </w:r>
          </w:p>
        </w:tc>
        <w:tc>
          <w:tcPr>
            <w:tcW w:w="16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(14,035)</w:t>
            </w:r>
          </w:p>
        </w:tc>
      </w:tr>
      <w:tr>
        <w:trPr>
          <w:trHeight w:val="230"/>
        </w:trPr>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Stock Purchase Plan</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40" w:type="dxa"/>
            <w:vAlign w:val="bottom"/>
            <w:shd w:val="clear" w:color="auto" w:fill="CCEEFF"/>
          </w:tcPr>
          <w:p>
            <w:pPr>
              <w:spacing w:after="0"/>
              <w:rPr>
                <w:sz w:val="19"/>
                <w:szCs w:val="19"/>
                <w:color w:val="auto"/>
              </w:rPr>
            </w:pPr>
          </w:p>
        </w:tc>
      </w:tr>
      <w:tr>
        <w:trPr>
          <w:trHeight w:val="230"/>
        </w:trPr>
        <w:tc>
          <w:tcPr>
            <w:tcW w:w="6960" w:type="dxa"/>
            <w:vAlign w:val="bottom"/>
          </w:tcPr>
          <w:p>
            <w:pPr>
              <w:ind w:left="340"/>
              <w:spacing w:after="0"/>
              <w:rPr>
                <w:sz w:val="20"/>
                <w:szCs w:val="20"/>
                <w:color w:val="auto"/>
              </w:rPr>
            </w:pPr>
            <w:r>
              <w:rPr>
                <w:rFonts w:ascii="Arial" w:cs="Arial" w:eastAsia="Arial" w:hAnsi="Arial"/>
                <w:sz w:val="18"/>
                <w:szCs w:val="18"/>
                <w:color w:val="auto"/>
              </w:rPr>
              <w:t>Principal payments on finance lease obligation</w:t>
            </w:r>
          </w:p>
        </w:tc>
        <w:tc>
          <w:tcPr>
            <w:tcW w:w="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r>
      <w:tr>
        <w:trPr>
          <w:trHeight w:val="230"/>
        </w:trPr>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340" w:type="dxa"/>
            <w:vAlign w:val="bottom"/>
            <w:shd w:val="clear" w:color="auto" w:fill="CCEEFF"/>
          </w:tcPr>
          <w:p>
            <w:pPr>
              <w:spacing w:after="0"/>
              <w:rPr>
                <w:sz w:val="19"/>
                <w:szCs w:val="19"/>
                <w:color w:val="auto"/>
              </w:rPr>
            </w:pPr>
          </w:p>
        </w:tc>
      </w:tr>
      <w:tr>
        <w:trPr>
          <w:trHeight w:val="209"/>
        </w:trPr>
        <w:tc>
          <w:tcPr>
            <w:tcW w:w="6960" w:type="dxa"/>
            <w:vAlign w:val="bottom"/>
          </w:tcPr>
          <w:p>
            <w:pPr>
              <w:ind w:left="66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(12,191)</w:t>
            </w:r>
          </w:p>
        </w:tc>
        <w:tc>
          <w:tcPr>
            <w:tcW w:w="340" w:type="dxa"/>
            <w:vAlign w:val="bottom"/>
          </w:tcPr>
          <w:p>
            <w:pPr>
              <w:spacing w:after="0"/>
              <w:rPr>
                <w:sz w:val="18"/>
                <w:szCs w:val="18"/>
                <w:color w:val="auto"/>
              </w:rPr>
            </w:pPr>
          </w:p>
        </w:tc>
      </w:tr>
      <w:tr>
        <w:trPr>
          <w:trHeight w:val="243"/>
        </w:trPr>
        <w:tc>
          <w:tcPr>
            <w:tcW w:w="6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871</w:t>
            </w:r>
          </w:p>
        </w:tc>
        <w:tc>
          <w:tcPr>
            <w:tcW w:w="340" w:type="dxa"/>
            <w:vAlign w:val="bottom"/>
          </w:tcPr>
          <w:p>
            <w:pPr>
              <w:spacing w:after="0"/>
              <w:rPr>
                <w:sz w:val="19"/>
                <w:szCs w:val="19"/>
                <w:color w:val="auto"/>
              </w:rPr>
            </w:pPr>
          </w:p>
        </w:tc>
      </w:tr>
      <w:tr>
        <w:trPr>
          <w:trHeight w:val="210"/>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66,183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(22,729)</w:t>
            </w:r>
          </w:p>
        </w:tc>
        <w:tc>
          <w:tcPr>
            <w:tcW w:w="340" w:type="dxa"/>
            <w:vAlign w:val="bottom"/>
            <w:tcBorders>
              <w:top w:val="single" w:sz="8" w:color="CCEEFF"/>
            </w:tcBorders>
            <w:shd w:val="clear" w:color="auto" w:fill="CCEEFF"/>
          </w:tcPr>
          <w:p>
            <w:pPr>
              <w:spacing w:after="0"/>
              <w:rPr>
                <w:sz w:val="18"/>
                <w:szCs w:val="18"/>
                <w:color w:val="auto"/>
              </w:rPr>
            </w:pPr>
          </w:p>
        </w:tc>
      </w:tr>
      <w:tr>
        <w:trPr>
          <w:trHeight w:val="230"/>
        </w:trPr>
        <w:tc>
          <w:tcPr>
            <w:tcW w:w="6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146,534</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184,902</w:t>
            </w:r>
          </w:p>
        </w:tc>
        <w:tc>
          <w:tcPr>
            <w:tcW w:w="340" w:type="dxa"/>
            <w:vAlign w:val="bottom"/>
            <w:shd w:val="clear" w:color="auto" w:fill="CCEEFF"/>
          </w:tcPr>
          <w:p>
            <w:pPr>
              <w:spacing w:after="0"/>
              <w:rPr>
                <w:sz w:val="19"/>
                <w:szCs w:val="19"/>
                <w:color w:val="auto"/>
              </w:rPr>
            </w:pPr>
          </w:p>
        </w:tc>
      </w:tr>
      <w:tr>
        <w:trPr>
          <w:trHeight w:val="209"/>
        </w:trPr>
        <w:tc>
          <w:tcPr>
            <w:tcW w:w="69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212,717</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162,173</w:t>
            </w:r>
          </w:p>
        </w:tc>
        <w:tc>
          <w:tcPr>
            <w:tcW w:w="34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357505</wp:posOffset>
            </wp:positionV>
            <wp:extent cx="57950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220"/>
          </w:cols>
          <w:pgMar w:left="1320" w:top="517" w:right="1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w:t>
      </w:r>
    </w:p>
    <w:p>
      <w:pPr>
        <w:spacing w:after="0" w:line="11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spacing w:after="0" w:line="110"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balance sheet at December 31, 2019 has been derived from the audited consolidated financial statements at that date but does not include all of the information and footnotes required by generally accepted accounting principles for complete financial statements. For further information, refer to the consolidated financial statements and footnotes thereto included in Axcelis Technologies, Inc.’s Annual Report on Form 10-K for the year ended December 31,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16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maintain the Axcelis Technologies, Inc. 2012 Equity Incentive Plan (the “2012 Equity Plan”), which became effective on May 2, 2012, and permits the issuance of options, restricted stock, restricted stock units (“RSUs”) and performance awards to selected employees, directors and consultants of the Company. Our 2000 Stock Plan (the “2000 Stock Plan”) expired on May 1, 2012 and no new grants may be made under that plan after that date. However, unexpired options granted under the 2000 Stock Plan, which have a 10-year term, remain outstanding and subject to the terms of the 2000 Stock Plan. We also maintain the Axcelis Technologies, Inc. 2020 Employee Stock Purchase Plan (the “2020 ESPP”), an Internal Revenue Code Section 423 plan.</w:t>
      </w:r>
    </w:p>
    <w:p>
      <w:pPr>
        <w:spacing w:after="0" w:line="19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2012 Equity Plan is more fully described in Note 13 to the consolidated financial statements in our Annual Report on Form 10-K for the year ended December 31, 2019. Note 13 also describes our prior Employee Stock Purchase Plan which expired on June 30, 2020 (the “Prior ESPP”). No shares have yet been issued under the 2020 ESPP, but its terms are substantially the same as those of the Prior ESPP.</w:t>
      </w:r>
    </w:p>
    <w:p>
      <w:pPr>
        <w:spacing w:after="0" w:line="18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recognized stock-based compensation expense of $2.9 million and $2.1 million for the three month periods ended September 30, 2020 and 2019, respectively. We recognized stock-based compensation expense of $7.7 million and $6.1 million for the nine month periods ended September 30, 2020 and 2019, respectively. These amounts include compensation expense related to RSUs, non-qualified stock options and stock issued to participants under the Prior ESPP.</w:t>
      </w:r>
    </w:p>
    <w:p>
      <w:pPr>
        <w:spacing w:after="0" w:line="15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both the three month periods ended September 30, 2020 and 2019, we issued 0.1 million shares of common stock, respectively, upon stock option exercises and vesting of RSUs. In the three month periods ended September 30, 2020 and 2019, we received proceeds of $0.5 million and $0.6 million, respectively, in connection with the exercise of stock options and Prior ESPP purchases.</w:t>
      </w:r>
    </w:p>
    <w:p>
      <w:pPr>
        <w:spacing w:after="0" w:line="187"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In the nine month periods ended September 30, 2020 and 2019, we issued 1.3 million and 0.7 million shares of common stock, respectively, upon stock option exercises, purchases under the Prior ESPP and vesting of RSUs. In the nine month periods ended September 30, 2020 and 2019, we received proceeds of $8.3 million and $3.4 million, respectively, in connection with the exercise of stock options and Prior ESPP purchases.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have operating leases for office space, warehouse space, computer and office equipment and vehicles used in our business operations. We have a finance lease as a result of the 2015 sale-leaseback of our corporate headquarters in Beverly, Massachusetts. All new agreements are reviewed to determine if they contain a lease component. A lease is a contract or part of a contract that conveys the right to control the use of identified property, plant or equipment for a period of time in exchange for consideration. We recognize the lease obligation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 leases with an initial term of 12 months or less are not recorded on the consolidated balance sheet;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1 to 3 years. The exercise of lease renewal options are at our sole discretion. For lease extensions that are reasonably certain to occur, we have included these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Leases</w:t>
            </w:r>
          </w:p>
        </w:tc>
        <w:tc>
          <w:tcPr>
            <w:tcW w:w="358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Classification</w:t>
            </w:r>
          </w:p>
        </w:tc>
        <w:tc>
          <w:tcPr>
            <w:tcW w:w="3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1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020" w:type="dxa"/>
            <w:vAlign w:val="bottom"/>
            <w:gridSpan w:val="2"/>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00" w:type="dxa"/>
            <w:vAlign w:val="bottom"/>
          </w:tcPr>
          <w:p>
            <w:pPr>
              <w:spacing w:after="0" w:line="142" w:lineRule="exact"/>
              <w:rPr>
                <w:sz w:val="20"/>
                <w:szCs w:val="20"/>
                <w:color w:val="auto"/>
              </w:rPr>
            </w:pPr>
            <w:r>
              <w:rPr>
                <w:rFonts w:ascii="Arial" w:cs="Arial" w:eastAsia="Arial" w:hAnsi="Arial"/>
                <w:sz w:val="14"/>
                <w:szCs w:val="14"/>
                <w:b w:val="1"/>
                <w:bCs w:val="1"/>
                <w:color w:val="auto"/>
              </w:rPr>
              <w:t>Assets</w:t>
            </w:r>
          </w:p>
        </w:tc>
        <w:tc>
          <w:tcPr>
            <w:tcW w:w="3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4"/>
          </w:tcPr>
          <w:p>
            <w:pPr>
              <w:jc w:val="right"/>
              <w:ind w:right="508"/>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w:t>
            </w:r>
          </w:p>
        </w:tc>
        <w:tc>
          <w:tcPr>
            <w:tcW w:w="3580" w:type="dxa"/>
            <w:vAlign w:val="bottom"/>
            <w:shd w:val="clear" w:color="auto" w:fill="CCEEFF"/>
          </w:tcPr>
          <w:p>
            <w:pPr>
              <w:ind w:left="1780"/>
              <w:spacing w:after="0"/>
              <w:rPr>
                <w:sz w:val="20"/>
                <w:szCs w:val="20"/>
                <w:color w:val="auto"/>
              </w:rPr>
            </w:pPr>
            <w:r>
              <w:rPr>
                <w:rFonts w:ascii="Arial" w:cs="Arial" w:eastAsia="Arial" w:hAnsi="Arial"/>
                <w:sz w:val="14"/>
                <w:szCs w:val="14"/>
                <w:color w:val="auto"/>
              </w:rPr>
              <w:t>Operating lease assets</w:t>
            </w: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4,655</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4"/>
                <w:szCs w:val="14"/>
                <w:color w:val="auto"/>
              </w:rPr>
              <w:t>Finance lease</w:t>
            </w:r>
          </w:p>
        </w:tc>
        <w:tc>
          <w:tcPr>
            <w:tcW w:w="3580" w:type="dxa"/>
            <w:vAlign w:val="bottom"/>
          </w:tcPr>
          <w:p>
            <w:pPr>
              <w:ind w:left="1780"/>
              <w:spacing w:after="0"/>
              <w:rPr>
                <w:sz w:val="20"/>
                <w:szCs w:val="20"/>
                <w:color w:val="auto"/>
              </w:rPr>
            </w:pPr>
            <w:r>
              <w:rPr>
                <w:rFonts w:ascii="Arial" w:cs="Arial" w:eastAsia="Arial" w:hAnsi="Arial"/>
                <w:sz w:val="14"/>
                <w:szCs w:val="14"/>
                <w:color w:val="auto"/>
              </w:rPr>
              <w:t>Finance lease assets *</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20,872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21,880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Total leased assets</w:t>
            </w:r>
          </w:p>
        </w:tc>
        <w:tc>
          <w:tcPr>
            <w:tcW w:w="35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25,527</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27,729</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3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20" w:type="dxa"/>
            <w:vAlign w:val="bottom"/>
            <w:gridSpan w:val="2"/>
            <w:vMerge w:val="continue"/>
          </w:tcPr>
          <w:p>
            <w:pPr>
              <w:spacing w:after="0"/>
              <w:rPr>
                <w:sz w:val="14"/>
                <w:szCs w:val="14"/>
                <w:color w:val="auto"/>
              </w:rPr>
            </w:pPr>
          </w:p>
        </w:tc>
        <w:tc>
          <w:tcPr>
            <w:tcW w:w="3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4"/>
                <w:szCs w:val="14"/>
                <w:color w:val="auto"/>
              </w:rPr>
              <w:t>Operating</w:t>
            </w:r>
          </w:p>
        </w:tc>
        <w:tc>
          <w:tcPr>
            <w:tcW w:w="3580" w:type="dxa"/>
            <w:vAlign w:val="bottom"/>
          </w:tcPr>
          <w:p>
            <w:pPr>
              <w:ind w:left="1780"/>
              <w:spacing w:after="0"/>
              <w:rPr>
                <w:sz w:val="20"/>
                <w:szCs w:val="20"/>
                <w:color w:val="auto"/>
              </w:rPr>
            </w:pPr>
            <w:r>
              <w:rPr>
                <w:rFonts w:ascii="Arial" w:cs="Arial" w:eastAsia="Arial" w:hAnsi="Arial"/>
                <w:sz w:val="14"/>
                <w:szCs w:val="14"/>
                <w:color w:val="auto"/>
              </w:rPr>
              <w:t>Other current liabilities</w:t>
            </w:r>
          </w:p>
        </w:tc>
        <w:tc>
          <w:tcPr>
            <w:tcW w:w="5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2,632</w:t>
            </w: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3,144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3580" w:type="dxa"/>
            <w:vAlign w:val="bottom"/>
            <w:shd w:val="clear" w:color="auto" w:fill="CCEEFF"/>
          </w:tcPr>
          <w:p>
            <w:pPr>
              <w:ind w:left="1780"/>
              <w:spacing w:after="0" w:line="130" w:lineRule="exact"/>
              <w:rPr>
                <w:sz w:val="20"/>
                <w:szCs w:val="20"/>
                <w:color w:val="auto"/>
              </w:rPr>
            </w:pPr>
            <w:r>
              <w:rPr>
                <w:rFonts w:ascii="Arial" w:cs="Arial" w:eastAsia="Arial" w:hAnsi="Arial"/>
                <w:sz w:val="14"/>
                <w:szCs w:val="14"/>
                <w:color w:val="auto"/>
              </w:rPr>
              <w:t>Current portion of finance</w:t>
            </w: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Finance</w:t>
            </w:r>
          </w:p>
        </w:tc>
        <w:tc>
          <w:tcPr>
            <w:tcW w:w="3580" w:type="dxa"/>
            <w:vAlign w:val="bottom"/>
            <w:shd w:val="clear" w:color="auto" w:fill="CCEEFF"/>
          </w:tcPr>
          <w:p>
            <w:pPr>
              <w:ind w:left="1780"/>
              <w:spacing w:after="0"/>
              <w:rPr>
                <w:sz w:val="20"/>
                <w:szCs w:val="20"/>
                <w:color w:val="auto"/>
              </w:rPr>
            </w:pPr>
            <w:r>
              <w:rPr>
                <w:rFonts w:ascii="Arial" w:cs="Arial" w:eastAsia="Arial" w:hAnsi="Arial"/>
                <w:sz w:val="14"/>
                <w:szCs w:val="14"/>
                <w:color w:val="auto"/>
              </w:rPr>
              <w:t>lease obligation</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Noncurrent</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Operating</w:t>
            </w:r>
          </w:p>
        </w:tc>
        <w:tc>
          <w:tcPr>
            <w:tcW w:w="3580" w:type="dxa"/>
            <w:vAlign w:val="bottom"/>
            <w:shd w:val="clear" w:color="auto" w:fill="CCEEFF"/>
          </w:tcPr>
          <w:p>
            <w:pPr>
              <w:ind w:left="1780"/>
              <w:spacing w:after="0"/>
              <w:rPr>
                <w:sz w:val="20"/>
                <w:szCs w:val="20"/>
                <w:color w:val="auto"/>
              </w:rPr>
            </w:pPr>
            <w:r>
              <w:rPr>
                <w:rFonts w:ascii="Arial" w:cs="Arial" w:eastAsia="Arial" w:hAnsi="Arial"/>
                <w:sz w:val="14"/>
                <w:szCs w:val="14"/>
                <w:color w:val="auto"/>
              </w:rPr>
              <w:t>Other long-term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4"/>
                <w:szCs w:val="14"/>
                <w:color w:val="auto"/>
              </w:rPr>
              <w:t>Finance</w:t>
            </w:r>
          </w:p>
        </w:tc>
        <w:tc>
          <w:tcPr>
            <w:tcW w:w="3580" w:type="dxa"/>
            <w:vAlign w:val="bottom"/>
          </w:tcPr>
          <w:p>
            <w:pPr>
              <w:ind w:left="1780"/>
              <w:spacing w:after="0"/>
              <w:rPr>
                <w:sz w:val="20"/>
                <w:szCs w:val="20"/>
                <w:color w:val="auto"/>
              </w:rPr>
            </w:pPr>
            <w:r>
              <w:rPr>
                <w:rFonts w:ascii="Arial" w:cs="Arial" w:eastAsia="Arial" w:hAnsi="Arial"/>
                <w:sz w:val="14"/>
                <w:szCs w:val="14"/>
                <w:color w:val="auto"/>
              </w:rPr>
              <w:t>Finance lease obligation</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47,593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48,149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lease liabilities</w:t>
            </w:r>
          </w:p>
        </w:tc>
        <w:tc>
          <w:tcPr>
            <w:tcW w:w="35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52,885</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54,245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320" w:firstLine="8"/>
        <w:spacing w:after="0" w:line="238" w:lineRule="auto"/>
        <w:tabs>
          <w:tab w:leader="none" w:pos="108" w:val="left"/>
        </w:tabs>
        <w:numPr>
          <w:ilvl w:val="0"/>
          <w:numId w:val="3"/>
        </w:numPr>
        <w:rPr>
          <w:rFonts w:ascii="Arial" w:cs="Arial" w:eastAsia="Arial" w:hAnsi="Arial"/>
          <w:sz w:val="14"/>
          <w:szCs w:val="14"/>
          <w:color w:val="auto"/>
        </w:rPr>
      </w:pPr>
      <w:r>
        <w:rPr>
          <w:rFonts w:ascii="Arial" w:cs="Arial" w:eastAsia="Arial" w:hAnsi="Arial"/>
          <w:sz w:val="14"/>
          <w:szCs w:val="14"/>
          <w:color w:val="auto"/>
        </w:rPr>
        <w:t>Finance lease assets are recorded net of accumulated depreciation of $48.1 million and include $0.7 million of prepaid financing costs as of September 30, 2020. Finance lease assets are recorded net of accumulated depreciation of $47.4 million and include $0.7 million of prepaid financing costs as of December 31, 2019.</w:t>
      </w:r>
    </w:p>
    <w:p>
      <w:pPr>
        <w:spacing w:after="0" w:line="11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All of our operating lease office locations support selling and servicing functions. Operating lease expense, and depreciation and interest expense relating to our finance lease obligation, are recognized within our consolidated statement of operations for the three and nine months ended September 30, 2020 and 2019 as follows: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6"/>
                <w:szCs w:val="16"/>
                <w:color w:val="auto"/>
              </w:rPr>
            </w:pPr>
          </w:p>
        </w:tc>
        <w:tc>
          <w:tcPr>
            <w:tcW w:w="15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201"/>
        </w:trPr>
        <w:tc>
          <w:tcPr>
            <w:tcW w:w="2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Lease cost</w:t>
            </w: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96"/>
        </w:trPr>
        <w:tc>
          <w:tcPr>
            <w:tcW w:w="2620" w:type="dxa"/>
            <w:vAlign w:val="bottom"/>
            <w:gridSpan w:val="2"/>
            <w:vMerge w:val="continue"/>
          </w:tcPr>
          <w:p>
            <w:pPr>
              <w:spacing w:after="0"/>
              <w:rPr>
                <w:sz w:val="17"/>
                <w:szCs w:val="17"/>
                <w:color w:val="auto"/>
              </w:rPr>
            </w:pPr>
          </w:p>
        </w:tc>
        <w:tc>
          <w:tcPr>
            <w:tcW w:w="2980" w:type="dxa"/>
            <w:vAlign w:val="bottom"/>
          </w:tcPr>
          <w:p>
            <w:pPr>
              <w:ind w:left="960"/>
              <w:spacing w:after="0"/>
              <w:rPr>
                <w:sz w:val="20"/>
                <w:szCs w:val="20"/>
                <w:color w:val="auto"/>
              </w:rPr>
            </w:pPr>
            <w:r>
              <w:rPr>
                <w:rFonts w:ascii="Arial" w:cs="Arial" w:eastAsia="Arial" w:hAnsi="Arial"/>
                <w:sz w:val="14"/>
                <w:szCs w:val="14"/>
                <w:b w:val="1"/>
                <w:bCs w:val="1"/>
                <w:color w:val="auto"/>
              </w:rPr>
              <w:t>Classification</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Operating lease cost</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Service</w:t>
            </w:r>
          </w:p>
        </w:tc>
        <w:tc>
          <w:tcPr>
            <w:tcW w:w="2980" w:type="dxa"/>
            <w:vAlign w:val="bottom"/>
            <w:shd w:val="clear" w:color="auto" w:fill="CCEEFF"/>
          </w:tcPr>
          <w:p>
            <w:pPr>
              <w:ind w:left="960"/>
              <w:spacing w:after="0"/>
              <w:rPr>
                <w:sz w:val="20"/>
                <w:szCs w:val="20"/>
                <w:color w:val="auto"/>
              </w:rPr>
            </w:pPr>
            <w:r>
              <w:rPr>
                <w:rFonts w:ascii="Arial" w:cs="Arial" w:eastAsia="Arial" w:hAnsi="Arial"/>
                <w:sz w:val="14"/>
                <w:szCs w:val="14"/>
                <w:color w:val="auto"/>
              </w:rPr>
              <w:t>Cost of revenue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4"/>
                <w:szCs w:val="14"/>
                <w:color w:val="auto"/>
              </w:rPr>
              <w:t>Research and development</w:t>
            </w:r>
          </w:p>
        </w:tc>
        <w:tc>
          <w:tcPr>
            <w:tcW w:w="2980" w:type="dxa"/>
            <w:vAlign w:val="bottom"/>
          </w:tcPr>
          <w:p>
            <w:pPr>
              <w:ind w:left="96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Sales and marketing*</w:t>
            </w:r>
          </w:p>
        </w:tc>
        <w:tc>
          <w:tcPr>
            <w:tcW w:w="2980" w:type="dxa"/>
            <w:vAlign w:val="bottom"/>
            <w:shd w:val="clear" w:color="auto" w:fill="CCEEFF"/>
          </w:tcPr>
          <w:p>
            <w:pPr>
              <w:ind w:left="960"/>
              <w:spacing w:after="0"/>
              <w:rPr>
                <w:sz w:val="20"/>
                <w:szCs w:val="20"/>
                <w:color w:val="auto"/>
              </w:rPr>
            </w:pPr>
            <w:r>
              <w:rPr>
                <w:rFonts w:ascii="Arial" w:cs="Arial" w:eastAsia="Arial" w:hAnsi="Arial"/>
                <w:sz w:val="14"/>
                <w:szCs w:val="14"/>
                <w:color w:val="auto"/>
              </w:rPr>
              <w:t>Operating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4"/>
                <w:szCs w:val="14"/>
                <w:color w:val="auto"/>
              </w:rPr>
              <w:t>General and administrative*</w:t>
            </w:r>
          </w:p>
        </w:tc>
        <w:tc>
          <w:tcPr>
            <w:tcW w:w="2980" w:type="dxa"/>
            <w:vAlign w:val="bottom"/>
          </w:tcPr>
          <w:p>
            <w:pPr>
              <w:ind w:left="96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Total operating lease cost</w:t>
            </w:r>
          </w:p>
        </w:tc>
        <w:tc>
          <w:tcPr>
            <w:tcW w:w="2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3,609</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Finance lease cost</w:t>
            </w:r>
          </w:p>
        </w:tc>
        <w:tc>
          <w:tcPr>
            <w:tcW w:w="2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gridSpan w:val="2"/>
            <w:vMerge w:val="continue"/>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2980" w:type="dxa"/>
            <w:vAlign w:val="bottom"/>
            <w:shd w:val="clear" w:color="auto" w:fill="CCEEFF"/>
          </w:tcPr>
          <w:p>
            <w:pPr>
              <w:ind w:left="960"/>
              <w:spacing w:after="0" w:line="130" w:lineRule="exact"/>
              <w:rPr>
                <w:sz w:val="20"/>
                <w:szCs w:val="20"/>
                <w:color w:val="auto"/>
              </w:rPr>
            </w:pPr>
            <w:r>
              <w:rPr>
                <w:rFonts w:ascii="Arial" w:cs="Arial" w:eastAsia="Arial" w:hAnsi="Arial"/>
                <w:sz w:val="14"/>
                <w:szCs w:val="14"/>
                <w:color w:val="auto"/>
                <w:w w:val="96"/>
              </w:rPr>
              <w:t>Cost of revenue, R&amp;D, Sales and</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Depreciation of leased assets</w:t>
            </w:r>
          </w:p>
        </w:tc>
        <w:tc>
          <w:tcPr>
            <w:tcW w:w="2980" w:type="dxa"/>
            <w:vAlign w:val="bottom"/>
            <w:shd w:val="clear" w:color="auto" w:fill="CCEEFF"/>
          </w:tcPr>
          <w:p>
            <w:pPr>
              <w:ind w:left="960"/>
              <w:spacing w:after="0"/>
              <w:rPr>
                <w:sz w:val="20"/>
                <w:szCs w:val="20"/>
                <w:color w:val="auto"/>
              </w:rPr>
            </w:pPr>
            <w:r>
              <w:rPr>
                <w:rFonts w:ascii="Arial" w:cs="Arial" w:eastAsia="Arial" w:hAnsi="Arial"/>
                <w:sz w:val="14"/>
                <w:szCs w:val="14"/>
                <w:color w:val="auto"/>
              </w:rPr>
              <w:t>marketing and G&amp;A</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4"/>
                <w:szCs w:val="14"/>
                <w:color w:val="auto"/>
              </w:rPr>
              <w:t>Interest on lease liabilities</w:t>
            </w:r>
          </w:p>
        </w:tc>
        <w:tc>
          <w:tcPr>
            <w:tcW w:w="2980" w:type="dxa"/>
            <w:vAlign w:val="bottom"/>
          </w:tcPr>
          <w:p>
            <w:pPr>
              <w:ind w:left="96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Total finance lease cost</w:t>
            </w:r>
          </w:p>
        </w:tc>
        <w:tc>
          <w:tcPr>
            <w:tcW w:w="2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4,846</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lease cost</w:t>
            </w:r>
          </w:p>
        </w:tc>
        <w:tc>
          <w:tcPr>
            <w:tcW w:w="29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8,455</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500" w:firstLine="8"/>
        <w:spacing w:after="0" w:line="238" w:lineRule="auto"/>
        <w:tabs>
          <w:tab w:leader="none" w:pos="108" w:val="left"/>
        </w:tabs>
        <w:numPr>
          <w:ilvl w:val="0"/>
          <w:numId w:val="4"/>
        </w:numPr>
        <w:rPr>
          <w:rFonts w:ascii="Arial" w:cs="Arial" w:eastAsia="Arial" w:hAnsi="Arial"/>
          <w:sz w:val="14"/>
          <w:szCs w:val="14"/>
          <w:color w:val="auto"/>
        </w:rPr>
      </w:pPr>
      <w:r>
        <w:rPr>
          <w:rFonts w:ascii="Arial" w:cs="Arial" w:eastAsia="Arial" w:hAnsi="Arial"/>
          <w:sz w:val="14"/>
          <w:szCs w:val="14"/>
          <w:color w:val="auto"/>
        </w:rPr>
        <w:t>Sales and marketing, general and administrative expense includes short-term lease and variable lease costs of approximately $0.3 million and $0.8 million for the three and nine months ended September 30, 2020, respectively and includes short-term lease and variable lease costs of approximately $0.2 million and $0.6 million for the three and nine months ended September 30, 2019, respectively.</w:t>
      </w:r>
    </w:p>
    <w:p>
      <w:pPr>
        <w:spacing w:after="0" w:line="187"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Our corporate headquarters, shown below under finance leases, has an original lease term of 22 years. All other locations are treated as operating leases, with lease terms ranging from 1 to 10 years. The tables below reflect the minimum cash outflow regarding our current lease obligations as well as the weighted-average remaining lease term and weighted-average discount rates used in our calculation of our lease obligations and right-of-use assets as of September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of Lease Liabilities</w:t>
            </w: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Finance</w:t>
            </w: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4"/>
                <w:szCs w:val="14"/>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Leases</w:t>
            </w: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Leases</w:t>
            </w:r>
          </w:p>
        </w:tc>
        <w:tc>
          <w:tcPr>
            <w:tcW w:w="1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Leases</w:t>
            </w:r>
          </w:p>
        </w:tc>
        <w:tc>
          <w:tcPr>
            <w:tcW w:w="0" w:type="dxa"/>
            <w:vAlign w:val="bottom"/>
          </w:tcPr>
          <w:p>
            <w:pPr>
              <w:spacing w:after="0"/>
              <w:rPr>
                <w:sz w:val="1"/>
                <w:szCs w:val="1"/>
                <w:color w:val="auto"/>
              </w:rPr>
            </w:pPr>
          </w:p>
        </w:tc>
      </w:tr>
      <w:tr>
        <w:trPr>
          <w:trHeight w:val="142"/>
        </w:trPr>
        <w:tc>
          <w:tcPr>
            <w:tcW w:w="60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2,368</w:t>
            </w:r>
          </w:p>
        </w:tc>
        <w:tc>
          <w:tcPr>
            <w:tcW w:w="0" w:type="dxa"/>
            <w:vAlign w:val="bottom"/>
          </w:tcPr>
          <w:p>
            <w:pPr>
              <w:spacing w:after="0"/>
              <w:rPr>
                <w:sz w:val="1"/>
                <w:szCs w:val="1"/>
                <w:color w:val="auto"/>
              </w:rPr>
            </w:pPr>
          </w:p>
        </w:tc>
      </w:tr>
      <w:tr>
        <w:trPr>
          <w:trHeight w:val="149"/>
        </w:trPr>
        <w:tc>
          <w:tcPr>
            <w:tcW w:w="6000" w:type="dxa"/>
            <w:vAlign w:val="bottom"/>
          </w:tcPr>
          <w:p>
            <w:pPr>
              <w:spacing w:after="0" w:line="149" w:lineRule="exact"/>
              <w:rPr>
                <w:sz w:val="20"/>
                <w:szCs w:val="20"/>
                <w:color w:val="auto"/>
              </w:rPr>
            </w:pPr>
            <w:r>
              <w:rPr>
                <w:rFonts w:ascii="Arial" w:cs="Arial" w:eastAsia="Arial" w:hAnsi="Arial"/>
                <w:sz w:val="14"/>
                <w:szCs w:val="14"/>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5,848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2,447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8,295</w:t>
            </w:r>
          </w:p>
        </w:tc>
        <w:tc>
          <w:tcPr>
            <w:tcW w:w="0" w:type="dxa"/>
            <w:vAlign w:val="bottom"/>
          </w:tcPr>
          <w:p>
            <w:pPr>
              <w:spacing w:after="0"/>
              <w:rPr>
                <w:sz w:val="1"/>
                <w:szCs w:val="1"/>
                <w:color w:val="auto"/>
              </w:rPr>
            </w:pPr>
          </w:p>
        </w:tc>
      </w:tr>
      <w:tr>
        <w:trPr>
          <w:trHeight w:val="148"/>
        </w:trPr>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7,108</w:t>
            </w:r>
          </w:p>
        </w:tc>
        <w:tc>
          <w:tcPr>
            <w:tcW w:w="0" w:type="dxa"/>
            <w:vAlign w:val="bottom"/>
          </w:tcPr>
          <w:p>
            <w:pPr>
              <w:spacing w:after="0"/>
              <w:rPr>
                <w:sz w:val="1"/>
                <w:szCs w:val="1"/>
                <w:color w:val="auto"/>
              </w:rPr>
            </w:pPr>
          </w:p>
        </w:tc>
      </w:tr>
      <w:tr>
        <w:trPr>
          <w:trHeight w:val="148"/>
        </w:trPr>
        <w:tc>
          <w:tcPr>
            <w:tcW w:w="6000" w:type="dxa"/>
            <w:vAlign w:val="bottom"/>
          </w:tcPr>
          <w:p>
            <w:pPr>
              <w:spacing w:after="0" w:line="149" w:lineRule="exact"/>
              <w:rPr>
                <w:sz w:val="20"/>
                <w:szCs w:val="20"/>
                <w:color w:val="auto"/>
              </w:rPr>
            </w:pPr>
            <w:r>
              <w:rPr>
                <w:rFonts w:ascii="Arial" w:cs="Arial" w:eastAsia="Arial" w:hAnsi="Arial"/>
                <w:sz w:val="14"/>
                <w:szCs w:val="14"/>
                <w:color w:val="auto"/>
              </w:rPr>
              <w:t>2023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6,451</w:t>
            </w:r>
          </w:p>
        </w:tc>
        <w:tc>
          <w:tcPr>
            <w:tcW w:w="0" w:type="dxa"/>
            <w:vAlign w:val="bottom"/>
          </w:tcPr>
          <w:p>
            <w:pPr>
              <w:spacing w:after="0"/>
              <w:rPr>
                <w:sz w:val="1"/>
                <w:szCs w:val="1"/>
                <w:color w:val="auto"/>
              </w:rPr>
            </w:pPr>
          </w:p>
        </w:tc>
      </w:tr>
      <w:tr>
        <w:trPr>
          <w:trHeight w:val="149"/>
        </w:trPr>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6,350</w:t>
            </w:r>
          </w:p>
        </w:tc>
        <w:tc>
          <w:tcPr>
            <w:tcW w:w="0" w:type="dxa"/>
            <w:vAlign w:val="bottom"/>
          </w:tcPr>
          <w:p>
            <w:pPr>
              <w:spacing w:after="0"/>
              <w:rPr>
                <w:sz w:val="1"/>
                <w:szCs w:val="1"/>
                <w:color w:val="auto"/>
              </w:rPr>
            </w:pPr>
          </w:p>
        </w:tc>
      </w:tr>
      <w:tr>
        <w:trPr>
          <w:trHeight w:val="148"/>
        </w:trPr>
        <w:tc>
          <w:tcPr>
            <w:tcW w:w="618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Thereafter</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79,653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219</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79,872</w:t>
            </w:r>
          </w:p>
        </w:tc>
        <w:tc>
          <w:tcPr>
            <w:tcW w:w="0" w:type="dxa"/>
            <w:vAlign w:val="bottom"/>
          </w:tcPr>
          <w:p>
            <w:pPr>
              <w:spacing w:after="0"/>
              <w:rPr>
                <w:sz w:val="1"/>
                <w:szCs w:val="1"/>
                <w:color w:val="auto"/>
              </w:rPr>
            </w:pPr>
          </w:p>
        </w:tc>
      </w:tr>
      <w:tr>
        <w:trPr>
          <w:trHeight w:val="142"/>
        </w:trPr>
        <w:tc>
          <w:tcPr>
            <w:tcW w:w="61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lease payments</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105,280</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5,164</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110,444</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Less interest portion*</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(56,982)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(577)</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(57,559)</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Finance lease and operating lease obligations</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48,298</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4,587</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52,885</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 Finance lease interest calculated using the implied interest rate; operating lease interest calculated using estimated corporate borrowing rate.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Lease term and discount rate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8"/>
        </w:trPr>
        <w:tc>
          <w:tcPr>
            <w:tcW w:w="7800" w:type="dxa"/>
            <w:vAlign w:val="bottom"/>
            <w:gridSpan w:val="3"/>
            <w:vMerge w:val="continue"/>
          </w:tcPr>
          <w:p>
            <w:pPr>
              <w:spacing w:after="0"/>
              <w:rPr>
                <w:sz w:val="16"/>
                <w:szCs w:val="16"/>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Weighted-average remaining lease term (years):</w:t>
            </w:r>
          </w:p>
        </w:tc>
        <w:tc>
          <w:tcPr>
            <w:tcW w:w="2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leases</w:t>
            </w:r>
          </w:p>
        </w:tc>
        <w:tc>
          <w:tcPr>
            <w:tcW w:w="1320" w:type="dxa"/>
            <w:vAlign w:val="bottom"/>
            <w:shd w:val="clear" w:color="auto" w:fill="CCEEFF"/>
          </w:tcPr>
          <w:p>
            <w:pPr>
              <w:jc w:val="center"/>
              <w:ind w:left="228"/>
              <w:spacing w:after="0" w:line="149" w:lineRule="exact"/>
              <w:rPr>
                <w:sz w:val="20"/>
                <w:szCs w:val="20"/>
                <w:color w:val="auto"/>
              </w:rPr>
            </w:pPr>
            <w:r>
              <w:rPr>
                <w:rFonts w:ascii="Arial" w:cs="Arial" w:eastAsia="Arial" w:hAnsi="Arial"/>
                <w:sz w:val="14"/>
                <w:szCs w:val="14"/>
                <w:color w:val="auto"/>
                <w:w w:val="92"/>
              </w:rPr>
              <w:t>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80" w:type="dxa"/>
            <w:vAlign w:val="bottom"/>
            <w:gridSpan w:val="2"/>
          </w:tcPr>
          <w:p>
            <w:pPr>
              <w:spacing w:after="0" w:line="149" w:lineRule="exact"/>
              <w:rPr>
                <w:sz w:val="20"/>
                <w:szCs w:val="20"/>
                <w:color w:val="auto"/>
              </w:rPr>
            </w:pPr>
            <w:r>
              <w:rPr>
                <w:rFonts w:ascii="Arial" w:cs="Arial" w:eastAsia="Arial" w:hAnsi="Arial"/>
                <w:sz w:val="14"/>
                <w:szCs w:val="14"/>
                <w:color w:val="auto"/>
              </w:rPr>
              <w:t>Finance leases</w:t>
            </w:r>
          </w:p>
        </w:tc>
        <w:tc>
          <w:tcPr>
            <w:tcW w:w="1320" w:type="dxa"/>
            <w:vAlign w:val="bottom"/>
          </w:tcPr>
          <w:p>
            <w:pPr>
              <w:jc w:val="center"/>
              <w:ind w:left="228"/>
              <w:spacing w:after="0" w:line="149" w:lineRule="exact"/>
              <w:rPr>
                <w:sz w:val="20"/>
                <w:szCs w:val="20"/>
                <w:color w:val="auto"/>
              </w:rPr>
            </w:pPr>
            <w:r>
              <w:rPr>
                <w:rFonts w:ascii="Arial" w:cs="Arial" w:eastAsia="Arial" w:hAnsi="Arial"/>
                <w:sz w:val="14"/>
                <w:szCs w:val="14"/>
                <w:color w:val="auto"/>
                <w:w w:val="95"/>
              </w:rPr>
              <w:t>16.3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Weighted-average discount rate:</w:t>
            </w: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spacing w:after="0" w:line="149" w:lineRule="exact"/>
              <w:rPr>
                <w:sz w:val="20"/>
                <w:szCs w:val="20"/>
                <w:color w:val="auto"/>
              </w:rPr>
            </w:pPr>
            <w:r>
              <w:rPr>
                <w:rFonts w:ascii="Arial" w:cs="Arial" w:eastAsia="Arial" w:hAnsi="Arial"/>
                <w:sz w:val="14"/>
                <w:szCs w:val="14"/>
                <w:color w:val="auto"/>
              </w:rPr>
              <w:t>Operating leases</w:t>
            </w:r>
          </w:p>
        </w:tc>
        <w:tc>
          <w:tcPr>
            <w:tcW w:w="1320" w:type="dxa"/>
            <w:vAlign w:val="bottom"/>
          </w:tcPr>
          <w:p>
            <w:pPr>
              <w:jc w:val="center"/>
              <w:ind w:left="228"/>
              <w:spacing w:after="0" w:line="149" w:lineRule="exact"/>
              <w:rPr>
                <w:sz w:val="20"/>
                <w:szCs w:val="20"/>
                <w:color w:val="auto"/>
              </w:rPr>
            </w:pPr>
            <w:r>
              <w:rPr>
                <w:rFonts w:ascii="Arial" w:cs="Arial" w:eastAsia="Arial" w:hAnsi="Arial"/>
                <w:sz w:val="14"/>
                <w:szCs w:val="14"/>
                <w:color w:val="auto"/>
                <w:w w:val="93"/>
              </w:rPr>
              <w:t>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Finance leases</w:t>
            </w:r>
          </w:p>
        </w:tc>
        <w:tc>
          <w:tcPr>
            <w:tcW w:w="1320" w:type="dxa"/>
            <w:vAlign w:val="bottom"/>
            <w:shd w:val="clear" w:color="auto" w:fill="CCEEFF"/>
          </w:tcPr>
          <w:p>
            <w:pPr>
              <w:jc w:val="center"/>
              <w:ind w:left="228"/>
              <w:spacing w:after="0" w:line="149" w:lineRule="exact"/>
              <w:rPr>
                <w:sz w:val="20"/>
                <w:szCs w:val="20"/>
                <w:color w:val="auto"/>
              </w:rPr>
            </w:pPr>
            <w:r>
              <w:rPr>
                <w:rFonts w:ascii="Arial" w:cs="Arial" w:eastAsia="Arial" w:hAnsi="Arial"/>
                <w:sz w:val="14"/>
                <w:szCs w:val="14"/>
                <w:color w:val="auto"/>
                <w:w w:val="95"/>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Our cash outflows from our operating leases include rent expense and other charges associated with these leases. These cash flows are included within the operating activities section of our statement of cash flows. Our cash flows from our finance lease include both an interest component and payment of principal component. The table below shows our cash</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outflows, by lease type and related section of our statement of cash flows, as well as the non-cash amount capitalized on our balance sheet in relation to our operating lease right-of-use assets: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201"/>
        </w:trPr>
        <w:tc>
          <w:tcPr>
            <w:tcW w:w="6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 paid for amounts included in the measurement of lease liabilities</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408"/>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Operating cash outflows from operating leases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4"/>
                <w:szCs w:val="14"/>
                <w:color w:val="auto"/>
              </w:rPr>
              <w:t>Operating cash outflows from finance leases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4,035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Financing cash outflows from finance leases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4"/>
                <w:szCs w:val="14"/>
                <w:color w:val="auto"/>
              </w:rPr>
              <w:t>Operating lease assets obtained in exchange for operating lease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1,658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Finance lease assets obtained in exchange for new finance lease liabilities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9"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To reflect the organization of our business operations, we divide revenue into two categories: revenue from sales of new systems and revenue arising from the sale of used systems, parts and labor to customers who own systems, which we refer to as “Aftermarket.”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categories used by management are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20" w:type="dxa"/>
            <w:vAlign w:val="bottom"/>
            <w:gridSpan w:val="4"/>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255"/>
        </w:trPr>
        <w:tc>
          <w:tcPr>
            <w:tcW w:w="4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8"/>
              </w:rPr>
              <w:t>September 30,</w:t>
            </w:r>
          </w:p>
        </w:tc>
        <w:tc>
          <w:tcPr>
            <w:tcW w:w="740" w:type="dxa"/>
            <w:vAlign w:val="bottom"/>
            <w:tcBorders>
              <w:bottom w:val="single" w:sz="8" w:color="auto"/>
            </w:tcBorders>
          </w:tcPr>
          <w:p>
            <w:pPr>
              <w:spacing w:after="0"/>
              <w:rPr>
                <w:sz w:val="22"/>
                <w:szCs w:val="22"/>
                <w:color w:val="auto"/>
              </w:rPr>
            </w:pPr>
          </w:p>
        </w:tc>
      </w:tr>
      <w:tr>
        <w:trPr>
          <w:trHeight w:val="250"/>
        </w:trPr>
        <w:tc>
          <w:tcPr>
            <w:tcW w:w="4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w w:val="83"/>
              </w:rPr>
              <w:t>2019</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r>
      <w:tr>
        <w:trPr>
          <w:trHeight w:val="250"/>
        </w:trPr>
        <w:tc>
          <w:tcPr>
            <w:tcW w:w="4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40" w:type="dxa"/>
            <w:vAlign w:val="bottom"/>
            <w:gridSpan w:val="5"/>
          </w:tcPr>
          <w:p>
            <w:pPr>
              <w:ind w:left="4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Systems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70,239</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36,809</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6"/>
              </w:rPr>
              <w:t>229,391</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131,124</w:t>
            </w:r>
          </w:p>
        </w:tc>
      </w:tr>
      <w:tr>
        <w:trPr>
          <w:trHeight w:val="240"/>
        </w:trPr>
        <w:tc>
          <w:tcPr>
            <w:tcW w:w="4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Aftermarket</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40,166</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32,644</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w w:val="96"/>
              </w:rPr>
              <w:t>122,970</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104,111</w:t>
            </w:r>
          </w:p>
        </w:tc>
      </w:tr>
      <w:tr>
        <w:trPr>
          <w:trHeight w:val="209"/>
        </w:trPr>
        <w:tc>
          <w:tcPr>
            <w:tcW w:w="4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110,405</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69,453</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w w:val="96"/>
              </w:rPr>
              <w:t>352,361</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235,235</w:t>
            </w:r>
          </w:p>
        </w:tc>
      </w:tr>
      <w:tr>
        <w:trPr>
          <w:trHeight w:val="20"/>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also consider revenue by geography. Revenue is allocated to geographic markets based upon the location to which our products are shipped and in which our services are performed. Revenue in our principal geographic markets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right"/>
              <w:ind w:right="32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right"/>
              <w:ind w:right="321"/>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jc w:val="right"/>
              <w:ind w:right="481"/>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North America</w:t>
            </w:r>
          </w:p>
        </w:tc>
        <w:tc>
          <w:tcPr>
            <w:tcW w:w="22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9,022</w:t>
            </w:r>
          </w:p>
        </w:tc>
        <w:tc>
          <w:tcPr>
            <w:tcW w:w="3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7,681</w:t>
            </w:r>
          </w:p>
        </w:tc>
        <w:tc>
          <w:tcPr>
            <w:tcW w:w="3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28,598</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28,670</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Asia Pacific</w:t>
            </w: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89,995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47,756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293,427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160,398</w:t>
            </w: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Europe</w:t>
            </w:r>
          </w:p>
        </w:tc>
        <w:tc>
          <w:tcPr>
            <w:tcW w:w="20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11,388</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14,016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30,336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46,167</w:t>
            </w: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110,405</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69,453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352,361</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235,235</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60"/>
          </w:cols>
          <w:pgMar w:left="1380" w:top="517" w:right="1359" w:bottom="1440" w:gutter="0" w:footer="0" w:header="0"/>
        </w:sectPr>
      </w:pPr>
    </w:p>
    <w:bookmarkStart w:id="12" w:name="page13"/>
    <w:bookmarkEnd w:id="12"/>
    <w:p>
      <w:pPr>
        <w:ind w:left="3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 w:right="520" w:firstLine="648"/>
        <w:spacing w:after="0" w:line="342" w:lineRule="auto"/>
        <w:rPr>
          <w:sz w:val="20"/>
          <w:szCs w:val="20"/>
          <w:color w:val="auto"/>
        </w:rPr>
      </w:pPr>
      <w:r>
        <w:rPr>
          <w:rFonts w:ascii="Arial" w:cs="Arial" w:eastAsia="Arial" w:hAnsi="Arial"/>
          <w:sz w:val="16"/>
          <w:szCs w:val="16"/>
          <w:color w:val="auto"/>
        </w:rPr>
        <w:t>Our system sales revenue transactions give rise to contract liabilities (in the case of pre-payments and the fair value of goods and services to be delivered after the system delivery, such as installation and certain warranty obligations).</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Contract liabilities are as follows:</w:t>
      </w:r>
    </w:p>
    <w:p>
      <w:pPr>
        <w:spacing w:after="0" w:line="298" w:lineRule="exact"/>
        <w:rPr>
          <w:sz w:val="20"/>
          <w:szCs w:val="20"/>
          <w:color w:val="auto"/>
        </w:rPr>
      </w:pPr>
    </w:p>
    <w:tbl>
      <w:tblPr>
        <w:tblLayout w:type="fixed"/>
        <w:tblInd w:w="3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26"/>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5"/>
              <w:spacing w:after="0"/>
              <w:rPr>
                <w:sz w:val="20"/>
                <w:szCs w:val="20"/>
                <w:color w:val="auto"/>
              </w:rPr>
            </w:pPr>
            <w:r>
              <w:rPr>
                <w:rFonts w:ascii="Arial" w:cs="Arial" w:eastAsia="Arial" w:hAnsi="Arial"/>
                <w:sz w:val="14"/>
                <w:szCs w:val="14"/>
                <w:b w:val="1"/>
                <w:bCs w:val="1"/>
                <w:color w:val="auto"/>
                <w:w w:val="92"/>
              </w:rPr>
              <w:t>December 31,</w:t>
            </w:r>
          </w:p>
        </w:tc>
      </w:tr>
      <w:tr>
        <w:trPr>
          <w:trHeight w:val="201"/>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2019</w:t>
            </w: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4"/>
          </w:tcPr>
          <w:p>
            <w:pPr>
              <w:jc w:val="right"/>
              <w:ind w:right="765"/>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Contract liabilities</w:t>
            </w:r>
          </w:p>
        </w:tc>
        <w:tc>
          <w:tcPr>
            <w:tcW w:w="2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29,251</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360" w:right="420" w:firstLine="648"/>
        <w:spacing w:after="0" w:line="263" w:lineRule="auto"/>
        <w:rPr>
          <w:sz w:val="20"/>
          <w:szCs w:val="20"/>
          <w:color w:val="auto"/>
        </w:rPr>
      </w:pPr>
      <w:r>
        <w:rPr>
          <w:rFonts w:ascii="Arial" w:cs="Arial" w:eastAsia="Arial" w:hAnsi="Arial"/>
          <w:sz w:val="18"/>
          <w:szCs w:val="18"/>
          <w:color w:val="auto"/>
        </w:rPr>
        <w:t>Contract liabilities are reflected as deferred revenue on the consolidated balance sheet and relate to payments invoiced or received in advance of completion of performance obligations under a contract. Contract liabilities are recognized as revenue upon the fulfillment of performance obligations.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Three months ended</w:t>
            </w:r>
          </w:p>
        </w:tc>
        <w:tc>
          <w:tcPr>
            <w:tcW w:w="180" w:type="dxa"/>
            <w:vAlign w:val="bottom"/>
          </w:tcPr>
          <w:p>
            <w:pPr>
              <w:spacing w:after="0"/>
              <w:rPr>
                <w:sz w:val="16"/>
                <w:szCs w:val="16"/>
                <w:color w:val="auto"/>
              </w:rPr>
            </w:pPr>
          </w:p>
        </w:tc>
        <w:tc>
          <w:tcPr>
            <w:tcW w:w="15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Nine months ended</w:t>
            </w:r>
          </w:p>
        </w:tc>
      </w:tr>
      <w:tr>
        <w:trPr>
          <w:trHeight w:val="255"/>
        </w:trPr>
        <w:tc>
          <w:tcPr>
            <w:tcW w:w="6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2"/>
                <w:szCs w:val="22"/>
                <w:color w:val="auto"/>
              </w:rPr>
            </w:pPr>
          </w:p>
        </w:tc>
        <w:tc>
          <w:tcPr>
            <w:tcW w:w="156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r>
      <w:tr>
        <w:trPr>
          <w:trHeight w:val="223"/>
        </w:trPr>
        <w:tc>
          <w:tcPr>
            <w:tcW w:w="6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r>
      <w:tr>
        <w:trPr>
          <w:trHeight w:val="223"/>
        </w:trPr>
        <w:tc>
          <w:tcPr>
            <w:tcW w:w="6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the period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22,584</w:t>
            </w:r>
          </w:p>
        </w:tc>
        <w:tc>
          <w:tcPr>
            <w:tcW w:w="20" w:type="dxa"/>
            <w:vAlign w:val="bottom"/>
          </w:tcPr>
          <w:p>
            <w:pPr>
              <w:spacing w:after="0"/>
              <w:rPr>
                <w:sz w:val="21"/>
                <w:szCs w:val="21"/>
                <w:color w:val="auto"/>
              </w:rPr>
            </w:pPr>
          </w:p>
        </w:tc>
      </w:tr>
      <w:tr>
        <w:trPr>
          <w:trHeight w:val="240"/>
        </w:trPr>
        <w:tc>
          <w:tcPr>
            <w:tcW w:w="6260" w:type="dxa"/>
            <w:vAlign w:val="bottom"/>
          </w:tcPr>
          <w:p>
            <w:pPr>
              <w:ind w:left="160"/>
              <w:spacing w:after="0"/>
              <w:rPr>
                <w:sz w:val="20"/>
                <w:szCs w:val="20"/>
                <w:color w:val="auto"/>
              </w:rPr>
            </w:pPr>
            <w:r>
              <w:rPr>
                <w:rFonts w:ascii="Arial" w:cs="Arial" w:eastAsia="Arial" w:hAnsi="Arial"/>
                <w:sz w:val="16"/>
                <w:szCs w:val="16"/>
                <w:color w:val="auto"/>
              </w:rPr>
              <w:t>Deferral of revenue</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17,254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10,320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20,887</w:t>
            </w:r>
          </w:p>
        </w:tc>
        <w:tc>
          <w:tcPr>
            <w:tcW w:w="20" w:type="dxa"/>
            <w:vAlign w:val="bottom"/>
          </w:tcPr>
          <w:p>
            <w:pPr>
              <w:spacing w:after="0"/>
              <w:rPr>
                <w:sz w:val="20"/>
                <w:szCs w:val="20"/>
                <w:color w:val="auto"/>
              </w:rPr>
            </w:pPr>
          </w:p>
        </w:tc>
      </w:tr>
      <w:tr>
        <w:trPr>
          <w:trHeight w:val="243"/>
        </w:trPr>
        <w:tc>
          <w:tcPr>
            <w:tcW w:w="6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Recognition of deferred revenue</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(17,477)</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(3,893)</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(22,602)</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(16,030)</w:t>
            </w:r>
          </w:p>
        </w:tc>
        <w:tc>
          <w:tcPr>
            <w:tcW w:w="20" w:type="dxa"/>
            <w:vAlign w:val="bottom"/>
          </w:tcPr>
          <w:p>
            <w:pPr>
              <w:spacing w:after="0"/>
              <w:rPr>
                <w:sz w:val="21"/>
                <w:szCs w:val="21"/>
                <w:color w:val="auto"/>
              </w:rPr>
            </w:pPr>
          </w:p>
        </w:tc>
      </w:tr>
      <w:tr>
        <w:trPr>
          <w:trHeight w:val="213"/>
        </w:trPr>
        <w:tc>
          <w:tcPr>
            <w:tcW w:w="6260" w:type="dxa"/>
            <w:vAlign w:val="bottom"/>
          </w:tcPr>
          <w:p>
            <w:pPr>
              <w:spacing w:after="0"/>
              <w:rPr>
                <w:sz w:val="20"/>
                <w:szCs w:val="20"/>
                <w:color w:val="auto"/>
              </w:rPr>
            </w:pPr>
            <w:r>
              <w:rPr>
                <w:rFonts w:ascii="Arial" w:cs="Arial" w:eastAsia="Arial" w:hAnsi="Arial"/>
                <w:sz w:val="16"/>
                <w:szCs w:val="16"/>
                <w:color w:val="auto"/>
              </w:rPr>
              <w:t>Balance, ending of the period</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16,969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27,441</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16,969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27,441</w:t>
            </w:r>
          </w:p>
        </w:tc>
        <w:tc>
          <w:tcPr>
            <w:tcW w:w="2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right="400" w:firstLine="648"/>
        <w:spacing w:after="0" w:line="263" w:lineRule="auto"/>
        <w:rPr>
          <w:sz w:val="20"/>
          <w:szCs w:val="20"/>
          <w:color w:val="auto"/>
        </w:rPr>
      </w:pPr>
      <w:r>
        <w:rPr>
          <w:rFonts w:ascii="Arial" w:cs="Arial" w:eastAsia="Arial" w:hAnsi="Arial"/>
          <w:sz w:val="18"/>
          <w:szCs w:val="18"/>
          <w:color w:val="auto"/>
        </w:rPr>
        <w:t>The majority of our system transactions have payment terms of 90% due upon shipment of the tool and 10% due upon acceptance. Aftermarket transaction payment terms usually provide that payment is due either within 30 or 60 days after the service is provided or parts delivered.</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Note 5. Receivables and Allowances for Credit Losses</w:t>
      </w:r>
    </w:p>
    <w:p>
      <w:pPr>
        <w:spacing w:after="0" w:line="229" w:lineRule="exact"/>
        <w:rPr>
          <w:sz w:val="20"/>
          <w:szCs w:val="20"/>
          <w:color w:val="auto"/>
        </w:rPr>
      </w:pPr>
    </w:p>
    <w:p>
      <w:pPr>
        <w:jc w:val="both"/>
        <w:ind w:left="360" w:right="360" w:firstLine="648"/>
        <w:spacing w:after="0" w:line="277" w:lineRule="auto"/>
        <w:rPr>
          <w:sz w:val="20"/>
          <w:szCs w:val="20"/>
          <w:color w:val="auto"/>
        </w:rPr>
      </w:pPr>
      <w:r>
        <w:rPr>
          <w:rFonts w:ascii="Arial" w:cs="Arial" w:eastAsia="Arial" w:hAnsi="Arial"/>
          <w:sz w:val="18"/>
          <w:szCs w:val="18"/>
          <w:color w:val="auto"/>
        </w:rPr>
        <w:t>All trade receivables are reported on the Consolidated Balance Sheets at their amortized cost adjusted for any write-offs and net of allowances for credit losses.</w:t>
      </w:r>
    </w:p>
    <w:p>
      <w:pPr>
        <w:spacing w:after="0" w:line="170" w:lineRule="exact"/>
        <w:rPr>
          <w:sz w:val="20"/>
          <w:szCs w:val="20"/>
          <w:color w:val="auto"/>
        </w:rPr>
      </w:pPr>
    </w:p>
    <w:p>
      <w:pPr>
        <w:jc w:val="both"/>
        <w:ind w:left="360" w:right="360" w:firstLine="648"/>
        <w:spacing w:after="0" w:line="269" w:lineRule="auto"/>
        <w:rPr>
          <w:sz w:val="20"/>
          <w:szCs w:val="20"/>
          <w:color w:val="auto"/>
        </w:rPr>
      </w:pPr>
      <w:r>
        <w:rPr>
          <w:rFonts w:ascii="Arial" w:cs="Arial" w:eastAsia="Arial" w:hAnsi="Arial"/>
          <w:sz w:val="17"/>
          <w:szCs w:val="17"/>
          <w:color w:val="auto"/>
        </w:rPr>
        <w:t>Axcelis maintains an allowance for credit losses, which represent an estimate of expected losses over the remaining contractual life of its receivables considering current market conditions and estimates for supportable forecasts when appropriate. The estimate is a result of the Company’s ongoing assessments and evaluations of collectability, historical loss experience, and future expectations in estimating credit losses in its receivable portfolio. Axcelis uses historical loss experience rates and applies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loss migration, delinquency trends, collection experience, current economic conditions, estimates for supportable forecasts, when appropriate, and credit risk characteristics.</w:t>
      </w:r>
    </w:p>
    <w:p>
      <w:pPr>
        <w:spacing w:after="0" w:line="185" w:lineRule="exact"/>
        <w:rPr>
          <w:sz w:val="20"/>
          <w:szCs w:val="20"/>
          <w:color w:val="auto"/>
        </w:rPr>
      </w:pPr>
    </w:p>
    <w:p>
      <w:pPr>
        <w:jc w:val="both"/>
        <w:ind w:left="360" w:right="360" w:firstLine="648"/>
        <w:spacing w:after="0" w:line="286" w:lineRule="auto"/>
        <w:rPr>
          <w:sz w:val="20"/>
          <w:szCs w:val="20"/>
          <w:color w:val="auto"/>
        </w:rPr>
      </w:pPr>
      <w:r>
        <w:rPr>
          <w:rFonts w:ascii="Arial" w:cs="Arial" w:eastAsia="Arial" w:hAnsi="Arial"/>
          <w:sz w:val="17"/>
          <w:szCs w:val="17"/>
          <w:color w:val="auto"/>
        </w:rPr>
        <w:t>Axcelis evaluates the credit risk of the customer when extending credit based on a combination of various financial and qualitative factors that may affect its customers’ ability to pay. These factors may include the customer’s financial condition, past payment experience, and credit bureau report, as well as the value of the underlying collateral.</w:t>
      </w:r>
    </w:p>
    <w:p>
      <w:pPr>
        <w:spacing w:after="0" w:line="165" w:lineRule="exact"/>
        <w:rPr>
          <w:sz w:val="20"/>
          <w:szCs w:val="20"/>
          <w:color w:val="auto"/>
        </w:rPr>
      </w:pPr>
    </w:p>
    <w:p>
      <w:pPr>
        <w:jc w:val="both"/>
        <w:ind w:left="360" w:right="360" w:firstLine="648"/>
        <w:spacing w:after="0" w:line="311" w:lineRule="auto"/>
        <w:rPr>
          <w:sz w:val="20"/>
          <w:szCs w:val="20"/>
          <w:color w:val="auto"/>
        </w:rPr>
      </w:pPr>
      <w:r>
        <w:rPr>
          <w:rFonts w:ascii="Arial" w:cs="Arial" w:eastAsia="Arial" w:hAnsi="Arial"/>
          <w:sz w:val="16"/>
          <w:szCs w:val="16"/>
          <w:color w:val="auto"/>
        </w:rPr>
        <w:t>Management performs detailed reviews of its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w:t>
      </w:r>
    </w:p>
    <w:p>
      <w:pPr>
        <w:sectPr>
          <w:pgSz w:w="11900" w:h="16838" w:orient="portrait"/>
          <w:cols w:equalWidth="0" w:num="1">
            <w:col w:w="9840"/>
          </w:cols>
          <w:pgMar w:left="1020" w:top="517" w:right="103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372110</wp:posOffset>
            </wp:positionV>
            <wp:extent cx="57950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840"/>
          </w:cols>
          <w:pgMar w:left="1020" w:top="517" w:right="10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allowances for credit losses are maintained through adjustments to the provision for credit losses, which are charged to current period earnings.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shows changes of the allowances for credit losses related to trade receivables for the three and nine months ended September 30,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7"/>
              </w:rPr>
              <w:t>Three months ended</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Nine months ended</w:t>
            </w:r>
          </w:p>
        </w:tc>
      </w:tr>
      <w:tr>
        <w:trPr>
          <w:trHeight w:val="188"/>
        </w:trPr>
        <w:tc>
          <w:tcPr>
            <w:tcW w:w="6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September 30,</w:t>
            </w:r>
          </w:p>
        </w:tc>
      </w:tr>
      <w:tr>
        <w:trPr>
          <w:trHeight w:val="183"/>
        </w:trPr>
        <w:tc>
          <w:tcPr>
            <w:tcW w:w="64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183"/>
        </w:trPr>
        <w:tc>
          <w:tcPr>
            <w:tcW w:w="6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160"/>
              <w:spacing w:after="0"/>
              <w:rPr>
                <w:sz w:val="20"/>
                <w:szCs w:val="20"/>
                <w:color w:val="auto"/>
              </w:rPr>
            </w:pPr>
            <w:r>
              <w:rPr>
                <w:rFonts w:ascii="Arial" w:cs="Arial" w:eastAsia="Arial" w:hAnsi="Arial"/>
                <w:sz w:val="16"/>
                <w:szCs w:val="16"/>
                <w:color w:val="auto"/>
              </w:rPr>
              <w:t>Provision for credit losses</w:t>
            </w:r>
          </w:p>
        </w:tc>
        <w:tc>
          <w:tcPr>
            <w:tcW w:w="1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Charge-offs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r>
      <w:tr>
        <w:trPr>
          <w:trHeight w:val="216"/>
        </w:trPr>
        <w:tc>
          <w:tcPr>
            <w:tcW w:w="6460" w:type="dxa"/>
            <w:vAlign w:val="bottom"/>
          </w:tcPr>
          <w:p>
            <w:pPr>
              <w:ind w:left="160"/>
              <w:spacing w:after="0"/>
              <w:rPr>
                <w:sz w:val="20"/>
                <w:szCs w:val="20"/>
                <w:color w:val="auto"/>
              </w:rPr>
            </w:pPr>
            <w:r>
              <w:rPr>
                <w:rFonts w:ascii="Arial" w:cs="Arial" w:eastAsia="Arial" w:hAnsi="Arial"/>
                <w:sz w:val="16"/>
                <w:szCs w:val="16"/>
                <w:color w:val="auto"/>
              </w:rPr>
              <w:t>Recoveries</w:t>
            </w:r>
          </w:p>
        </w:tc>
        <w:tc>
          <w:tcPr>
            <w:tcW w:w="1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ending of period</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Computation of Net Earnings per Share</w:t>
      </w:r>
    </w:p>
    <w:p>
      <w:pPr>
        <w:spacing w:after="0" w:line="229"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Basic earnings per share is computed by dividing income available to common stockholders (the numerator) by the weighted-average number of common shares outstanding (the denominator) for the period. The computation of diluted earnings per share is similar to basic earnings per share, except that the denominator is increased by the number of additional common shares that would have been outstanding if the potentially dilutive common shares issuable on exercise of stock options and vesting of RSUs had been issued, calculated using the treasury stock method.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earnings per share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56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5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20" w:type="dxa"/>
            <w:vAlign w:val="bottom"/>
            <w:gridSpan w:val="10"/>
          </w:tcPr>
          <w:p>
            <w:pPr>
              <w:jc w:val="right"/>
              <w:ind w:right="260"/>
              <w:spacing w:after="0" w:line="129" w:lineRule="exact"/>
              <w:rPr>
                <w:sz w:val="20"/>
                <w:szCs w:val="20"/>
                <w:color w:val="auto"/>
              </w:rPr>
            </w:pPr>
            <w:r>
              <w:rPr>
                <w:rFonts w:ascii="Arial" w:cs="Arial" w:eastAsia="Arial" w:hAnsi="Arial"/>
                <w:sz w:val="14"/>
                <w:szCs w:val="14"/>
                <w:b w:val="1"/>
                <w:bCs w:val="1"/>
                <w:color w:val="auto"/>
                <w:w w:val="99"/>
              </w:rPr>
              <w:t>(in thousands, except per share amounts)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available to common stockholders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35,308</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7,322</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6"/>
                <w:szCs w:val="16"/>
                <w:color w:val="auto"/>
                <w:w w:val="97"/>
              </w:rPr>
              <w:t>Weighted average common shares outstanding used in computing basic income per</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6"/>
                <w:szCs w:val="16"/>
                <w:color w:val="auto"/>
              </w:rPr>
              <w:t>share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33,477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32,344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33,159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32,584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Incremental options and RSUs</w:t>
            </w:r>
          </w:p>
        </w:tc>
        <w:tc>
          <w:tcPr>
            <w:tcW w:w="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w w:val="98"/>
              </w:rPr>
              <w:t>Weighted average common shares used in computing diluted net income per share</w:t>
            </w: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34,174</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33,323</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34,070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33,821</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2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income per share</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Basic</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Diluted weighted average common shares outstanding does not include 848 and 847,448 common equivalent shares issuable with respect to outstanding equity awards for the three month periods ended September 30, 2020 and 2019, respectively, or 8,226 and 236,229 common equivalent shares issuable with respect to outstanding equity awards for the nine month periods ending September 30, 2020 and 2019, respectively, as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80"/>
          </w:cols>
          <w:pgMar w:left="1380" w:top="517" w:right="1339" w:bottom="1440" w:gutter="0" w:footer="0" w:header="0"/>
        </w:sectPr>
      </w:pPr>
    </w:p>
    <w:bookmarkStart w:id="14" w:name="page15"/>
    <w:bookmarkEnd w:id="14"/>
    <w:p>
      <w:pPr>
        <w:ind w:left="2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7. Accumulated Other Comprehensive Income (Loss)</w:t>
      </w:r>
    </w:p>
    <w:p>
      <w:pPr>
        <w:spacing w:after="0" w:line="229" w:lineRule="exact"/>
        <w:rPr>
          <w:sz w:val="20"/>
          <w:szCs w:val="20"/>
          <w:color w:val="auto"/>
        </w:rPr>
      </w:pPr>
    </w:p>
    <w:p>
      <w:pPr>
        <w:ind w:left="220" w:right="300" w:firstLine="648"/>
        <w:spacing w:after="0" w:line="277" w:lineRule="auto"/>
        <w:rPr>
          <w:sz w:val="20"/>
          <w:szCs w:val="20"/>
          <w:color w:val="auto"/>
        </w:rPr>
      </w:pPr>
      <w:r>
        <w:rPr>
          <w:rFonts w:ascii="Arial" w:cs="Arial" w:eastAsia="Arial" w:hAnsi="Arial"/>
          <w:sz w:val="18"/>
          <w:szCs w:val="18"/>
          <w:color w:val="auto"/>
        </w:rPr>
        <w:t>The following table presents the changes in accumulated other comprehensive income, net of tax, by component, for the nine months ended September 30, 2020:</w:t>
      </w:r>
    </w:p>
    <w:p>
      <w:pPr>
        <w:spacing w:after="0" w:line="16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Foreign</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Defined benefit</w:t>
            </w:r>
          </w:p>
        </w:tc>
        <w:tc>
          <w:tcPr>
            <w:tcW w:w="200" w:type="dxa"/>
            <w:vAlign w:val="bottom"/>
          </w:tcPr>
          <w:p>
            <w:pPr>
              <w:spacing w:after="0"/>
              <w:rPr>
                <w:sz w:val="14"/>
                <w:szCs w:val="14"/>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pension plan</w:t>
            </w: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(776)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comprehensive income and pension reclassification</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1,161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September 30, 2020</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1,679</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8. Cash, cash equivalents and restricted cash</w:t>
      </w:r>
    </w:p>
    <w:p>
      <w:pPr>
        <w:spacing w:after="0" w:line="229" w:lineRule="exact"/>
        <w:rPr>
          <w:sz w:val="20"/>
          <w:szCs w:val="20"/>
          <w:color w:val="auto"/>
        </w:rPr>
      </w:pPr>
    </w:p>
    <w:p>
      <w:pPr>
        <w:ind w:left="220" w:right="760"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 to the total of the amounts shown in the statement of cash flows:</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5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r>
      <w:tr>
        <w:trPr>
          <w:trHeight w:val="196"/>
        </w:trPr>
        <w:tc>
          <w:tcPr>
            <w:tcW w:w="5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211,967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139,881</w:t>
            </w:r>
          </w:p>
        </w:tc>
        <w:tc>
          <w:tcPr>
            <w:tcW w:w="12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Long-term restricted cash</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6,653</w:t>
            </w:r>
          </w:p>
        </w:tc>
        <w:tc>
          <w:tcPr>
            <w:tcW w:w="120" w:type="dxa"/>
            <w:vAlign w:val="bottom"/>
            <w:tcBorders>
              <w:bottom w:val="single" w:sz="8" w:color="CCEEFF"/>
            </w:tcBorders>
          </w:tcPr>
          <w:p>
            <w:pPr>
              <w:spacing w:after="0"/>
              <w:rPr>
                <w:sz w:val="18"/>
                <w:szCs w:val="18"/>
                <w:color w:val="auto"/>
              </w:rPr>
            </w:pPr>
          </w:p>
        </w:tc>
      </w:tr>
      <w:tr>
        <w:trPr>
          <w:trHeight w:val="199"/>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212,717</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146,534</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20" w:right="560" w:firstLine="648"/>
        <w:spacing w:after="0" w:line="263" w:lineRule="auto"/>
        <w:rPr>
          <w:sz w:val="20"/>
          <w:szCs w:val="20"/>
          <w:color w:val="auto"/>
        </w:rPr>
      </w:pPr>
      <w:r>
        <w:rPr>
          <w:rFonts w:ascii="Arial" w:cs="Arial" w:eastAsia="Arial" w:hAnsi="Arial"/>
          <w:sz w:val="18"/>
          <w:szCs w:val="18"/>
          <w:color w:val="auto"/>
        </w:rPr>
        <w:t>As of September 30, 2020, we had $0.8 million in restricted cash representing the total of (i) cash collateral for a $0.7 million letter of credit relating to workers’ compensation insurance and (ii) a $0.1 million deposit relating to customs activity.</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9. Inventories, net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components of inventories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4"/>
                <w:szCs w:val="14"/>
                <w:color w:val="auto"/>
              </w:rPr>
            </w:pPr>
          </w:p>
        </w:tc>
      </w:tr>
      <w:tr>
        <w:trPr>
          <w:trHeight w:val="128"/>
        </w:trPr>
        <w:tc>
          <w:tcPr>
            <w:tcW w:w="7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03"/>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Raw materials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93,990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95,867</w:t>
            </w:r>
          </w:p>
        </w:tc>
        <w:tc>
          <w:tcPr>
            <w:tcW w:w="200" w:type="dxa"/>
            <w:vAlign w:val="bottom"/>
            <w:shd w:val="clear" w:color="auto" w:fill="CCEEFF"/>
          </w:tcPr>
          <w:p>
            <w:pPr>
              <w:spacing w:after="0"/>
              <w:rPr>
                <w:sz w:val="17"/>
                <w:szCs w:val="17"/>
                <w:color w:val="auto"/>
              </w:rPr>
            </w:pPr>
          </w:p>
        </w:tc>
      </w:tr>
      <w:tr>
        <w:trPr>
          <w:trHeight w:val="203"/>
        </w:trPr>
        <w:tc>
          <w:tcPr>
            <w:tcW w:w="7200" w:type="dxa"/>
            <w:vAlign w:val="bottom"/>
          </w:tcPr>
          <w:p>
            <w:pPr>
              <w:spacing w:after="0"/>
              <w:rPr>
                <w:sz w:val="20"/>
                <w:szCs w:val="20"/>
                <w:color w:val="auto"/>
              </w:rPr>
            </w:pPr>
            <w:r>
              <w:rPr>
                <w:rFonts w:ascii="Arial" w:cs="Arial" w:eastAsia="Arial" w:hAnsi="Arial"/>
                <w:sz w:val="16"/>
                <w:szCs w:val="16"/>
                <w:color w:val="auto"/>
              </w:rPr>
              <w:t>Work in process</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42,643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32,131</w:t>
            </w:r>
          </w:p>
        </w:tc>
        <w:tc>
          <w:tcPr>
            <w:tcW w:w="200" w:type="dxa"/>
            <w:vAlign w:val="bottom"/>
          </w:tcPr>
          <w:p>
            <w:pPr>
              <w:spacing w:after="0"/>
              <w:rPr>
                <w:sz w:val="17"/>
                <w:szCs w:val="17"/>
                <w:color w:val="auto"/>
              </w:rPr>
            </w:pPr>
          </w:p>
        </w:tc>
      </w:tr>
      <w:tr>
        <w:trPr>
          <w:trHeight w:val="203"/>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Finished goods (completed systems)</w:t>
            </w: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23,025</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12,366</w:t>
            </w:r>
          </w:p>
        </w:tc>
        <w:tc>
          <w:tcPr>
            <w:tcW w:w="200" w:type="dxa"/>
            <w:vAlign w:val="bottom"/>
            <w:shd w:val="clear" w:color="auto" w:fill="CCEEFF"/>
          </w:tcPr>
          <w:p>
            <w:pPr>
              <w:spacing w:after="0"/>
              <w:rPr>
                <w:sz w:val="17"/>
                <w:szCs w:val="17"/>
                <w:color w:val="auto"/>
              </w:rPr>
            </w:pPr>
          </w:p>
        </w:tc>
      </w:tr>
      <w:tr>
        <w:trPr>
          <w:trHeight w:val="196"/>
        </w:trPr>
        <w:tc>
          <w:tcPr>
            <w:tcW w:w="7200" w:type="dxa"/>
            <w:vAlign w:val="bottom"/>
          </w:tcPr>
          <w:p>
            <w:pPr>
              <w:ind w:left="240"/>
              <w:spacing w:after="0"/>
              <w:rPr>
                <w:sz w:val="20"/>
                <w:szCs w:val="20"/>
                <w:color w:val="auto"/>
              </w:rPr>
            </w:pPr>
            <w:r>
              <w:rPr>
                <w:rFonts w:ascii="Arial" w:cs="Arial" w:eastAsia="Arial" w:hAnsi="Arial"/>
                <w:sz w:val="16"/>
                <w:szCs w:val="16"/>
                <w:color w:val="auto"/>
              </w:rPr>
              <w:t>Inventories, net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159,658</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140,364</w:t>
            </w:r>
          </w:p>
        </w:tc>
        <w:tc>
          <w:tcPr>
            <w:tcW w:w="200" w:type="dxa"/>
            <w:vAlign w:val="bottom"/>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right="240" w:firstLine="648"/>
        <w:spacing w:after="0" w:line="273" w:lineRule="auto"/>
        <w:rPr>
          <w:sz w:val="20"/>
          <w:szCs w:val="20"/>
          <w:color w:val="auto"/>
        </w:rPr>
      </w:pPr>
      <w:r>
        <w:rPr>
          <w:rFonts w:ascii="Arial" w:cs="Arial" w:eastAsia="Arial" w:hAnsi="Arial"/>
          <w:sz w:val="17"/>
          <w:szCs w:val="17"/>
          <w:color w:val="auto"/>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the Company’s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10. Product Warranty</w:t>
      </w:r>
    </w:p>
    <w:p>
      <w:pPr>
        <w:spacing w:after="0" w:line="229" w:lineRule="exact"/>
        <w:rPr>
          <w:sz w:val="20"/>
          <w:szCs w:val="20"/>
          <w:color w:val="auto"/>
        </w:rPr>
      </w:pPr>
    </w:p>
    <w:p>
      <w:pPr>
        <w:ind w:left="220" w:right="520" w:firstLine="648"/>
        <w:spacing w:after="0" w:line="293" w:lineRule="auto"/>
        <w:rPr>
          <w:sz w:val="20"/>
          <w:szCs w:val="20"/>
          <w:color w:val="auto"/>
        </w:rPr>
      </w:pPr>
      <w:r>
        <w:rPr>
          <w:rFonts w:ascii="Arial" w:cs="Arial" w:eastAsia="Arial" w:hAnsi="Arial"/>
          <w:sz w:val="16"/>
          <w:szCs w:val="16"/>
          <w:color w:val="auto"/>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ectPr>
          <w:pgSz w:w="11900" w:h="16838" w:orient="portrait"/>
          <w:cols w:equalWidth="0" w:num="1">
            <w:col w:w="9560"/>
          </w:cols>
          <w:pgMar w:left="1160" w:top="517" w:right="117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372110</wp:posOffset>
            </wp:positionV>
            <wp:extent cx="57950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560"/>
          </w:cols>
          <w:pgMar w:left="1160" w:top="517" w:right="1179" w:bottom="1440" w:gutter="0" w:footer="0" w:header="0"/>
          <w:type w:val="continuous"/>
        </w:sectPr>
      </w:pPr>
    </w:p>
    <w:bookmarkStart w:id="15" w:name="page16"/>
    <w:bookmarkEnd w:id="15"/>
    <w:p>
      <w:pPr>
        <w:ind w:left="2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changes in our standard product warranty liability are as follows:</w:t>
      </w:r>
    </w:p>
    <w:p>
      <w:pPr>
        <w:spacing w:after="0" w:line="230"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Nine months ended</w:t>
      </w:r>
    </w:p>
    <w:p>
      <w:pPr>
        <w:jc w:val="center"/>
        <w:ind w:left="74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6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r>
      <w:tr>
        <w:trPr>
          <w:trHeight w:val="128"/>
        </w:trPr>
        <w:tc>
          <w:tcPr>
            <w:tcW w:w="6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4"/>
          </w:tcPr>
          <w:p>
            <w:pPr>
              <w:jc w:val="right"/>
              <w:ind w:right="300"/>
              <w:spacing w:after="0" w:line="129"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(beginning of year)</w:t>
            </w:r>
          </w:p>
        </w:tc>
        <w:tc>
          <w:tcPr>
            <w:tcW w:w="142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5,091</w:t>
            </w:r>
          </w:p>
        </w:tc>
        <w:tc>
          <w:tcPr>
            <w:tcW w:w="220" w:type="dxa"/>
            <w:vAlign w:val="bottom"/>
            <w:shd w:val="clear" w:color="auto" w:fill="CCEEFF"/>
          </w:tcPr>
          <w:p>
            <w:pPr>
              <w:spacing w:after="0"/>
              <w:rPr>
                <w:sz w:val="18"/>
                <w:szCs w:val="18"/>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Warranties issued during the period</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2,282</w:t>
            </w:r>
          </w:p>
        </w:tc>
        <w:tc>
          <w:tcPr>
            <w:tcW w:w="220" w:type="dxa"/>
            <w:vAlign w:val="bottom"/>
          </w:tcPr>
          <w:p>
            <w:pPr>
              <w:spacing w:after="0"/>
              <w:rPr>
                <w:sz w:val="18"/>
                <w:szCs w:val="18"/>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Settlements made during the period</w:t>
            </w: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(4,405)</w:t>
            </w:r>
          </w:p>
        </w:tc>
        <w:tc>
          <w:tcPr>
            <w:tcW w:w="220" w:type="dxa"/>
            <w:vAlign w:val="bottom"/>
            <w:shd w:val="clear" w:color="auto" w:fill="CCEEFF"/>
          </w:tcPr>
          <w:p>
            <w:pPr>
              <w:spacing w:after="0"/>
              <w:rPr>
                <w:sz w:val="19"/>
                <w:szCs w:val="19"/>
                <w:color w:val="auto"/>
              </w:rPr>
            </w:pPr>
          </w:p>
        </w:tc>
      </w:tr>
      <w:tr>
        <w:trPr>
          <w:trHeight w:val="21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Changes in estimate of liability for pre-existing warranties during the period</w:t>
            </w:r>
          </w:p>
        </w:tc>
        <w:tc>
          <w:tcPr>
            <w:tcW w:w="1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220" w:type="dxa"/>
            <w:vAlign w:val="bottom"/>
            <w:tcBorders>
              <w:bottom w:val="single" w:sz="8" w:color="CCEEFF"/>
            </w:tcBorders>
          </w:tcPr>
          <w:p>
            <w:pPr>
              <w:spacing w:after="0"/>
              <w:rPr>
                <w:sz w:val="18"/>
                <w:szCs w:val="18"/>
                <w:color w:val="auto"/>
              </w:rPr>
            </w:pPr>
          </w:p>
        </w:tc>
      </w:tr>
      <w:tr>
        <w:trPr>
          <w:trHeight w:val="199"/>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September 30 (end of period)</w:t>
            </w:r>
          </w:p>
        </w:tc>
        <w:tc>
          <w:tcPr>
            <w:tcW w:w="1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4,477</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3,491</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20"/>
        </w:trPr>
        <w:tc>
          <w:tcPr>
            <w:tcW w:w="6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6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Amount classified as current</w:t>
            </w:r>
          </w:p>
        </w:tc>
        <w:tc>
          <w:tcPr>
            <w:tcW w:w="142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w:t>
            </w:r>
          </w:p>
        </w:tc>
        <w:tc>
          <w:tcPr>
            <w:tcW w:w="220" w:type="dxa"/>
            <w:vAlign w:val="bottom"/>
            <w:shd w:val="clear" w:color="auto" w:fill="CCEEFF"/>
          </w:tcPr>
          <w:p>
            <w:pPr>
              <w:spacing w:after="0"/>
              <w:rPr>
                <w:sz w:val="18"/>
                <w:szCs w:val="18"/>
                <w:color w:val="auto"/>
              </w:rPr>
            </w:pPr>
          </w:p>
        </w:tc>
      </w:tr>
      <w:tr>
        <w:trPr>
          <w:trHeight w:val="21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Amount classified as long-term</w:t>
            </w:r>
          </w:p>
        </w:tc>
        <w:tc>
          <w:tcPr>
            <w:tcW w:w="1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220" w:type="dxa"/>
            <w:vAlign w:val="bottom"/>
            <w:tcBorders>
              <w:bottom w:val="single" w:sz="8" w:color="CCEEFF"/>
            </w:tcBorders>
          </w:tcPr>
          <w:p>
            <w:pPr>
              <w:spacing w:after="0"/>
              <w:rPr>
                <w:sz w:val="18"/>
                <w:szCs w:val="18"/>
                <w:color w:val="auto"/>
              </w:rPr>
            </w:pPr>
          </w:p>
        </w:tc>
      </w:tr>
      <w:tr>
        <w:trPr>
          <w:trHeight w:val="199"/>
        </w:trPr>
        <w:tc>
          <w:tcPr>
            <w:tcW w:w="6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warranty liability</w:t>
            </w:r>
          </w:p>
        </w:tc>
        <w:tc>
          <w:tcPr>
            <w:tcW w:w="1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4,477</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3,491</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20"/>
        </w:trPr>
        <w:tc>
          <w:tcPr>
            <w:tcW w:w="6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11. Fair Value Measurements</w:t>
      </w:r>
    </w:p>
    <w:p>
      <w:pPr>
        <w:spacing w:after="0" w:line="229" w:lineRule="exact"/>
        <w:rPr>
          <w:sz w:val="20"/>
          <w:szCs w:val="20"/>
          <w:color w:val="auto"/>
        </w:rPr>
      </w:pPr>
    </w:p>
    <w:p>
      <w:pPr>
        <w:ind w:left="220" w:right="340" w:firstLine="648"/>
        <w:spacing w:after="0" w:line="286" w:lineRule="auto"/>
        <w:rPr>
          <w:sz w:val="20"/>
          <w:szCs w:val="20"/>
          <w:color w:val="auto"/>
        </w:rPr>
      </w:pPr>
      <w:r>
        <w:rPr>
          <w:rFonts w:ascii="Arial" w:cs="Arial" w:eastAsia="Arial" w:hAnsi="Arial"/>
          <w:sz w:val="17"/>
          <w:szCs w:val="17"/>
          <w:color w:val="auto"/>
        </w:rPr>
        <w:t>Certain assets on our balance sheets are reported at their fair value. 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 Fair Value Hierarchy</w:t>
      </w:r>
    </w:p>
    <w:p>
      <w:pPr>
        <w:spacing w:after="0" w:line="229" w:lineRule="exact"/>
        <w:rPr>
          <w:sz w:val="20"/>
          <w:szCs w:val="20"/>
          <w:color w:val="auto"/>
        </w:rPr>
      </w:pPr>
    </w:p>
    <w:p>
      <w:pPr>
        <w:ind w:left="220" w:right="300" w:firstLine="648"/>
        <w:spacing w:after="0" w:line="257" w:lineRule="auto"/>
        <w:rPr>
          <w:sz w:val="20"/>
          <w:szCs w:val="20"/>
          <w:color w:val="auto"/>
        </w:rPr>
      </w:pPr>
      <w:r>
        <w:rPr>
          <w:rFonts w:ascii="Arial" w:cs="Arial" w:eastAsia="Arial" w:hAnsi="Arial"/>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7"/>
          <w:szCs w:val="17"/>
          <w:u w:val="single" w:color="auto"/>
          <w:color w:val="auto"/>
        </w:rPr>
        <w:t>Level 1</w:t>
      </w:r>
      <w:r>
        <w:rPr>
          <w:rFonts w:ascii="Arial" w:cs="Arial" w:eastAsia="Arial" w:hAnsi="Arial"/>
          <w:sz w:val="17"/>
          <w:szCs w:val="17"/>
          <w:color w:val="auto"/>
        </w:rPr>
        <w:t xml:space="preserve"> - applies to assets or liabilities for which there are quoted prices in active markets for identical assets or liabilities.</w:t>
      </w:r>
    </w:p>
    <w:p>
      <w:pPr>
        <w:spacing w:after="0" w:line="237" w:lineRule="exact"/>
        <w:rPr>
          <w:sz w:val="20"/>
          <w:szCs w:val="20"/>
          <w:color w:val="auto"/>
        </w:rPr>
      </w:pPr>
    </w:p>
    <w:p>
      <w:pPr>
        <w:ind w:left="220" w:right="360"/>
        <w:spacing w:after="0" w:line="301"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57" w:lineRule="exact"/>
        <w:rPr>
          <w:sz w:val="20"/>
          <w:szCs w:val="20"/>
          <w:color w:val="auto"/>
        </w:rPr>
      </w:pPr>
    </w:p>
    <w:p>
      <w:pPr>
        <w:ind w:left="220" w:right="94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applies to assets or liabilities for which there are unobservable inputs to the valuation methodology that are significant to the measurement of the fair value of the assets or liabilities.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Fair Value Measurements</w:t>
      </w:r>
    </w:p>
    <w:p>
      <w:pPr>
        <w:spacing w:after="0" w:line="229" w:lineRule="exact"/>
        <w:rPr>
          <w:sz w:val="20"/>
          <w:szCs w:val="20"/>
          <w:color w:val="auto"/>
        </w:rPr>
      </w:pPr>
    </w:p>
    <w:p>
      <w:pPr>
        <w:ind w:left="220" w:right="460" w:firstLine="648"/>
        <w:spacing w:after="0" w:line="277" w:lineRule="auto"/>
        <w:rPr>
          <w:sz w:val="20"/>
          <w:szCs w:val="20"/>
          <w:color w:val="auto"/>
        </w:rPr>
      </w:pPr>
      <w:r>
        <w:rPr>
          <w:rFonts w:ascii="Arial" w:cs="Arial" w:eastAsia="Arial" w:hAnsi="Arial"/>
          <w:sz w:val="18"/>
          <w:szCs w:val="18"/>
          <w:color w:val="auto"/>
        </w:rPr>
        <w:t>Our money market funds and short-term investments are included in cash and cash equivalents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357505</wp:posOffset>
            </wp:positionV>
            <wp:extent cx="57950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560"/>
          </w:cols>
          <w:pgMar w:left="1160" w:top="517" w:right="11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assets by level within the fair value hierarchy: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91"/>
              </w:rPr>
              <w:t>September 30, 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4"/>
                <w:szCs w:val="14"/>
                <w:b w:val="1"/>
                <w:bCs w:val="1"/>
                <w:color w:val="auto"/>
                <w:w w:val="93"/>
              </w:rPr>
              <w:t>Fair Value Measurements</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w w:val="70"/>
              </w:rPr>
              <w:t>(in thousands)</w:t>
            </w:r>
          </w:p>
        </w:tc>
        <w:tc>
          <w:tcPr>
            <w:tcW w:w="6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Money market funds, U.S. Government Securities and Agency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184,358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184,358</w:t>
            </w:r>
          </w:p>
        </w:tc>
        <w:tc>
          <w:tcPr>
            <w:tcW w:w="80" w:type="dxa"/>
            <w:vAlign w:val="bottom"/>
            <w:shd w:val="clear" w:color="auto" w:fill="CCEEFF"/>
          </w:tcPr>
          <w:p>
            <w:pPr>
              <w:spacing w:after="0"/>
              <w:rPr>
                <w:sz w:val="20"/>
                <w:szCs w:val="20"/>
                <w:color w:val="auto"/>
              </w:rPr>
            </w:pPr>
          </w:p>
        </w:tc>
      </w:tr>
      <w:tr>
        <w:trPr>
          <w:trHeight w:val="355"/>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4"/>
          </w:tcPr>
          <w:p>
            <w:pPr>
              <w:jc w:val="center"/>
              <w:ind w:right="19"/>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Money market funds, U.S. Government Securities and Agency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116,872</w:t>
            </w:r>
          </w:p>
        </w:tc>
        <w:tc>
          <w:tcPr>
            <w:tcW w:w="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Financial Instruments</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carrying amounts reflected in the consolidated balance sheets for accounts receivable, prepaid expenses and other current assets and non-current assets, restricted cash, accounts payable and accrued expenses approximate fair value due to their short-term maturities.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Financing Arrangements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January 30, 2015, we sold our corporate headquarters facility in Beverly, Massachusetts for $48.9 million. As part of the sale, we also entered into a 22-year lease agreement of our headquarters facility. This sale-leaseback is accounted for as a financing lease under generally accepted accounting principles and, as such, we have recorded a financing obligation of $48.3 million as of September 30, 2020. The associated lease payments include both an interest component and payment of principal, with the remaining liability being extinguished at the end of the original lease term. We posted a security deposit of $5.9 million in the form of an irrevocable letter of credit at the time of the closing. This letter of credit reduces our availability under our credit facility, as described in the next paragraph.</w:t>
      </w:r>
    </w:p>
    <w:p>
      <w:pPr>
        <w:spacing w:after="0" w:line="17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On July 31, 2020, we entered into a Senior Secured Credit Facilities Credit Agreement (the “Credit Agreement”) with Silicon Valley Bank, in its capacity as administrative agent and collateral agent for itself and as a lender, and such other banks and financial institutions or entities that from time to time join as lenders under the Credit Agreement.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September 30, 2020, we were in compliance with all covenant requirements of the Credit Agreement. As of such date, no borrowings had been made under the Credit Agreement, although a letter of credit for $5.9 million, previously issued by Silicon Valley Bank, had been rolled under the Credit Agreement, reducing the funds available for borrowing under the credit line.</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Income tax expense was $2.8 million for the three months ended September 30, 2020, compared to $0.3 million benefit for the three months ended September 30, 2019. The $3.1 million increase was primarily due to a $13.2 million increase in pretax income. The income tax provision was $6.1 million during the nine months ended September 30, 2020, compared to $0.9 million for the nine months ended September 30, 2019. The $5.2 million increase was primarily due to a $33.2 million increase in pretax income partially offset by a $2.0 million tax benefit relating to equity compensation. The effective tax rate for the three and nine months ended September 30, 2020 and 2019, respectively, was less than the U.S.</w:t>
      </w:r>
    </w:p>
    <w:p>
      <w:pPr>
        <w:sectPr>
          <w:pgSz w:w="11900" w:h="16838" w:orient="portrait"/>
          <w:cols w:equalWidth="0" w:num="1">
            <w:col w:w="9120"/>
          </w:cols>
          <w:pgMar w:left="1380" w:top="517" w:right="13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statutory rate of 21% due to favorable discrete items related to equity compensation in those periods and Federal research and development tax credits that reduce the annual tax rate.</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We had $58.2 million and $68.1 million of net deferred tax assets worldwide relating to net operating loss carryforwards, tax credit carryforwards and other temporary differences, as of September 30, 2020 and December 31, 2019, respectively. These deferred tax assets are available to reduce income taxes in future years. We have a $9.2 million valuation allowance in the U.S. against certain tax credits and state net operating losses due to the uncertainty of their realization based on long-term Company forecasts and the expiration dates on these tax assets. If future operating results of the Company within the U.S. or these foreign jurisdictions are significantly less than our expectations, it is reasonably possible that we would be required to record an additional valuation allowance on our deferred tax assets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Concentration of Risk</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the three months ended September 30, 2020, three customers accounted for 16.8%, 11.2% and 10.3% of total revenue, respectively. For the three months ended September 30, 2019, two customers accounted for 28.0% and 13.2% of total revenue, respectively.</w:t>
      </w:r>
    </w:p>
    <w:p>
      <w:pPr>
        <w:spacing w:after="0" w:line="184"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For the nine months ended September 30, 2020, three customers accounted for 18.8%, 15.2% and 12.1% of total revenue, respectively. For the nine months ended September 30, 2019, three customers accounted for 18.7%, 12.4%, and 11.8% of total revenue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September 30, 2020, three customers accounted for 19.5%, 12.9% and 10.2% of accounts receivable,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2019, three customers accounted for 24.9%, 15.3% and 11.1% of accounts receivable,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 Repurchase</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Board has approved stock repurchases of up to $50 million of our common stock through the end of 2020. At the end of the first quarter of 2020, we suspended the repurchase program in light of the economic uncertainty relating to the COVID-19 pandemic. We continue to invest cash in our business and to evaluate whether to recommence stock repurchases. If we do so, the timing and actual number of shares repurchased in 2020 beyond those acquired in the first quarter, will depend on various factors, including the price of our common stock, general business and market conditions, and alternative investment opportunities or other uses of cash.</w:t>
      </w:r>
    </w:p>
    <w:p>
      <w:pPr>
        <w:spacing w:after="0" w:line="17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Shares repurchased are accounted for when the transaction is settled. There were no unsettled share repurchases at September 30,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Litigation</w:t>
      </w:r>
    </w:p>
    <w:p>
      <w:pPr>
        <w:spacing w:after="0" w:line="16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Indemnifications</w:t>
      </w:r>
    </w:p>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Recent Accounting Guidance</w:t>
      </w:r>
    </w:p>
    <w:p>
      <w:pPr>
        <w:spacing w:after="0" w:line="202" w:lineRule="exact"/>
        <w:rPr>
          <w:sz w:val="20"/>
          <w:szCs w:val="20"/>
          <w:color w:val="auto"/>
        </w:rPr>
      </w:pPr>
    </w:p>
    <w:p>
      <w:pPr>
        <w:ind w:right="79" w:firstLine="648"/>
        <w:spacing w:after="0" w:line="269" w:lineRule="auto"/>
        <w:rPr>
          <w:sz w:val="20"/>
          <w:szCs w:val="20"/>
          <w:color w:val="auto"/>
        </w:rPr>
      </w:pPr>
      <w:r>
        <w:rPr>
          <w:rFonts w:ascii="Arial" w:cs="Arial" w:eastAsia="Arial" w:hAnsi="Arial"/>
          <w:sz w:val="17"/>
          <w:szCs w:val="17"/>
          <w:color w:val="auto"/>
        </w:rPr>
        <w:t xml:space="preserve">We adopted Financial Accounting Standards Board ASU No. 2019-04 </w:t>
      </w:r>
      <w:r>
        <w:rPr>
          <w:rFonts w:ascii="Arial" w:cs="Arial" w:eastAsia="Arial" w:hAnsi="Arial"/>
          <w:sz w:val="17"/>
          <w:szCs w:val="17"/>
          <w:i w:val="1"/>
          <w:iCs w:val="1"/>
          <w:color w:val="auto"/>
        </w:rPr>
        <w:t>“Codification Improvements to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 Credit Losses, Topic 815, Derivatives and Hedging, and Topic 825, Financial Instruments” </w:t>
      </w:r>
      <w:r>
        <w:rPr>
          <w:rFonts w:ascii="Arial" w:cs="Arial" w:eastAsia="Arial" w:hAnsi="Arial"/>
          <w:sz w:val="17"/>
          <w:szCs w:val="17"/>
          <w:color w:val="auto"/>
        </w:rPr>
        <w:t>as of</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1, 2020, using the modified-retrospective approach resulting in no cumulative adjustment to retained earnings. The amendments in this Update clarify the guidance within Topic 326 relating to credit losses. Topic 326 replaces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Due to the requirements of Topic 326, management reviews the average annual write-off rate along with an assessment of current micro and macro-economic factors to determine any expected losses. The adoption of this Update did not have any material impact on our results of operations or cash flows. See Note 5 above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648"/>
        <w:spacing w:after="0" w:line="269" w:lineRule="auto"/>
        <w:rPr>
          <w:rFonts w:ascii="Arial" w:cs="Arial" w:eastAsia="Arial" w:hAnsi="Arial"/>
          <w:sz w:val="17"/>
          <w:szCs w:val="17"/>
          <w:i w:val="1"/>
          <w:iCs w:val="1"/>
          <w:color w:val="0000EE"/>
        </w:rPr>
      </w:pPr>
      <w:r>
        <w:rPr>
          <w:rFonts w:ascii="Arial" w:cs="Arial" w:eastAsia="Arial" w:hAnsi="Arial"/>
          <w:sz w:val="17"/>
          <w:szCs w:val="17"/>
          <w:i w:val="1"/>
          <w:iCs w:val="1"/>
          <w:color w:val="auto"/>
        </w:rPr>
        <w:t xml:space="preserve">Certain statements within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w:t>
      </w:r>
      <w:hyperlink r:id="rId32">
        <w:r>
          <w:rPr>
            <w:rFonts w:ascii="Arial" w:cs="Arial" w:eastAsia="Arial" w:hAnsi="Arial"/>
            <w:sz w:val="17"/>
            <w:szCs w:val="17"/>
            <w:i w:val="1"/>
            <w:iCs w:val="1"/>
            <w:color w:val="auto"/>
          </w:rPr>
          <w:t xml:space="preserve">Resources" below and under “Risk Factors” in Part I, Item 1A to our </w:t>
        </w:r>
        <w:r>
          <w:rPr>
            <w:rFonts w:ascii="Arial" w:cs="Arial" w:eastAsia="Arial" w:hAnsi="Arial"/>
            <w:sz w:val="17"/>
            <w:szCs w:val="17"/>
            <w:i w:val="1"/>
            <w:iCs w:val="1"/>
            <w:u w:val="single" w:color="auto"/>
            <w:color w:val="0000EE"/>
          </w:rPr>
          <w:t>annual report on Form 10-K for the year ended</w:t>
        </w:r>
      </w:hyperlink>
      <w:r>
        <w:rPr>
          <w:rFonts w:ascii="Arial" w:cs="Arial" w:eastAsia="Arial" w:hAnsi="Arial"/>
          <w:sz w:val="17"/>
          <w:szCs w:val="17"/>
          <w:i w:val="1"/>
          <w:iCs w:val="1"/>
          <w:color w:val="auto"/>
        </w:rPr>
        <w:t xml:space="preserve"> </w:t>
      </w:r>
      <w:hyperlink r:id="rId32">
        <w:r>
          <w:rPr>
            <w:rFonts w:ascii="Arial" w:cs="Arial" w:eastAsia="Arial" w:hAnsi="Arial"/>
            <w:sz w:val="17"/>
            <w:szCs w:val="17"/>
            <w:i w:val="1"/>
            <w:iCs w:val="1"/>
            <w:u w:val="single" w:color="auto"/>
            <w:color w:val="0000EE"/>
          </w:rPr>
          <w:t>December 31, 2019</w:t>
        </w:r>
        <w:r>
          <w:rPr>
            <w:rFonts w:ascii="Arial" w:cs="Arial" w:eastAsia="Arial" w:hAnsi="Arial"/>
            <w:sz w:val="17"/>
            <w:szCs w:val="17"/>
            <w:i w:val="1"/>
            <w:iCs w:val="1"/>
            <w:color w:val="000000"/>
          </w:rPr>
          <w:t xml:space="preserve">, in Part II, Item 1A of our Form 10-Q for the quarters ended March 31, 2020 and June 30, 2020, </w:t>
        </w:r>
      </w:hyperlink>
      <w:r>
        <w:rPr>
          <w:rFonts w:ascii="Arial" w:cs="Arial" w:eastAsia="Arial" w:hAnsi="Arial"/>
          <w:sz w:val="17"/>
          <w:szCs w:val="17"/>
          <w:i w:val="1"/>
          <w:iCs w:val="1"/>
          <w:color w:val="0000EE"/>
        </w:rPr>
        <w:t xml:space="preserve">and </w:t>
      </w:r>
      <w:r>
        <w:rPr>
          <w:rFonts w:ascii="Arial" w:cs="Arial" w:eastAsia="Arial" w:hAnsi="Arial"/>
          <w:sz w:val="17"/>
          <w:szCs w:val="17"/>
          <w:i w:val="1"/>
          <w:iCs w:val="1"/>
          <w:color w:val="000000"/>
        </w:rPr>
        <w:t>in</w:t>
      </w:r>
      <w:r>
        <w:rPr>
          <w:rFonts w:ascii="Arial" w:cs="Arial" w:eastAsia="Arial" w:hAnsi="Arial"/>
          <w:sz w:val="17"/>
          <w:szCs w:val="17"/>
          <w:i w:val="1"/>
          <w:iCs w:val="1"/>
          <w:color w:val="0000EE"/>
        </w:rPr>
        <w:t xml:space="preserve"> </w:t>
      </w:r>
      <w:r>
        <w:rPr>
          <w:rFonts w:ascii="Arial" w:cs="Arial" w:eastAsia="Arial" w:hAnsi="Arial"/>
          <w:sz w:val="17"/>
          <w:szCs w:val="17"/>
          <w:i w:val="1"/>
          <w:iCs w:val="1"/>
          <w:color w:val="000000"/>
        </w:rPr>
        <w:t>Part II, Item 1A to this report on Form 10-Q, which discussion is incorporated herein by reference.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occur primarily in the United States.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76.3% of total revenue for the nine months ended September 30, 2020.</w:t>
      </w:r>
    </w:p>
    <w:p>
      <w:pPr>
        <w:spacing w:after="0" w:line="16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the first nine months of 2020, we delivered strong financial performance driven by demand for our Purion systems. The semiconductor supply chain was identified as a critical infrastructure sector in the Advisory Memorandum issued by the U.S. Department of Homeland Security’s Cybersecurity and Infrastructure Security Agency (“CISA”) on March 19, 2020 and updated on March 28, 2020. CISA’s list has been incorporated in orders by the Governor of Massachusetts and other states, which urge critical infrastructure sector businesses to continue to operate despite governmental restrictions imposed on general business operations during the COVID-19 pandemic. Accordingly, Axcelis has continued to operate throughout 2020, with a combination of work from home and the implementation of protocols for social distancing and other practices in our facilities, as recommended by the U.S. Centers for Disease Control and Prevention. Business travel has been substantially curtailed. Operations outside of the U.S. have also been conducted in accordance with applicable local governmental laws and public health recommendations. We are closely monitoring the impact of the pandemic on our business and will adjust operations as needed.</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ultimate consequence of the pandemic on the semiconductor industry will be the aggregation of both positive and negative forces on various customer market segments. For example, the pandemic is driving enhanced investment in PCs, video streaming and communications technologies. On the other hand, it has dampened the demand for semiconductors for some automotive and industrial applications. Our customers are adapting to the changes in the demand for different types of semiconductors, which could cause uncertainty and ultimately a delay in investments that could impact Axcelis. However, we are continuing to work closely with our customers across market segments, even during this difficult time, to provide them with the best ion implant solutions for their specific manufacturing challenges.</w:t>
      </w:r>
    </w:p>
    <w:p>
      <w:pPr>
        <w:spacing w:after="0" w:line="17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Currently implemented, and potential additional disruptions and restrictions on our operations and ability to travel, including similar disruptions and restrictions impacting our suppliers or customers, could adversely affect our sales and operating results. Axcelis’ products rely on an extensive global supply chain, and shortages of certain parts could impact our ability to meet customers’ shipment expectations, negatively affecting our revenues. The COVID-19 pandemic may drive changes in the demand for certain of our customers’ products, resulting in a delay or cancelation of purchases from us. Travel restrictions imposed by various countries during the pandemic may also impact our ability, and our customers’ readiness, to have purchased systems installed on planned schedules, causing delays. The extent to which COVID-19 may impact our results will depend on future developments, which are highly uncertain and cannot be predicted, including the severity and duration of the current pandemic. We managed to achieve strong performance in the first nine months of</w:t>
      </w:r>
    </w:p>
    <w:p>
      <w:pPr>
        <w:sectPr>
          <w:pgSz w:w="11900" w:h="16838" w:orient="portrait"/>
          <w:cols w:equalWidth="0" w:num="1">
            <w:col w:w="9120"/>
          </w:cols>
          <w:pgMar w:left="1380" w:top="517" w:right="13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2020, despite the pandemic-related business risks described in this paragraph. At this time, however, there can be no assurance that these risks will not affect our future performance.</w:t>
      </w:r>
    </w:p>
    <w:p>
      <w:pPr>
        <w:spacing w:after="0" w:line="170"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Effective June 29, 2020, the U.S. Commerce Department adopted a rule, Export Administration Regulations Section 744.21, which requires U.S. exporters to obtain U.S. licenses to ship listed products to customers in China who are military end users or that support military end use (the “MEU Rule”). Several types of semiconductor equipment, including certain ion implanters and specially designed parts, not generally restricted for shipment to China, were included in the list of products subject to the MEU Rule. Subsequently, on September 25, 2020, the Commerce Department sent certain semiconductor equipment exporters, including Axcelis, a letter regarding Semiconductor Manufacturing International Corporation (“SMIC”), indicating that the U.S. government was reviewing SMIC and its subsidiaries in relation to the MEU Rule, and required the exporters to submit applications for licenses prior to shipping MEU listed products to SMIC or its subsidiaries.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Management’s discussion and analysis of our financial condition and results of operations included herein and in our Annual Report on Form 10-K for the year ended December 31, 2019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1"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Management has not identified any need to make any material change in, and has not changed, any of our critical accounting estimates and judgments as described in Management’s Discussion and Analysis of Financial Conditions and Results of Operations included in our Annual Report on Form 10-K for the year ended December 31, 2019.</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21" w:name="page22"/>
    <w:bookmarkEnd w:id="21"/>
    <w:p>
      <w:pPr>
        <w:ind w:left="2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sets forth our results of operations as a percentage of total revenue:</w:t>
      </w:r>
    </w:p>
    <w:p>
      <w:pPr>
        <w:spacing w:after="0" w:line="379"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0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0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Nine months ended</w:t>
            </w:r>
          </w:p>
        </w:tc>
      </w:tr>
      <w:tr>
        <w:trPr>
          <w:trHeight w:val="174"/>
        </w:trPr>
        <w:tc>
          <w:tcPr>
            <w:tcW w:w="5140" w:type="dxa"/>
            <w:vAlign w:val="bottom"/>
          </w:tcPr>
          <w:p>
            <w:pPr>
              <w:spacing w:after="0"/>
              <w:rPr>
                <w:sz w:val="15"/>
                <w:szCs w:val="15"/>
                <w:color w:val="auto"/>
              </w:rPr>
            </w:pPr>
          </w:p>
        </w:tc>
        <w:tc>
          <w:tcPr>
            <w:tcW w:w="20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20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514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5"/>
                <w:szCs w:val="15"/>
                <w:color w:val="auto"/>
              </w:rPr>
            </w:pPr>
          </w:p>
        </w:tc>
      </w:tr>
      <w:tr>
        <w:trPr>
          <w:trHeight w:val="223"/>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40"/>
        </w:trPr>
        <w:tc>
          <w:tcPr>
            <w:tcW w:w="5140" w:type="dxa"/>
            <w:vAlign w:val="bottom"/>
          </w:tcPr>
          <w:p>
            <w:pPr>
              <w:ind w:left="220"/>
              <w:spacing w:after="0"/>
              <w:rPr>
                <w:sz w:val="20"/>
                <w:szCs w:val="20"/>
                <w:color w:val="auto"/>
              </w:rPr>
            </w:pPr>
            <w:r>
              <w:rPr>
                <w:rFonts w:ascii="Arial" w:cs="Arial" w:eastAsia="Arial" w:hAnsi="Arial"/>
                <w:sz w:val="16"/>
                <w:szCs w:val="16"/>
                <w:color w:val="auto"/>
              </w:rPr>
              <w:t>Product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94.9 %</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92.6 %</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94.8 %</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92.3 %</w:t>
            </w:r>
          </w:p>
        </w:tc>
      </w:tr>
      <w:tr>
        <w:trPr>
          <w:trHeight w:val="243"/>
        </w:trPr>
        <w:tc>
          <w:tcPr>
            <w:tcW w:w="5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44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400" w:type="dxa"/>
            <w:vAlign w:val="bottom"/>
            <w:shd w:val="clear" w:color="auto" w:fill="CCEEFF"/>
          </w:tcPr>
          <w:p>
            <w:pPr>
              <w:spacing w:after="0"/>
              <w:rPr>
                <w:sz w:val="21"/>
                <w:szCs w:val="21"/>
                <w:color w:val="auto"/>
              </w:rPr>
            </w:pPr>
          </w:p>
        </w:tc>
      </w:tr>
      <w:tr>
        <w:trPr>
          <w:trHeight w:val="223"/>
        </w:trPr>
        <w:tc>
          <w:tcPr>
            <w:tcW w:w="514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400" w:type="dxa"/>
            <w:vAlign w:val="bottom"/>
          </w:tcPr>
          <w:p>
            <w:pPr>
              <w:spacing w:after="0"/>
              <w:rPr>
                <w:sz w:val="19"/>
                <w:szCs w:val="19"/>
                <w:color w:val="auto"/>
              </w:rPr>
            </w:pPr>
          </w:p>
        </w:tc>
      </w:tr>
      <w:tr>
        <w:trPr>
          <w:trHeight w:val="24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r>
      <w:tr>
        <w:trPr>
          <w:trHeight w:val="240"/>
        </w:trPr>
        <w:tc>
          <w:tcPr>
            <w:tcW w:w="5140" w:type="dxa"/>
            <w:vAlign w:val="bottom"/>
          </w:tcPr>
          <w:p>
            <w:pPr>
              <w:ind w:left="220"/>
              <w:spacing w:after="0"/>
              <w:rPr>
                <w:sz w:val="20"/>
                <w:szCs w:val="20"/>
                <w:color w:val="auto"/>
              </w:rPr>
            </w:pPr>
            <w:r>
              <w:rPr>
                <w:rFonts w:ascii="Arial" w:cs="Arial" w:eastAsia="Arial" w:hAnsi="Arial"/>
                <w:sz w:val="16"/>
                <w:szCs w:val="16"/>
                <w:color w:val="auto"/>
              </w:rPr>
              <w:t>Product</w:t>
            </w:r>
          </w:p>
        </w:tc>
        <w:tc>
          <w:tcPr>
            <w:tcW w:w="700" w:type="dxa"/>
            <w:vAlign w:val="bottom"/>
          </w:tcPr>
          <w:p>
            <w:pPr>
              <w:jc w:val="right"/>
              <w:spacing w:after="0"/>
              <w:rPr>
                <w:sz w:val="20"/>
                <w:szCs w:val="20"/>
                <w:color w:val="auto"/>
              </w:rPr>
            </w:pPr>
            <w:r>
              <w:rPr>
                <w:rFonts w:ascii="Arial" w:cs="Arial" w:eastAsia="Arial" w:hAnsi="Arial"/>
                <w:sz w:val="16"/>
                <w:szCs w:val="16"/>
                <w:color w:val="auto"/>
              </w:rPr>
              <w:t>51.1</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48.4</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53.7</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50.2</w:t>
            </w:r>
          </w:p>
        </w:tc>
        <w:tc>
          <w:tcPr>
            <w:tcW w:w="400" w:type="dxa"/>
            <w:vAlign w:val="bottom"/>
          </w:tcPr>
          <w:p>
            <w:pPr>
              <w:spacing w:after="0"/>
              <w:rPr>
                <w:sz w:val="20"/>
                <w:szCs w:val="20"/>
                <w:color w:val="auto"/>
              </w:rPr>
            </w:pPr>
          </w:p>
        </w:tc>
      </w:tr>
      <w:tr>
        <w:trPr>
          <w:trHeight w:val="243"/>
        </w:trPr>
        <w:tc>
          <w:tcPr>
            <w:tcW w:w="5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44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400" w:type="dxa"/>
            <w:vAlign w:val="bottom"/>
            <w:shd w:val="clear" w:color="auto" w:fill="CCEEFF"/>
          </w:tcPr>
          <w:p>
            <w:pPr>
              <w:spacing w:after="0"/>
              <w:rPr>
                <w:sz w:val="21"/>
                <w:szCs w:val="21"/>
                <w:color w:val="auto"/>
              </w:rPr>
            </w:pPr>
          </w:p>
        </w:tc>
      </w:tr>
      <w:tr>
        <w:trPr>
          <w:trHeight w:val="223"/>
        </w:trPr>
        <w:tc>
          <w:tcPr>
            <w:tcW w:w="5140" w:type="dxa"/>
            <w:vAlign w:val="bottom"/>
          </w:tcPr>
          <w:p>
            <w:pPr>
              <w:ind w:left="320"/>
              <w:spacing w:after="0"/>
              <w:rPr>
                <w:sz w:val="20"/>
                <w:szCs w:val="20"/>
                <w:color w:val="auto"/>
              </w:rPr>
            </w:pPr>
            <w:r>
              <w:rPr>
                <w:rFonts w:ascii="Arial" w:cs="Arial" w:eastAsia="Arial" w:hAnsi="Arial"/>
                <w:sz w:val="16"/>
                <w:szCs w:val="16"/>
                <w:color w:val="auto"/>
              </w:rPr>
              <w:t>Total cost of revenue</w:t>
            </w:r>
          </w:p>
        </w:tc>
        <w:tc>
          <w:tcPr>
            <w:tcW w:w="700" w:type="dxa"/>
            <w:vAlign w:val="bottom"/>
          </w:tcPr>
          <w:p>
            <w:pPr>
              <w:jc w:val="right"/>
              <w:spacing w:after="0"/>
              <w:rPr>
                <w:sz w:val="20"/>
                <w:szCs w:val="20"/>
                <w:color w:val="auto"/>
              </w:rPr>
            </w:pPr>
            <w:r>
              <w:rPr>
                <w:rFonts w:ascii="Arial" w:cs="Arial" w:eastAsia="Arial" w:hAnsi="Arial"/>
                <w:sz w:val="16"/>
                <w:szCs w:val="16"/>
                <w:color w:val="auto"/>
              </w:rPr>
              <w:t>56.4</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56.0</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58.7</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57.6</w:t>
            </w:r>
          </w:p>
        </w:tc>
        <w:tc>
          <w:tcPr>
            <w:tcW w:w="400" w:type="dxa"/>
            <w:vAlign w:val="bottom"/>
          </w:tcPr>
          <w:p>
            <w:pPr>
              <w:spacing w:after="0"/>
              <w:rPr>
                <w:sz w:val="19"/>
                <w:szCs w:val="19"/>
                <w:color w:val="auto"/>
              </w:rPr>
            </w:pPr>
          </w:p>
        </w:tc>
      </w:tr>
      <w:tr>
        <w:trPr>
          <w:trHeight w:val="259"/>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4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400" w:type="dxa"/>
            <w:vAlign w:val="bottom"/>
            <w:shd w:val="clear" w:color="auto" w:fill="CCEEFF"/>
          </w:tcPr>
          <w:p>
            <w:pPr>
              <w:spacing w:after="0"/>
              <w:rPr>
                <w:sz w:val="22"/>
                <w:szCs w:val="22"/>
                <w:color w:val="auto"/>
              </w:rPr>
            </w:pPr>
          </w:p>
        </w:tc>
      </w:tr>
      <w:tr>
        <w:trPr>
          <w:trHeight w:val="240"/>
        </w:trPr>
        <w:tc>
          <w:tcPr>
            <w:tcW w:w="5140" w:type="dxa"/>
            <w:vAlign w:val="bottom"/>
          </w:tcPr>
          <w:p>
            <w:pPr>
              <w:spacing w:after="0"/>
              <w:rPr>
                <w:sz w:val="20"/>
                <w:szCs w:val="20"/>
                <w:color w:val="auto"/>
              </w:rPr>
            </w:pPr>
            <w:r>
              <w:rPr>
                <w:rFonts w:ascii="Arial" w:cs="Arial" w:eastAsia="Arial" w:hAnsi="Arial"/>
                <w:sz w:val="16"/>
                <w:szCs w:val="16"/>
                <w:color w:val="auto"/>
              </w:rPr>
              <w:t>Operating expenses: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46"/>
        </w:trPr>
        <w:tc>
          <w:tcPr>
            <w:tcW w:w="5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400" w:type="dxa"/>
            <w:vAlign w:val="bottom"/>
            <w:shd w:val="clear" w:color="auto" w:fill="CCEEFF"/>
          </w:tcPr>
          <w:p>
            <w:pPr>
              <w:spacing w:after="0"/>
              <w:rPr>
                <w:sz w:val="21"/>
                <w:szCs w:val="21"/>
                <w:color w:val="auto"/>
              </w:rPr>
            </w:pPr>
          </w:p>
        </w:tc>
      </w:tr>
      <w:tr>
        <w:trPr>
          <w:trHeight w:val="240"/>
        </w:trPr>
        <w:tc>
          <w:tcPr>
            <w:tcW w:w="514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700" w:type="dxa"/>
            <w:vAlign w:val="bottom"/>
          </w:tcPr>
          <w:p>
            <w:pPr>
              <w:jc w:val="right"/>
              <w:spacing w:after="0"/>
              <w:rPr>
                <w:sz w:val="20"/>
                <w:szCs w:val="20"/>
                <w:color w:val="auto"/>
              </w:rPr>
            </w:pPr>
            <w:r>
              <w:rPr>
                <w:rFonts w:ascii="Arial" w:cs="Arial" w:eastAsia="Arial" w:hAnsi="Arial"/>
                <w:sz w:val="16"/>
                <w:szCs w:val="16"/>
                <w:color w:val="auto"/>
              </w:rPr>
              <w:t>8.8</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w:t>
            </w:r>
          </w:p>
        </w:tc>
        <w:tc>
          <w:tcPr>
            <w:tcW w:w="400" w:type="dxa"/>
            <w:vAlign w:val="bottom"/>
          </w:tcPr>
          <w:p>
            <w:pPr>
              <w:spacing w:after="0"/>
              <w:rPr>
                <w:sz w:val="20"/>
                <w:szCs w:val="20"/>
                <w:color w:val="auto"/>
              </w:rPr>
            </w:pPr>
          </w:p>
        </w:tc>
      </w:tr>
      <w:tr>
        <w:trPr>
          <w:trHeight w:val="243"/>
        </w:trPr>
        <w:tc>
          <w:tcPr>
            <w:tcW w:w="5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44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400" w:type="dxa"/>
            <w:vAlign w:val="bottom"/>
            <w:shd w:val="clear" w:color="auto" w:fill="CCEEFF"/>
          </w:tcPr>
          <w:p>
            <w:pPr>
              <w:spacing w:after="0"/>
              <w:rPr>
                <w:sz w:val="21"/>
                <w:szCs w:val="21"/>
                <w:color w:val="auto"/>
              </w:rPr>
            </w:pPr>
          </w:p>
        </w:tc>
      </w:tr>
      <w:tr>
        <w:trPr>
          <w:trHeight w:val="223"/>
        </w:trPr>
        <w:tc>
          <w:tcPr>
            <w:tcW w:w="51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operating expenses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4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400" w:type="dxa"/>
            <w:vAlign w:val="bottom"/>
            <w:tcBorders>
              <w:bottom w:val="single" w:sz="8" w:color="CCEEFF"/>
            </w:tcBorders>
          </w:tcPr>
          <w:p>
            <w:pPr>
              <w:spacing w:after="0"/>
              <w:rPr>
                <w:sz w:val="19"/>
                <w:szCs w:val="19"/>
                <w:color w:val="auto"/>
              </w:rPr>
            </w:pPr>
          </w:p>
        </w:tc>
      </w:tr>
      <w:tr>
        <w:trPr>
          <w:trHeight w:val="22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00" w:type="dxa"/>
            <w:vAlign w:val="bottom"/>
            <w:shd w:val="clear" w:color="auto" w:fill="CCEEFF"/>
          </w:tcPr>
          <w:p>
            <w:pPr>
              <w:spacing w:after="0"/>
              <w:rPr>
                <w:sz w:val="19"/>
                <w:szCs w:val="19"/>
                <w:color w:val="auto"/>
              </w:rPr>
            </w:pPr>
          </w:p>
        </w:tc>
      </w:tr>
      <w:tr>
        <w:trPr>
          <w:trHeight w:val="240"/>
        </w:trPr>
        <w:tc>
          <w:tcPr>
            <w:tcW w:w="5140" w:type="dxa"/>
            <w:vAlign w:val="bottom"/>
          </w:tcPr>
          <w:p>
            <w:pPr>
              <w:spacing w:after="0"/>
              <w:rPr>
                <w:sz w:val="20"/>
                <w:szCs w:val="20"/>
                <w:color w:val="auto"/>
              </w:rPr>
            </w:pPr>
            <w:r>
              <w:rPr>
                <w:rFonts w:ascii="Arial" w:cs="Arial" w:eastAsia="Arial" w:hAnsi="Arial"/>
                <w:sz w:val="16"/>
                <w:szCs w:val="16"/>
                <w:color w:val="auto"/>
              </w:rPr>
              <w:t>Other (expense) income:</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60"/>
        </w:trPr>
        <w:tc>
          <w:tcPr>
            <w:tcW w:w="5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0" w:type="dxa"/>
            <w:vAlign w:val="bottom"/>
            <w:shd w:val="clear" w:color="auto" w:fill="CCEEFF"/>
          </w:tcPr>
          <w:p>
            <w:pPr>
              <w:spacing w:after="0"/>
              <w:rPr>
                <w:sz w:val="22"/>
                <w:szCs w:val="22"/>
                <w:color w:val="auto"/>
              </w:rPr>
            </w:pPr>
          </w:p>
        </w:tc>
      </w:tr>
      <w:tr>
        <w:trPr>
          <w:trHeight w:val="240"/>
        </w:trPr>
        <w:tc>
          <w:tcPr>
            <w:tcW w:w="51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(1.2)</w:t>
            </w:r>
          </w:p>
        </w:tc>
        <w:tc>
          <w:tcPr>
            <w:tcW w:w="1140" w:type="dxa"/>
            <w:vAlign w:val="bottom"/>
            <w:gridSpan w:val="2"/>
          </w:tcPr>
          <w:p>
            <w:pPr>
              <w:jc w:val="right"/>
              <w:ind w:right="440"/>
              <w:spacing w:after="0"/>
              <w:rPr>
                <w:sz w:val="20"/>
                <w:szCs w:val="20"/>
                <w:color w:val="auto"/>
              </w:rPr>
            </w:pPr>
            <w:r>
              <w:rPr>
                <w:rFonts w:ascii="Arial" w:cs="Arial" w:eastAsia="Arial" w:hAnsi="Arial"/>
                <w:sz w:val="16"/>
                <w:szCs w:val="16"/>
                <w:color w:val="auto"/>
              </w:rPr>
              <w:t>(1.9)</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(1.1)</w:t>
            </w:r>
          </w:p>
        </w:tc>
        <w:tc>
          <w:tcPr>
            <w:tcW w:w="1100" w:type="dxa"/>
            <w:vAlign w:val="bottom"/>
            <w:gridSpan w:val="2"/>
          </w:tcPr>
          <w:p>
            <w:pPr>
              <w:jc w:val="right"/>
              <w:ind w:right="400"/>
              <w:spacing w:after="0"/>
              <w:rPr>
                <w:sz w:val="20"/>
                <w:szCs w:val="20"/>
                <w:color w:val="auto"/>
              </w:rPr>
            </w:pPr>
            <w:r>
              <w:rPr>
                <w:rFonts w:ascii="Arial" w:cs="Arial" w:eastAsia="Arial" w:hAnsi="Arial"/>
                <w:sz w:val="16"/>
                <w:szCs w:val="16"/>
                <w:color w:val="auto"/>
              </w:rPr>
              <w:t>(1.6)</w:t>
            </w:r>
          </w:p>
        </w:tc>
      </w:tr>
      <w:tr>
        <w:trPr>
          <w:trHeight w:val="243"/>
        </w:trPr>
        <w:tc>
          <w:tcPr>
            <w:tcW w:w="5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(0.5)</w:t>
            </w:r>
          </w:p>
        </w:tc>
      </w:tr>
      <w:tr>
        <w:trPr>
          <w:trHeight w:val="20"/>
        </w:trPr>
        <w:tc>
          <w:tcPr>
            <w:tcW w:w="5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5140" w:type="dxa"/>
            <w:vAlign w:val="bottom"/>
          </w:tcPr>
          <w:p>
            <w:pPr>
              <w:ind w:left="320"/>
              <w:spacing w:after="0"/>
              <w:rPr>
                <w:sz w:val="20"/>
                <w:szCs w:val="20"/>
                <w:color w:val="auto"/>
              </w:rPr>
            </w:pPr>
            <w:r>
              <w:rPr>
                <w:rFonts w:ascii="Arial" w:cs="Arial" w:eastAsia="Arial" w:hAnsi="Arial"/>
                <w:sz w:val="16"/>
                <w:szCs w:val="16"/>
                <w:color w:val="auto"/>
              </w:rPr>
              <w:t>Total other expense</w:t>
            </w:r>
          </w:p>
        </w:tc>
        <w:tc>
          <w:tcPr>
            <w:tcW w:w="700" w:type="dxa"/>
            <w:vAlign w:val="bottom"/>
          </w:tcPr>
          <w:p>
            <w:pPr>
              <w:jc w:val="right"/>
              <w:spacing w:after="0"/>
              <w:rPr>
                <w:sz w:val="20"/>
                <w:szCs w:val="20"/>
                <w:color w:val="auto"/>
              </w:rPr>
            </w:pPr>
            <w:r>
              <w:rPr>
                <w:rFonts w:ascii="Arial" w:cs="Arial" w:eastAsia="Arial" w:hAnsi="Arial"/>
                <w:sz w:val="16"/>
                <w:szCs w:val="16"/>
                <w:color w:val="auto"/>
              </w:rPr>
              <w:t>(0.3)</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(0.7)</w:t>
            </w:r>
          </w:p>
        </w:tc>
        <w:tc>
          <w:tcPr>
            <w:tcW w:w="22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6"/>
                <w:szCs w:val="16"/>
                <w:color w:val="auto"/>
              </w:rPr>
              <w:t>(1.1)</w:t>
            </w:r>
          </w:p>
        </w:tc>
      </w:tr>
      <w:tr>
        <w:trPr>
          <w:trHeight w:val="226"/>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2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4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2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400" w:type="dxa"/>
            <w:vAlign w:val="bottom"/>
            <w:tcBorders>
              <w:top w:val="single" w:sz="8" w:color="CCEEFF"/>
            </w:tcBorders>
            <w:shd w:val="clear" w:color="auto" w:fill="CCEEFF"/>
          </w:tcPr>
          <w:p>
            <w:pPr>
              <w:spacing w:after="0"/>
              <w:rPr>
                <w:sz w:val="19"/>
                <w:szCs w:val="19"/>
                <w:color w:val="auto"/>
              </w:rPr>
            </w:pPr>
          </w:p>
        </w:tc>
      </w:tr>
      <w:tr>
        <w:trPr>
          <w:trHeight w:val="240"/>
        </w:trPr>
        <w:tc>
          <w:tcPr>
            <w:tcW w:w="5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provision (benefit)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44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400" w:type="dxa"/>
            <w:vAlign w:val="bottom"/>
            <w:tcBorders>
              <w:bottom w:val="single" w:sz="8" w:color="CCEEFF"/>
            </w:tcBorders>
          </w:tcPr>
          <w:p>
            <w:pPr>
              <w:spacing w:after="0"/>
              <w:rPr>
                <w:sz w:val="20"/>
                <w:szCs w:val="20"/>
                <w:color w:val="auto"/>
              </w:rPr>
            </w:pPr>
          </w:p>
        </w:tc>
      </w:tr>
      <w:tr>
        <w:trPr>
          <w:trHeight w:val="213"/>
        </w:trPr>
        <w:tc>
          <w:tcPr>
            <w:tcW w:w="5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9.8 %</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1.0 %</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10.0 %</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3.2 %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sets forth our product and services 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40" w:type="dxa"/>
            <w:vAlign w:val="bottom"/>
          </w:tcPr>
          <w:p>
            <w:pPr>
              <w:spacing w:after="0"/>
              <w:rPr>
                <w:sz w:val="16"/>
                <w:szCs w:val="16"/>
                <w:color w:val="auto"/>
              </w:rPr>
            </w:pPr>
          </w:p>
        </w:tc>
        <w:tc>
          <w:tcPr>
            <w:tcW w:w="1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Period-to-Period</w:t>
            </w: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1460" w:type="dxa"/>
            <w:vAlign w:val="bottom"/>
            <w:gridSpan w:val="4"/>
          </w:tcPr>
          <w:p>
            <w:pPr>
              <w:ind w:left="60"/>
              <w:spacing w:after="0"/>
              <w:rPr>
                <w:sz w:val="20"/>
                <w:szCs w:val="20"/>
                <w:color w:val="auto"/>
              </w:rPr>
            </w:pPr>
            <w:r>
              <w:rPr>
                <w:rFonts w:ascii="Arial" w:cs="Arial" w:eastAsia="Arial" w:hAnsi="Arial"/>
                <w:sz w:val="14"/>
                <w:szCs w:val="14"/>
                <w:b w:val="1"/>
                <w:bCs w:val="1"/>
                <w:color w:val="auto"/>
              </w:rPr>
              <w:t>Period-to-Period</w:t>
            </w:r>
          </w:p>
        </w:tc>
      </w:tr>
      <w:tr>
        <w:trPr>
          <w:trHeight w:val="201"/>
        </w:trPr>
        <w:tc>
          <w:tcPr>
            <w:tcW w:w="2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7"/>
                <w:szCs w:val="17"/>
                <w:color w:val="auto"/>
              </w:rPr>
            </w:pPr>
          </w:p>
        </w:tc>
        <w:tc>
          <w:tcPr>
            <w:tcW w:w="12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7"/>
                <w:szCs w:val="17"/>
                <w:color w:val="auto"/>
              </w:rPr>
            </w:pPr>
          </w:p>
        </w:tc>
      </w:tr>
      <w:tr>
        <w:trPr>
          <w:trHeight w:val="196"/>
        </w:trPr>
        <w:tc>
          <w:tcPr>
            <w:tcW w:w="2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2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9"/>
              </w:rPr>
              <w:t>(dollars in thousands)</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70"/>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6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67"/>
        </w:trPr>
        <w:tc>
          <w:tcPr>
            <w:tcW w:w="2420" w:type="dxa"/>
            <w:vAlign w:val="bottom"/>
          </w:tcPr>
          <w:p>
            <w:pPr>
              <w:ind w:left="220"/>
              <w:spacing w:after="0"/>
              <w:rPr>
                <w:sz w:val="20"/>
                <w:szCs w:val="20"/>
                <w:color w:val="auto"/>
              </w:rPr>
            </w:pPr>
            <w:r>
              <w:rPr>
                <w:rFonts w:ascii="Arial" w:cs="Arial" w:eastAsia="Arial" w:hAnsi="Arial"/>
                <w:sz w:val="16"/>
                <w:szCs w:val="16"/>
                <w:color w:val="auto"/>
              </w:rPr>
              <w:t>Product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$ 104,799</w:t>
            </w:r>
          </w:p>
        </w:tc>
        <w:tc>
          <w:tcPr>
            <w:tcW w:w="1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w w:val="96"/>
              </w:rPr>
              <w:t>$ 64,290</w:t>
            </w:r>
          </w:p>
        </w:tc>
        <w:tc>
          <w:tcPr>
            <w:tcW w:w="18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6"/>
              </w:rPr>
              <w:t xml:space="preserve">$ </w:t>
            </w:r>
            <w:r>
              <w:rPr>
                <w:rFonts w:ascii="Arial" w:cs="Arial" w:eastAsia="Arial" w:hAnsi="Arial"/>
                <w:sz w:val="16"/>
                <w:szCs w:val="16"/>
                <w:i w:val="1"/>
                <w:iCs w:val="1"/>
                <w:color w:val="auto"/>
                <w:w w:val="96"/>
              </w:rPr>
              <w:t>40,509</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i w:val="1"/>
                <w:iCs w:val="1"/>
                <w:color w:val="auto"/>
                <w:w w:val="95"/>
              </w:rPr>
              <w:t xml:space="preserve">63.0 % </w:t>
            </w:r>
            <w:r>
              <w:rPr>
                <w:rFonts w:ascii="Arial" w:cs="Arial" w:eastAsia="Arial" w:hAnsi="Arial"/>
                <w:sz w:val="16"/>
                <w:szCs w:val="16"/>
                <w:color w:val="auto"/>
                <w:w w:val="95"/>
              </w:rPr>
              <w:t>$ 334,126</w:t>
            </w:r>
          </w:p>
        </w:tc>
        <w:tc>
          <w:tcPr>
            <w:tcW w:w="16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w w:val="95"/>
              </w:rPr>
              <w:t>$ 217,201</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$ 116,925</w:t>
            </w:r>
          </w:p>
        </w:tc>
        <w:tc>
          <w:tcPr>
            <w:tcW w:w="52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w w:val="96"/>
              </w:rPr>
              <w:t>53.8 %</w:t>
            </w:r>
          </w:p>
        </w:tc>
        <w:tc>
          <w:tcPr>
            <w:tcW w:w="220" w:type="dxa"/>
            <w:vAlign w:val="bottom"/>
          </w:tcPr>
          <w:p>
            <w:pPr>
              <w:spacing w:after="0"/>
              <w:rPr>
                <w:sz w:val="23"/>
                <w:szCs w:val="23"/>
                <w:color w:val="auto"/>
              </w:rPr>
            </w:pPr>
          </w:p>
        </w:tc>
      </w:tr>
      <w:tr>
        <w:trPr>
          <w:trHeight w:val="273"/>
        </w:trPr>
        <w:tc>
          <w:tcPr>
            <w:tcW w:w="242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94.9 %</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92.6 %</w:t>
            </w:r>
          </w:p>
        </w:tc>
        <w:tc>
          <w:tcPr>
            <w:tcW w:w="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94.8 %</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92.3 %</w:t>
            </w:r>
          </w:p>
        </w:tc>
        <w:tc>
          <w:tcPr>
            <w:tcW w:w="7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67"/>
        </w:trPr>
        <w:tc>
          <w:tcPr>
            <w:tcW w:w="2420" w:type="dxa"/>
            <w:vAlign w:val="bottom"/>
          </w:tcPr>
          <w:p>
            <w:pPr>
              <w:ind w:left="220"/>
              <w:spacing w:after="0"/>
              <w:rPr>
                <w:sz w:val="20"/>
                <w:szCs w:val="20"/>
                <w:color w:val="auto"/>
              </w:rPr>
            </w:pPr>
            <w:r>
              <w:rPr>
                <w:rFonts w:ascii="Arial" w:cs="Arial" w:eastAsia="Arial" w:hAnsi="Arial"/>
                <w:sz w:val="16"/>
                <w:szCs w:val="16"/>
                <w:color w:val="auto"/>
              </w:rPr>
              <w:t>Services</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5,606</w:t>
            </w:r>
          </w:p>
        </w:tc>
        <w:tc>
          <w:tcPr>
            <w:tcW w:w="1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5,163</w:t>
            </w:r>
          </w:p>
        </w:tc>
        <w:tc>
          <w:tcPr>
            <w:tcW w:w="18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i w:val="1"/>
                <w:iCs w:val="1"/>
                <w:color w:val="auto"/>
              </w:rPr>
              <w:t>443</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8.6 %</w:t>
            </w:r>
          </w:p>
        </w:tc>
        <w:tc>
          <w:tcPr>
            <w:tcW w:w="720" w:type="dxa"/>
            <w:vAlign w:val="bottom"/>
          </w:tcPr>
          <w:p>
            <w:pPr>
              <w:jc w:val="right"/>
              <w:spacing w:after="0"/>
              <w:rPr>
                <w:sz w:val="20"/>
                <w:szCs w:val="20"/>
                <w:color w:val="auto"/>
              </w:rPr>
            </w:pPr>
            <w:r>
              <w:rPr>
                <w:rFonts w:ascii="Arial" w:cs="Arial" w:eastAsia="Arial" w:hAnsi="Arial"/>
                <w:sz w:val="16"/>
                <w:szCs w:val="16"/>
                <w:color w:val="auto"/>
              </w:rPr>
              <w:t>18,235</w:t>
            </w:r>
          </w:p>
        </w:tc>
        <w:tc>
          <w:tcPr>
            <w:tcW w:w="16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18,034</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201</w:t>
            </w:r>
          </w:p>
        </w:tc>
        <w:tc>
          <w:tcPr>
            <w:tcW w:w="52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1.1 %</w:t>
            </w:r>
          </w:p>
        </w:tc>
        <w:tc>
          <w:tcPr>
            <w:tcW w:w="220" w:type="dxa"/>
            <w:vAlign w:val="bottom"/>
          </w:tcPr>
          <w:p>
            <w:pPr>
              <w:spacing w:after="0"/>
              <w:rPr>
                <w:sz w:val="23"/>
                <w:szCs w:val="23"/>
                <w:color w:val="auto"/>
              </w:rPr>
            </w:pPr>
          </w:p>
        </w:tc>
      </w:tr>
      <w:tr>
        <w:trPr>
          <w:trHeight w:val="270"/>
        </w:trPr>
        <w:tc>
          <w:tcPr>
            <w:tcW w:w="242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6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5.1 %</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7.4 %</w:t>
            </w:r>
          </w:p>
        </w:tc>
        <w:tc>
          <w:tcPr>
            <w:tcW w:w="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5.2 %</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7.7 %</w:t>
            </w:r>
          </w:p>
        </w:tc>
        <w:tc>
          <w:tcPr>
            <w:tcW w:w="7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0"/>
        </w:trPr>
        <w:tc>
          <w:tcPr>
            <w:tcW w:w="2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9"/>
        </w:trPr>
        <w:tc>
          <w:tcPr>
            <w:tcW w:w="242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6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$ 110,405</w:t>
            </w: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w w:val="96"/>
              </w:rPr>
              <w:t>$ 69,453</w:t>
            </w:r>
          </w:p>
        </w:tc>
        <w:tc>
          <w:tcPr>
            <w:tcW w:w="1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6"/>
              </w:rPr>
              <w:t>$ 40,952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i w:val="1"/>
                <w:iCs w:val="1"/>
                <w:color w:val="auto"/>
                <w:w w:val="95"/>
              </w:rPr>
              <w:t xml:space="preserve">59.0 % </w:t>
            </w:r>
            <w:r>
              <w:rPr>
                <w:rFonts w:ascii="Arial" w:cs="Arial" w:eastAsia="Arial" w:hAnsi="Arial"/>
                <w:sz w:val="16"/>
                <w:szCs w:val="16"/>
                <w:color w:val="auto"/>
                <w:w w:val="95"/>
              </w:rPr>
              <w:t>$ 352,361</w:t>
            </w: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w w:val="95"/>
              </w:rPr>
              <w:t>$ 235,235</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$ 117,126</w:t>
            </w:r>
          </w:p>
        </w:tc>
        <w:tc>
          <w:tcPr>
            <w:tcW w:w="52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w w:val="96"/>
              </w:rPr>
              <w:t xml:space="preserve">49.8 </w:t>
            </w:r>
            <w:r>
              <w:rPr>
                <w:rFonts w:ascii="Arial" w:cs="Arial" w:eastAsia="Arial" w:hAnsi="Arial"/>
                <w:sz w:val="16"/>
                <w:szCs w:val="16"/>
                <w:color w:val="auto"/>
                <w:w w:val="96"/>
              </w:rPr>
              <w:t>%</w:t>
            </w:r>
          </w:p>
        </w:tc>
        <w:tc>
          <w:tcPr>
            <w:tcW w:w="220" w:type="dxa"/>
            <w:vAlign w:val="bottom"/>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357505</wp:posOffset>
            </wp:positionV>
            <wp:extent cx="5795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560"/>
          </w:cols>
          <w:pgMar w:left="1140" w:top="517" w:right="11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2020 Compared with Three months ended 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Product revenue, which includes systems sales, sales of spare parts, product upgrades and used systems was $104.8 million, or 94.9% of revenue during the three months ended September 30, 2020, compared with $64.3 million, or</w:t>
      </w:r>
    </w:p>
    <w:p>
      <w:pPr>
        <w:spacing w:after="0" w:line="255" w:lineRule="auto"/>
        <w:rPr>
          <w:sz w:val="20"/>
          <w:szCs w:val="20"/>
          <w:color w:val="auto"/>
        </w:rPr>
      </w:pPr>
      <w:r>
        <w:rPr>
          <w:rFonts w:ascii="Arial" w:cs="Arial" w:eastAsia="Arial" w:hAnsi="Arial"/>
          <w:sz w:val="18"/>
          <w:szCs w:val="18"/>
          <w:color w:val="auto"/>
        </w:rPr>
        <w:t>92.6% of revenue for the three months ended September 30, 2019. The $40.5 million increase in product revenue for the three month period ending September 30, 2020, in comparison to the same period in 2019, was primarily driven by an increase in the number of systems sold.</w:t>
      </w:r>
    </w:p>
    <w:p>
      <w:pPr>
        <w:spacing w:after="0" w:line="19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 portion of our revenue from systems sales is deferred until installation and other services related to future performance obligations are performed. The total amount of deferred revenue at September 30, 2020 and December 31, 2019 was $17.0 million and $29.3 million, respectively. The net decrease in deferred revenue was primarily due to the recognition of revenue on tools that were paid in advance.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Services revenue, which includes the labor component of maintenance and service contracts and fees for service hours provided by on-site service personnel, was $5.6 million, or 5.1% of revenue for the three months ended September 30, 2020, compared with $5.2 million, or 7.4% of revenue for the three months ended September 30, 2019. Although services revenue typically increases with the expansion of the installed base of systems, it can fluctuate from period to period based on capacity utilization at customers’ manufacturing facilities, which affects the need for equipment service.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2020 Compared with Nine months ended 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Product revenue was $334.1 million, or 94.8% of revenue during the nine months ended September 30, 2020, compared with $217.2 million, or 92.3% of revenue for the nine months ended September 30, 2019. The $116.9 million increase in product revenue for the nine month period ended September 30, 2020, in comparison to the same period in 2019, was primarily driven by an increase in the number of systems sold.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Services revenue was $18.2 million, or 5.2% of revenue for the nine months ended September 30, 2020, compared with $18.0 million, or 7.7% of revenue for the nine months ended September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Categories used by Management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addition to the line item revenue categories discussed above, management also regularly disaggregates revenue in the following categories, which it finds relevant and useful:</w:t>
      </w:r>
    </w:p>
    <w:p>
      <w:pPr>
        <w:spacing w:after="0" w:line="170" w:lineRule="exact"/>
        <w:rPr>
          <w:sz w:val="20"/>
          <w:szCs w:val="20"/>
          <w:color w:val="auto"/>
        </w:rPr>
      </w:pPr>
    </w:p>
    <w:p>
      <w:pPr>
        <w:ind w:left="1320" w:right="760" w:hanging="316"/>
        <w:spacing w:after="0" w:line="308" w:lineRule="auto"/>
        <w:tabs>
          <w:tab w:leader="none" w:pos="1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Ion implant revenue separate from revenue from legacy non-implant product lines, given that ion implantation systems are the primary driver of our growth and strategic objectives;</w:t>
      </w:r>
    </w:p>
    <w:p>
      <w:pPr>
        <w:spacing w:after="0" w:line="146" w:lineRule="exact"/>
        <w:rPr>
          <w:rFonts w:ascii="Arial" w:cs="Arial" w:eastAsia="Arial" w:hAnsi="Arial"/>
          <w:sz w:val="17"/>
          <w:szCs w:val="17"/>
          <w:color w:val="auto"/>
        </w:rPr>
      </w:pPr>
    </w:p>
    <w:p>
      <w:pPr>
        <w:ind w:left="1320" w:hanging="316"/>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Systems and Aftermarket revenues, in which “Aftermarket” is</w:t>
      </w:r>
    </w:p>
    <w:p>
      <w:pPr>
        <w:spacing w:after="0" w:line="23" w:lineRule="exact"/>
        <w:rPr>
          <w:rFonts w:ascii="Arial" w:cs="Arial" w:eastAsia="Arial" w:hAnsi="Arial"/>
          <w:sz w:val="18"/>
          <w:szCs w:val="18"/>
          <w:color w:val="auto"/>
        </w:rPr>
      </w:pPr>
    </w:p>
    <w:p>
      <w:pPr>
        <w:ind w:left="1980" w:right="480" w:hanging="328"/>
        <w:spacing w:after="0" w:line="250" w:lineRule="auto"/>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portion of Product revenue relating to spare parts, product upgrades and used equipment combined with</w:t>
      </w:r>
    </w:p>
    <w:p>
      <w:pPr>
        <w:ind w:left="1980" w:hanging="328"/>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Services revenue, which is the labor component of Aftermarket revenues;</w:t>
      </w:r>
    </w:p>
    <w:p>
      <w:pPr>
        <w:spacing w:after="0" w:line="211" w:lineRule="exact"/>
        <w:rPr>
          <w:sz w:val="20"/>
          <w:szCs w:val="20"/>
          <w:color w:val="auto"/>
        </w:rPr>
      </w:pPr>
    </w:p>
    <w:p>
      <w:pPr>
        <w:ind w:left="1300" w:right="100"/>
        <w:spacing w:after="0" w:line="277" w:lineRule="auto"/>
        <w:rPr>
          <w:sz w:val="20"/>
          <w:szCs w:val="20"/>
          <w:color w:val="auto"/>
        </w:rPr>
      </w:pPr>
      <w:r>
        <w:rPr>
          <w:rFonts w:ascii="Arial" w:cs="Arial" w:eastAsia="Arial" w:hAnsi="Arial"/>
          <w:sz w:val="18"/>
          <w:szCs w:val="18"/>
          <w:color w:val="auto"/>
        </w:rPr>
        <w:t>Aftermarket purchases reflect current fab utilization as opposed to Systems purchases which reflect capital investment decisions by our customers, which have differing economic drivers;</w:t>
      </w:r>
    </w:p>
    <w:p>
      <w:pPr>
        <w:spacing w:after="0" w:line="170" w:lineRule="exact"/>
        <w:rPr>
          <w:sz w:val="20"/>
          <w:szCs w:val="20"/>
          <w:color w:val="auto"/>
        </w:rPr>
      </w:pPr>
    </w:p>
    <w:p>
      <w:pPr>
        <w:ind w:left="1320" w:hanging="316"/>
        <w:spacing w:after="0"/>
        <w:tabs>
          <w:tab w:leader="none" w:pos="1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Revenue by geographic regions, since economic factors impacting customer purchasing decisions may</w:t>
      </w:r>
    </w:p>
    <w:p>
      <w:pPr>
        <w:sectPr>
          <w:pgSz w:w="11900" w:h="16838" w:orient="portrait"/>
          <w:cols w:equalWidth="0" w:num="1">
            <w:col w:w="9080"/>
          </w:cols>
          <w:pgMar w:left="1380" w:top="517" w:right="14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7" w:right="14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vary by geographic region; and</w:t>
      </w:r>
    </w:p>
    <w:p>
      <w:pPr>
        <w:spacing w:after="0" w:line="225" w:lineRule="exact"/>
        <w:rPr>
          <w:sz w:val="20"/>
          <w:szCs w:val="20"/>
          <w:color w:val="auto"/>
        </w:rPr>
      </w:pPr>
    </w:p>
    <w:p>
      <w:pPr>
        <w:ind w:left="1320" w:right="300" w:hanging="316"/>
        <w:spacing w:after="0" w:line="279" w:lineRule="auto"/>
        <w:tabs>
          <w:tab w:leader="none" w:pos="1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Revenue by our customer market segments, since they can be subject to different economic drivers at different periods of time, impacting a customer’s likelihood of purchasing capital equipment during any particular period. Currently, management references three customer market segments: memory, mature technology processes and leading edge foundry and logic.</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ion implant and Aftermarket revenue categories for recent periods are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2020 Compared with Three months ended 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Ion Implant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Included in total revenue of $110.4 million during the three months ended September 30, 2020 is revenue from sales of ion implant products and services of $106.0 million, or 96.0% of total revenue, compared with $65.2 million, or 93.9%, of total revenue for the three months ended September 30, 2019. The remaining $4.4 million of revenue for the three months ended September 30, 2020 was non-ion implant parts and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Aftermarket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Included in total revenue of $110.4 million during the three months ended September 30, 2020 is revenue from our Aftermarket business of $40.2 million, compared to $32.6 million for the three months ended September 30, 2019. The remaining $70.2 million of revenue for the three months ended September 30, 2020 was from system sales. Aftermarket revenue fluctuates from period to period based on capacity utilization at customers’ manufacturing facilities, which affects the sale of spare parts and demand for equipment service. Aftermarket revenue can also fluctuate from period to period based on the demand for system upgrades or used equipment.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2020 Compared with Nine months ended 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Ion Implant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Included in total revenue of $352.4 million during the nine months ended September 30, 2020 is revenue from sales of ion implant products and services of $339.8 million, or 96.4% of total revenue, compared with $222.4 million, or 94.5%, of total revenue for the nine months ended September 30, 2019. The remaining $12.6 million of revenue for the nine months ended September 30, 2020 was non-ion implant parts and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Aftermarket</w:t>
      </w:r>
    </w:p>
    <w:p>
      <w:pPr>
        <w:spacing w:after="0" w:line="225"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Included in total revenue of $352.4 million during the nine months ended September 30, 2020 is revenue from our Aftermarket business of $123.0 million, compared to $104.1 million for the nine months ended September 30, 2019. The remaining $229.4 million of revenue for the nine months ended September 30, 2020 was from system sales.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gross profit /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jc w:val="right"/>
              <w:ind w:right="364"/>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480" w:type="dxa"/>
            <w:vAlign w:val="bottom"/>
            <w:gridSpan w:val="5"/>
          </w:tcPr>
          <w:p>
            <w:pPr>
              <w:jc w:val="center"/>
              <w:ind w:right="168"/>
              <w:spacing w:after="0"/>
              <w:rPr>
                <w:sz w:val="20"/>
                <w:szCs w:val="20"/>
                <w:color w:val="auto"/>
              </w:rPr>
            </w:pPr>
            <w:r>
              <w:rPr>
                <w:rFonts w:ascii="Arial" w:cs="Arial" w:eastAsia="Arial" w:hAnsi="Arial"/>
                <w:sz w:val="14"/>
                <w:szCs w:val="14"/>
                <w:b w:val="1"/>
                <w:bCs w:val="1"/>
                <w:color w:val="auto"/>
                <w:w w:val="94"/>
              </w:rPr>
              <w:t>Period-to-Period</w:t>
            </w:r>
          </w:p>
        </w:tc>
        <w:tc>
          <w:tcPr>
            <w:tcW w:w="80" w:type="dxa"/>
            <w:vAlign w:val="bottom"/>
          </w:tcPr>
          <w:p>
            <w:pPr>
              <w:spacing w:after="0"/>
              <w:rPr>
                <w:sz w:val="14"/>
                <w:szCs w:val="14"/>
                <w:color w:val="auto"/>
              </w:rPr>
            </w:pPr>
          </w:p>
        </w:tc>
        <w:tc>
          <w:tcPr>
            <w:tcW w:w="1740" w:type="dxa"/>
            <w:vAlign w:val="bottom"/>
            <w:gridSpan w:val="6"/>
          </w:tcPr>
          <w:p>
            <w:pPr>
              <w:jc w:val="right"/>
              <w:ind w:right="339"/>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jc w:val="right"/>
              <w:ind w:right="524"/>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860" w:type="dxa"/>
            <w:vAlign w:val="bottom"/>
            <w:gridSpan w:val="3"/>
          </w:tcPr>
          <w:p>
            <w:pPr>
              <w:jc w:val="center"/>
              <w:ind w:left="307"/>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479"/>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left="224"/>
              <w:spacing w:after="0"/>
              <w:rPr>
                <w:sz w:val="20"/>
                <w:szCs w:val="20"/>
                <w:color w:val="auto"/>
              </w:rPr>
            </w:pPr>
            <w:r>
              <w:rPr>
                <w:rFonts w:ascii="Arial" w:cs="Arial" w:eastAsia="Arial" w:hAnsi="Arial"/>
                <w:sz w:val="14"/>
                <w:szCs w:val="14"/>
                <w:b w:val="1"/>
                <w:bCs w:val="1"/>
                <w:color w:val="auto"/>
                <w:w w:val="93"/>
              </w:rPr>
              <w:t>Change</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63"/>
              <w:spacing w:after="0" w:line="119"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81"/>
              <w:spacing w:after="0" w:line="119"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tcBorders>
          </w:tcPr>
          <w:p>
            <w:pPr>
              <w:jc w:val="right"/>
              <w:ind w:right="207"/>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123"/>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720" w:type="dxa"/>
            <w:vAlign w:val="bottom"/>
            <w:tcBorders>
              <w:top w:val="single" w:sz="8" w:color="auto"/>
            </w:tcBorders>
            <w:gridSpan w:val="2"/>
          </w:tcPr>
          <w:p>
            <w:pPr>
              <w:jc w:val="right"/>
              <w:ind w:right="108"/>
              <w:spacing w:after="0" w:line="119"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264"/>
              <w:spacing w:after="0" w:line="119" w:lineRule="exact"/>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203"/>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w:t>
            </w: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(dollars</w:t>
            </w:r>
          </w:p>
        </w:tc>
        <w:tc>
          <w:tcPr>
            <w:tcW w:w="300" w:type="dxa"/>
            <w:vAlign w:val="bottom"/>
            <w:gridSpan w:val="2"/>
            <w:vMerge w:val="continue"/>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thousands)</w:t>
            </w:r>
          </w:p>
        </w:tc>
        <w:tc>
          <w:tcPr>
            <w:tcW w:w="1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40" w:type="dxa"/>
            <w:vAlign w:val="bottom"/>
          </w:tcPr>
          <w:p>
            <w:pPr>
              <w:ind w:left="200"/>
              <w:spacing w:after="0"/>
              <w:rPr>
                <w:sz w:val="20"/>
                <w:szCs w:val="20"/>
                <w:color w:val="auto"/>
              </w:rPr>
            </w:pPr>
            <w:r>
              <w:rPr>
                <w:rFonts w:ascii="Arial" w:cs="Arial" w:eastAsia="Arial" w:hAnsi="Arial"/>
                <w:sz w:val="16"/>
                <w:szCs w:val="16"/>
                <w:color w:val="auto"/>
              </w:rPr>
              <w:t>Product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48,372</w:t>
            </w:r>
          </w:p>
        </w:tc>
        <w:tc>
          <w:tcPr>
            <w:tcW w:w="160" w:type="dxa"/>
            <w:vAlign w:val="bottom"/>
          </w:tcPr>
          <w:p>
            <w:pPr>
              <w:spacing w:after="0"/>
              <w:rPr>
                <w:sz w:val="18"/>
                <w:szCs w:val="18"/>
                <w:color w:val="auto"/>
              </w:rPr>
            </w:pPr>
          </w:p>
        </w:tc>
        <w:tc>
          <w:tcPr>
            <w:tcW w:w="220" w:type="dxa"/>
            <w:vAlign w:val="bottom"/>
            <w:gridSpan w:val="2"/>
          </w:tcPr>
          <w:p>
            <w:pPr>
              <w:jc w:val="right"/>
              <w:ind w:right="4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30,703</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6"/>
              </w:rPr>
              <w:t>$ 17,669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jc w:val="right"/>
              <w:spacing w:after="0"/>
              <w:rPr>
                <w:sz w:val="20"/>
                <w:szCs w:val="20"/>
                <w:color w:val="auto"/>
              </w:rPr>
            </w:pPr>
            <w:r>
              <w:rPr>
                <w:rFonts w:ascii="Arial" w:cs="Arial" w:eastAsia="Arial" w:hAnsi="Arial"/>
                <w:sz w:val="16"/>
                <w:szCs w:val="16"/>
                <w:i w:val="1"/>
                <w:iCs w:val="1"/>
                <w:color w:val="auto"/>
              </w:rPr>
              <w:t xml:space="preserve">57.5 % </w:t>
            </w:r>
            <w:r>
              <w:rPr>
                <w:rFonts w:ascii="Arial" w:cs="Arial" w:eastAsia="Arial" w:hAnsi="Arial"/>
                <w:sz w:val="16"/>
                <w:szCs w:val="16"/>
                <w:color w:val="auto"/>
              </w:rPr>
              <w:t>$ 145,008</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99,096</w:t>
            </w:r>
          </w:p>
        </w:tc>
        <w:tc>
          <w:tcPr>
            <w:tcW w:w="180" w:type="dxa"/>
            <w:vAlign w:val="bottom"/>
          </w:tcPr>
          <w:p>
            <w:pPr>
              <w:spacing w:after="0"/>
              <w:rPr>
                <w:sz w:val="18"/>
                <w:szCs w:val="18"/>
                <w:color w:val="auto"/>
              </w:rPr>
            </w:pPr>
          </w:p>
        </w:tc>
        <w:tc>
          <w:tcPr>
            <w:tcW w:w="2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45,912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i w:val="1"/>
                <w:iCs w:val="1"/>
                <w:color w:val="auto"/>
              </w:rPr>
              <w:t xml:space="preserve">46.3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4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w w:val="98"/>
              </w:rPr>
              <w:t>Product gross margin</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46.2 %</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47.8 %</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i w:val="1"/>
                <w:iCs w:val="1"/>
                <w:color w:val="auto"/>
              </w:rPr>
              <w:t>43.4 %</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45.6 %</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Services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i w:val="1"/>
                <w:iCs w:val="1"/>
                <w:color w:val="auto"/>
                <w:w w:val="92"/>
              </w:rPr>
              <w:t>(73.0)%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i w:val="1"/>
                <w:iCs w:val="1"/>
                <w:color w:val="auto"/>
              </w:rPr>
              <w:t>(18.8)</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40" w:type="dxa"/>
            <w:vAlign w:val="bottom"/>
          </w:tcPr>
          <w:p>
            <w:pPr>
              <w:ind w:left="320"/>
              <w:spacing w:after="0"/>
              <w:rPr>
                <w:sz w:val="20"/>
                <w:szCs w:val="20"/>
                <w:color w:val="auto"/>
              </w:rPr>
            </w:pPr>
            <w:r>
              <w:rPr>
                <w:rFonts w:ascii="Arial" w:cs="Arial" w:eastAsia="Arial" w:hAnsi="Arial"/>
                <w:sz w:val="16"/>
                <w:szCs w:val="16"/>
                <w:i w:val="1"/>
                <w:iCs w:val="1"/>
                <w:color w:val="auto"/>
                <w:w w:val="94"/>
              </w:rPr>
              <w:t>Services gross margin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i w:val="1"/>
                <w:iCs w:val="1"/>
                <w:color w:val="auto"/>
              </w:rPr>
              <w:t>(3.8)%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i w:val="1"/>
                <w:iCs w:val="1"/>
                <w:color w:val="auto"/>
              </w:rPr>
              <w:t>(2.4)%</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i w:val="1"/>
                <w:iCs w:val="1"/>
                <w:color w:val="auto"/>
              </w:rPr>
              <w:t>3.3 %</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i w:val="1"/>
                <w:iCs w:val="1"/>
                <w:color w:val="auto"/>
              </w:rPr>
              <w:t>4.1 %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84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gross profit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48,161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30,581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$ 17,580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CCEEFF"/>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i w:val="1"/>
                <w:iCs w:val="1"/>
                <w:color w:val="auto"/>
              </w:rPr>
              <w:t>57.5 %</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$ 145,609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99,836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i w:val="1"/>
                <w:iCs w:val="1"/>
                <w:color w:val="auto"/>
              </w:rPr>
              <w:t xml:space="preserve">45.8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vMerge w:val="restart"/>
          </w:tcPr>
          <w:p>
            <w:pPr>
              <w:ind w:left="420"/>
              <w:spacing w:after="0"/>
              <w:rPr>
                <w:sz w:val="20"/>
                <w:szCs w:val="20"/>
                <w:color w:val="auto"/>
              </w:rPr>
            </w:pPr>
            <w:r>
              <w:rPr>
                <w:rFonts w:ascii="Arial" w:cs="Arial" w:eastAsia="Arial" w:hAnsi="Arial"/>
                <w:sz w:val="16"/>
                <w:szCs w:val="16"/>
                <w:color w:val="auto"/>
              </w:rPr>
              <w:t>Gross margin</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i w:val="1"/>
                <w:iCs w:val="1"/>
                <w:color w:val="auto"/>
                <w:w w:val="74"/>
              </w:rPr>
              <w:t>%</w:t>
            </w: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i w:val="1"/>
                <w:iCs w:val="1"/>
                <w:color w:val="auto"/>
                <w:w w:val="74"/>
              </w:rPr>
              <w:t>%</w:t>
            </w: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i w:val="1"/>
                <w:iCs w:val="1"/>
                <w:color w:val="auto"/>
                <w:w w:val="74"/>
              </w:rPr>
              <w:t>%</w:t>
            </w: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i w:val="1"/>
                <w:iCs w:val="1"/>
                <w:color w:val="auto"/>
                <w:w w:val="84"/>
              </w:rPr>
              <w:t>%</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i w:val="1"/>
                <w:iCs w:val="1"/>
                <w:color w:val="auto"/>
              </w:rPr>
              <w:t>43.6</w:t>
            </w:r>
          </w:p>
        </w:tc>
        <w:tc>
          <w:tcPr>
            <w:tcW w:w="1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i w:val="1"/>
                <w:iCs w:val="1"/>
                <w:color w:val="auto"/>
              </w:rPr>
              <w:t>44.0</w:t>
            </w:r>
          </w:p>
        </w:tc>
        <w:tc>
          <w:tcPr>
            <w:tcW w:w="1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i w:val="1"/>
                <w:iCs w:val="1"/>
                <w:color w:val="auto"/>
              </w:rPr>
              <w:t>41.3</w:t>
            </w:r>
          </w:p>
        </w:tc>
        <w:tc>
          <w:tcPr>
            <w:tcW w:w="1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42.4</w:t>
            </w: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2020 Compared with Three months ended 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Gross margin from product revenue was 46.2% for the three months ended September 30, 2020, compared to 47.8% for the three months ended September 30, 2019. The decrease in gross margin resulted from a decreased mix of higher margin parts and upgrades and changes in the mix of Purion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Gross margin from services revenue was (3.8)% for the three month periods ended September 30, 2020, compared to (2.4)% for the three months ended September 30, 2019. The decrease in gross margin is attributable to changes in the mix of service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2020 Compared with Nine months ended 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Gross margin from product revenue was 43.4% for the nine months ended September 30, 2020, compared to 45.6% for the nine months ended September 30, 2019. The decrease in gross margin resulted from a decreased mix of higher margin parts and upgrades and changes in the mix of Purion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Gross margin from services revenue was 3.3% for the nine months ended September 30, 2020, compared to 4.1% for the nine months ended September 30, 2019. The decrease in gross margin is attributable to changes in the mix of service contracts.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268"/>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1560" w:type="dxa"/>
            <w:vAlign w:val="bottom"/>
            <w:gridSpan w:val="6"/>
          </w:tcPr>
          <w:p>
            <w:pPr>
              <w:ind w:left="60"/>
              <w:spacing w:after="0"/>
              <w:rPr>
                <w:sz w:val="20"/>
                <w:szCs w:val="20"/>
                <w:color w:val="auto"/>
              </w:rPr>
            </w:pPr>
            <w:r>
              <w:rPr>
                <w:rFonts w:ascii="Arial" w:cs="Arial" w:eastAsia="Arial" w:hAnsi="Arial"/>
                <w:sz w:val="14"/>
                <w:szCs w:val="14"/>
                <w:b w:val="1"/>
                <w:bCs w:val="1"/>
                <w:color w:val="auto"/>
              </w:rPr>
              <w:t>Period-to-Period</w:t>
            </w:r>
          </w:p>
        </w:tc>
        <w:tc>
          <w:tcPr>
            <w:tcW w:w="160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4"/>
                <w:szCs w:val="14"/>
                <w:color w:val="auto"/>
              </w:rPr>
            </w:pPr>
          </w:p>
        </w:tc>
        <w:tc>
          <w:tcPr>
            <w:tcW w:w="17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42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20" w:type="dxa"/>
            <w:vAlign w:val="bottom"/>
            <w:gridSpan w:val="3"/>
          </w:tcPr>
          <w:p>
            <w:pPr>
              <w:ind w:left="340"/>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80" w:type="dxa"/>
            <w:vAlign w:val="bottom"/>
            <w:gridSpan w:val="3"/>
          </w:tcPr>
          <w:p>
            <w:pPr>
              <w:jc w:val="center"/>
              <w:ind w:left="268"/>
              <w:spacing w:after="0"/>
              <w:rPr>
                <w:sz w:val="20"/>
                <w:szCs w:val="20"/>
                <w:color w:val="auto"/>
              </w:rPr>
            </w:pPr>
            <w:r>
              <w:rPr>
                <w:rFonts w:ascii="Arial" w:cs="Arial" w:eastAsia="Arial" w:hAnsi="Arial"/>
                <w:sz w:val="14"/>
                <w:szCs w:val="14"/>
                <w:b w:val="1"/>
                <w:bCs w:val="1"/>
                <w:color w:val="auto"/>
                <w:w w:val="89"/>
              </w:rPr>
              <w:t>Change</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87"/>
              </w:rPr>
              <w:t>(dollars in thousands)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6"/>
              </w:rPr>
              <w:t>1,937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 xml:space="preserve">15.0 </w:t>
            </w:r>
            <w:r>
              <w:rPr>
                <w:rFonts w:ascii="Arial" w:cs="Arial" w:eastAsia="Arial" w:hAnsi="Arial"/>
                <w:sz w:val="14"/>
                <w:szCs w:val="14"/>
                <w:color w:val="auto"/>
              </w:rPr>
              <w:t>% $</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45,513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40,335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i w:val="1"/>
                <w:iCs w:val="1"/>
                <w:color w:val="auto"/>
              </w:rPr>
              <w:t xml:space="preserve">12.8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13.5 %</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18.6 %</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12.9 %</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17.1 %</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6"/>
              </w:rPr>
              <w:t>1,706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i w:val="1"/>
                <w:iCs w:val="1"/>
                <w:color w:val="auto"/>
              </w:rPr>
              <w:t xml:space="preserve">21.2 </w:t>
            </w: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27,404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25,411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i w:val="1"/>
                <w:iCs w:val="1"/>
                <w:color w:val="auto"/>
              </w:rPr>
              <w:t xml:space="preserve">7.8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8.8 %</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11.6 %</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7.8 %</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10.8 %</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7,707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6"/>
              </w:rPr>
              <w:t>1,942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i w:val="1"/>
                <w:iCs w:val="1"/>
                <w:color w:val="auto"/>
              </w:rPr>
              <w:t xml:space="preserve">25.2 </w:t>
            </w: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28,726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23,097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i w:val="1"/>
                <w:iCs w:val="1"/>
                <w:color w:val="auto"/>
              </w:rPr>
              <w:t xml:space="preserve">24.4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8.7 %</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11.1 %</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8.2 %</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9.8 %</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operating expenses</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34,279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28,694</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w w:val="96"/>
              </w:rPr>
              <w:t>5,585</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i w:val="1"/>
                <w:iCs w:val="1"/>
                <w:color w:val="auto"/>
              </w:rPr>
              <w:t xml:space="preserve">19.5 </w:t>
            </w: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101,643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88,843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12,800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i w:val="1"/>
                <w:iCs w:val="1"/>
                <w:color w:val="auto"/>
              </w:rPr>
              <w:t xml:space="preserve">14.4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20" w:type="dxa"/>
            <w:vAlign w:val="bottom"/>
            <w:vMerge w:val="restart"/>
          </w:tcPr>
          <w:p>
            <w:pPr>
              <w:ind w:left="320"/>
              <w:spacing w:after="0"/>
              <w:rPr>
                <w:sz w:val="20"/>
                <w:szCs w:val="20"/>
                <w:color w:val="auto"/>
              </w:rPr>
            </w:pPr>
            <w:r>
              <w:rPr>
                <w:rFonts w:ascii="Arial" w:cs="Arial" w:eastAsia="Arial" w:hAnsi="Arial"/>
                <w:sz w:val="14"/>
                <w:szCs w:val="14"/>
                <w:i w:val="1"/>
                <w:iCs w:val="1"/>
                <w:color w:val="auto"/>
              </w:rPr>
              <w:t>Percentage of revenue</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79"/>
              </w:rPr>
              <w:t>%</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96"/>
              </w:rPr>
              <w:t>%</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79"/>
              </w:rPr>
              <w:t>%</w:t>
            </w: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96"/>
              </w:rPr>
              <w:t>%</w:t>
            </w: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i w:val="1"/>
                <w:iCs w:val="1"/>
                <w:color w:val="auto"/>
              </w:rPr>
              <w:t>31.0</w:t>
            </w: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i w:val="1"/>
                <w:iCs w:val="1"/>
                <w:color w:val="auto"/>
              </w:rPr>
              <w:t>41.3</w:t>
            </w: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i w:val="1"/>
                <w:iCs w:val="1"/>
                <w:color w:val="auto"/>
              </w:rPr>
              <w:t>28.9</w:t>
            </w:r>
          </w:p>
        </w:tc>
        <w:tc>
          <w:tcPr>
            <w:tcW w:w="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i w:val="1"/>
                <w:iCs w:val="1"/>
                <w:color w:val="auto"/>
              </w:rPr>
              <w:t>37.7</w:t>
            </w:r>
          </w:p>
        </w:tc>
        <w:tc>
          <w:tcPr>
            <w:tcW w:w="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Our operating expenses consist primarily of personnel costs, including salaries, commissions, expected incentive plan payouts, stock-based compensation and related benefits and taxes; project material costs related to the design and development of new products and enhancement of existing products; and professional fees, travel and depreciation expenses.</w:t>
      </w:r>
    </w:p>
    <w:p>
      <w:pPr>
        <w:spacing w:after="0" w:line="14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Personnel costs are our largest expense, representing $22.2 million or 64.8% of our total operating expenses for the three month period ended September 30, 2020, compared to $16.9 million or 58.5% of our total operating expenses for the three month period ended September 30, 2019. Personnel costs were $65.0 million or 63.9% of our total operating expenses for the nine month period ended September 30, 2020, compared to $52.6 million or 59.0% of our total operating expenses for the nine month period ended September 30, 2019. The higher personnel costs for the three and nine month periods ended September 30, 2020 are primarily due to higher incentive based pay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5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Three months ended</w:t>
            </w: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rPr>
              <w:t>Period-to-Period</w:t>
            </w:r>
          </w:p>
        </w:tc>
        <w:tc>
          <w:tcPr>
            <w:tcW w:w="1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6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Period-to-Period</w:t>
            </w:r>
          </w:p>
        </w:tc>
      </w:tr>
      <w:tr>
        <w:trPr>
          <w:trHeight w:val="171"/>
        </w:trPr>
        <w:tc>
          <w:tcPr>
            <w:tcW w:w="266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262"/>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209"/>
        </w:trPr>
        <w:tc>
          <w:tcPr>
            <w:tcW w:w="2660" w:type="dxa"/>
            <w:vAlign w:val="bottom"/>
          </w:tcPr>
          <w:p>
            <w:pPr>
              <w:spacing w:after="0"/>
              <w:rPr>
                <w:sz w:val="18"/>
                <w:szCs w:val="18"/>
                <w:color w:val="auto"/>
              </w:rPr>
            </w:pP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70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r>
      <w:tr>
        <w:trPr>
          <w:trHeight w:val="129"/>
        </w:trPr>
        <w:tc>
          <w:tcPr>
            <w:tcW w:w="2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8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$ 14,867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$ 12,930</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3"/>
              </w:rPr>
              <w:t>$ 1,937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 xml:space="preserve">15.0 </w:t>
            </w: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45,513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5,178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i w:val="1"/>
                <w:iCs w:val="1"/>
                <w:color w:val="auto"/>
              </w:rPr>
              <w:t xml:space="preserve">12.8 </w:t>
            </w:r>
            <w:r>
              <w:rPr>
                <w:rFonts w:ascii="Arial" w:cs="Arial" w:eastAsia="Arial" w:hAnsi="Arial"/>
                <w:sz w:val="16"/>
                <w:szCs w:val="16"/>
                <w:color w:val="auto"/>
              </w:rPr>
              <w:t>%</w:t>
            </w:r>
          </w:p>
        </w:tc>
      </w:tr>
      <w:tr>
        <w:trPr>
          <w:trHeight w:val="210"/>
        </w:trPr>
        <w:tc>
          <w:tcPr>
            <w:tcW w:w="266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13.5 %</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18.6 %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12.9 %</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17.1 %</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20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ability to remain competitive depends largely on continuously developing innovative technology, with new and enhanced features and systems and introducing them at competitive prices on a timely basis. Accordingly, based on our strategic plan, we establish annual R&amp;D budgets to fund programs that we expect will solve customers’ high value, high impact, ion implantation challenges.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2020 Compared with Three months ended September 30, 2019</w:t>
      </w:r>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Research and development expense was $14.9 million during the three months ended September 30, 2020, an increase of $1.9 million, or 15.0%, compared with $12.9 million during the three months ended September 30, 2019. The increase is primarily due to higher incentive based pay expense, supplies and materials costs for ongoing projects and increased depreciation associated with capital additions.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2020 Compared with Nine months ended September 30, 2019</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was $45.5 million during the nine months ended September 30, 2020, an increase of $5.2 million, or 12.8%, compared with $40.3 million during the nine months ended September 30, 2019. The increase is primarily due to higher incentive based pay expense and costs for ongoing projects and increased depreciation associated with capital additions.</w:t>
      </w:r>
    </w:p>
    <w:p>
      <w:pPr>
        <w:sectPr>
          <w:pgSz w:w="11900" w:h="16838" w:orient="portrait"/>
          <w:cols w:equalWidth="0" w:num="1">
            <w:col w:w="9120"/>
          </w:cols>
          <w:pgMar w:left="1380" w:top="51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0"/>
              </w:rPr>
              <w:t>Three months ended</w:t>
            </w:r>
          </w:p>
        </w:tc>
        <w:tc>
          <w:tcPr>
            <w:tcW w:w="1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Period-to-Period</w:t>
            </w:r>
          </w:p>
        </w:tc>
        <w:tc>
          <w:tcPr>
            <w:tcW w:w="16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16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Period-to-Period</w:t>
            </w:r>
          </w:p>
        </w:tc>
      </w:tr>
      <w:tr>
        <w:trPr>
          <w:trHeight w:val="171"/>
        </w:trPr>
        <w:tc>
          <w:tcPr>
            <w:tcW w:w="3020" w:type="dxa"/>
            <w:vAlign w:val="bottom"/>
          </w:tcPr>
          <w:p>
            <w:pPr>
              <w:spacing w:after="0"/>
              <w:rPr>
                <w:sz w:val="14"/>
                <w:szCs w:val="14"/>
                <w:color w:val="auto"/>
              </w:rPr>
            </w:pPr>
          </w:p>
        </w:tc>
        <w:tc>
          <w:tcPr>
            <w:tcW w:w="14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gridSpan w:val="3"/>
          </w:tcPr>
          <w:p>
            <w:pPr>
              <w:jc w:val="center"/>
              <w:ind w:left="306"/>
              <w:spacing w:after="0"/>
              <w:rPr>
                <w:sz w:val="20"/>
                <w:szCs w:val="20"/>
                <w:color w:val="auto"/>
              </w:rPr>
            </w:pPr>
            <w:r>
              <w:rPr>
                <w:rFonts w:ascii="Arial" w:cs="Arial" w:eastAsia="Arial" w:hAnsi="Arial"/>
                <w:sz w:val="14"/>
                <w:szCs w:val="14"/>
                <w:b w:val="1"/>
                <w:bCs w:val="1"/>
                <w:color w:val="auto"/>
                <w:w w:val="89"/>
              </w:rPr>
              <w:t>Change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jc w:val="center"/>
              <w:ind w:left="326"/>
              <w:spacing w:after="0"/>
              <w:rPr>
                <w:sz w:val="20"/>
                <w:szCs w:val="20"/>
                <w:color w:val="auto"/>
              </w:rPr>
            </w:pPr>
            <w:r>
              <w:rPr>
                <w:rFonts w:ascii="Arial" w:cs="Arial" w:eastAsia="Arial" w:hAnsi="Arial"/>
                <w:sz w:val="14"/>
                <w:szCs w:val="14"/>
                <w:b w:val="1"/>
                <w:bCs w:val="1"/>
                <w:color w:val="auto"/>
                <w:w w:val="89"/>
              </w:rPr>
              <w:t>Change</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42"/>
        </w:trPr>
        <w:tc>
          <w:tcPr>
            <w:tcW w:w="30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r>
      <w:tr>
        <w:trPr>
          <w:trHeight w:val="129"/>
        </w:trPr>
        <w:tc>
          <w:tcPr>
            <w:tcW w:w="3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0"/>
              </w:rPr>
              <w:t>(dollars in thousands)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$ 9,763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$ 8,057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$ 1,706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40"/>
              <w:spacing w:after="0"/>
              <w:rPr>
                <w:sz w:val="20"/>
                <w:szCs w:val="20"/>
                <w:color w:val="auto"/>
              </w:rPr>
            </w:pPr>
            <w:r>
              <w:rPr>
                <w:rFonts w:ascii="Arial" w:cs="Arial" w:eastAsia="Arial" w:hAnsi="Arial"/>
                <w:sz w:val="16"/>
                <w:szCs w:val="16"/>
                <w:i w:val="1"/>
                <w:iCs w:val="1"/>
                <w:color w:val="auto"/>
                <w:w w:val="99"/>
              </w:rPr>
              <w:t xml:space="preserve">21.2 </w:t>
            </w:r>
            <w:r>
              <w:rPr>
                <w:rFonts w:ascii="Arial" w:cs="Arial" w:eastAsia="Arial" w:hAnsi="Arial"/>
                <w:sz w:val="16"/>
                <w:szCs w:val="16"/>
                <w:color w:val="auto"/>
                <w:w w:val="99"/>
              </w:rPr>
              <w:t>% $ 27,404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$ 25,411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$ 1,993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i w:val="1"/>
                <w:iCs w:val="1"/>
                <w:color w:val="auto"/>
              </w:rPr>
              <w:t xml:space="preserve">7.8 </w:t>
            </w:r>
            <w:r>
              <w:rPr>
                <w:rFonts w:ascii="Arial" w:cs="Arial" w:eastAsia="Arial" w:hAnsi="Arial"/>
                <w:sz w:val="16"/>
                <w:szCs w:val="16"/>
                <w:color w:val="auto"/>
              </w:rPr>
              <w:t>%</w:t>
            </w:r>
          </w:p>
        </w:tc>
      </w:tr>
      <w:tr>
        <w:trPr>
          <w:trHeight w:val="210"/>
        </w:trPr>
        <w:tc>
          <w:tcPr>
            <w:tcW w:w="302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8.8 %</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11.6 %</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7.8 %</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10.8 %</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r>
    </w:tbl>
    <w:p>
      <w:pPr>
        <w:spacing w:after="0" w:line="20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sales and marketing expenses result primarily from the sale of our equipment and services through our direct sales force.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2020 Compared with Three months ended September 30, 2019</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Sales and marketing expense was $9.8 million during the three months ended September 30, 2020, an increase of $1.7 million, or 21.2%, compared with $8.1 million during the three months ended September 30, 2019. The increase is primarily due to higher incentive based pay and commission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2020 Compared with Nine months ended September 30, 2019</w:t>
      </w:r>
    </w:p>
    <w:p>
      <w:pPr>
        <w:spacing w:after="0" w:line="22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Sales and marketing expense was $27.4 million during the nine months ended September 30, 2020, an increase of $2.0 million, or 7.8%, compared with $25.4 million during the nine months ended September 30, 2019. The increase is primarily due to higher incentive based pay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4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0"/>
              </w:rPr>
              <w:t>Three months ended</w:t>
            </w:r>
          </w:p>
        </w:tc>
        <w:tc>
          <w:tcPr>
            <w:tcW w:w="150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92"/>
              </w:rPr>
              <w:t>Period-to-Period</w:t>
            </w:r>
          </w:p>
        </w:tc>
        <w:tc>
          <w:tcPr>
            <w:tcW w:w="16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16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14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89"/>
              </w:rPr>
              <w:t>Change</w:t>
            </w:r>
          </w:p>
        </w:tc>
        <w:tc>
          <w:tcPr>
            <w:tcW w:w="16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jc w:val="center"/>
              <w:ind w:left="306"/>
              <w:spacing w:after="0"/>
              <w:rPr>
                <w:sz w:val="20"/>
                <w:szCs w:val="20"/>
                <w:color w:val="auto"/>
              </w:rPr>
            </w:pPr>
            <w:r>
              <w:rPr>
                <w:rFonts w:ascii="Arial" w:cs="Arial" w:eastAsia="Arial" w:hAnsi="Arial"/>
                <w:sz w:val="14"/>
                <w:szCs w:val="14"/>
                <w:b w:val="1"/>
                <w:bCs w:val="1"/>
                <w:color w:val="auto"/>
                <w:w w:val="89"/>
              </w:rPr>
              <w:t>Change</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79"/>
              </w:rPr>
              <w:t>in</w:t>
            </w:r>
          </w:p>
        </w:tc>
        <w:tc>
          <w:tcPr>
            <w:tcW w:w="64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w w:val="96"/>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60"/>
              <w:spacing w:after="0" w:line="129" w:lineRule="exact"/>
              <w:rPr>
                <w:sz w:val="20"/>
                <w:szCs w:val="20"/>
                <w:color w:val="auto"/>
              </w:rPr>
            </w:pPr>
            <w:r>
              <w:rPr>
                <w:rFonts w:ascii="Arial" w:cs="Arial" w:eastAsia="Arial" w:hAnsi="Arial"/>
                <w:sz w:val="14"/>
                <w:szCs w:val="14"/>
                <w:b w:val="1"/>
                <w:bCs w:val="1"/>
                <w:color w:val="auto"/>
                <w:w w:val="75"/>
              </w:rPr>
              <w:t>(dollars</w:t>
            </w:r>
          </w:p>
        </w:tc>
        <w:tc>
          <w:tcPr>
            <w:tcW w:w="220" w:type="dxa"/>
            <w:vAlign w:val="bottom"/>
            <w:vMerge w:val="continue"/>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$ 9,649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$ 7,707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1,942</w:t>
            </w: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w w:val="99"/>
              </w:rPr>
              <w:t xml:space="preserve">25.2 </w:t>
            </w:r>
            <w:r>
              <w:rPr>
                <w:rFonts w:ascii="Arial" w:cs="Arial" w:eastAsia="Arial" w:hAnsi="Arial"/>
                <w:sz w:val="16"/>
                <w:szCs w:val="16"/>
                <w:color w:val="auto"/>
                <w:w w:val="99"/>
              </w:rPr>
              <w:t>% $ 28,726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$ 23,097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$ 5,629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i w:val="1"/>
                <w:iCs w:val="1"/>
                <w:color w:val="auto"/>
              </w:rPr>
              <w:t xml:space="preserve">24.4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90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8.7 %</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11.1 %</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8.2 %</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9.8 %</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general and administrative expenses result primarily from the costs associated with our executive, finance, information technology, legal and human resource functions.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2020 Compared with Three months ended September 30, 2019</w:t>
      </w:r>
    </w:p>
    <w:p>
      <w:pPr>
        <w:spacing w:after="0" w:line="14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General and administrative expense was $9.6 million during the three months ended September 30, 2020, an increase of $1.9 million, or 25.2%, compared with $7.7 million during the three months ended September 30, 2019. The increase is primarily due to an increase in incentive based pay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2020 Compared with Nine months ended September 30, 2019</w:t>
      </w:r>
    </w:p>
    <w:p>
      <w:pPr>
        <w:spacing w:after="0" w:line="144"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General and administrative expense was $28.7 million during the nine months ended September 30, 2020, an increase of $5.6 million, or 24.4%, compared with $23.1 million during the nine months ended September 30, 2019. The increase is primarily due to an increase in incentive based pay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1460" w:type="dxa"/>
            <w:vAlign w:val="bottom"/>
            <w:gridSpan w:val="4"/>
          </w:tcPr>
          <w:p>
            <w:pPr>
              <w:jc w:val="center"/>
              <w:ind w:right="288"/>
              <w:spacing w:after="0"/>
              <w:rPr>
                <w:sz w:val="20"/>
                <w:szCs w:val="20"/>
                <w:color w:val="auto"/>
              </w:rPr>
            </w:pPr>
            <w:r>
              <w:rPr>
                <w:rFonts w:ascii="Arial" w:cs="Arial" w:eastAsia="Arial" w:hAnsi="Arial"/>
                <w:sz w:val="14"/>
                <w:szCs w:val="14"/>
                <w:b w:val="1"/>
                <w:bCs w:val="1"/>
                <w:color w:val="auto"/>
                <w:w w:val="93"/>
              </w:rPr>
              <w:t>Period-to-period</w:t>
            </w:r>
          </w:p>
        </w:tc>
        <w:tc>
          <w:tcPr>
            <w:tcW w:w="16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Period-to-period</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460" w:type="dxa"/>
            <w:vAlign w:val="bottom"/>
            <w:gridSpan w:val="4"/>
          </w:tcPr>
          <w:p>
            <w:pPr>
              <w:jc w:val="center"/>
              <w:ind w:right="288"/>
              <w:spacing w:after="0"/>
              <w:rPr>
                <w:sz w:val="20"/>
                <w:szCs w:val="20"/>
                <w:color w:val="auto"/>
              </w:rPr>
            </w:pPr>
            <w:r>
              <w:rPr>
                <w:rFonts w:ascii="Arial" w:cs="Arial" w:eastAsia="Arial" w:hAnsi="Arial"/>
                <w:sz w:val="14"/>
                <w:szCs w:val="14"/>
                <w:b w:val="1"/>
                <w:bCs w:val="1"/>
                <w:color w:val="auto"/>
                <w:w w:val="85"/>
              </w:rPr>
              <w:t>change</w:t>
            </w:r>
          </w:p>
        </w:tc>
        <w:tc>
          <w:tcPr>
            <w:tcW w:w="16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20" w:type="dxa"/>
            <w:vAlign w:val="bottom"/>
            <w:gridSpan w:val="3"/>
          </w:tcPr>
          <w:p>
            <w:pPr>
              <w:jc w:val="center"/>
              <w:ind w:left="226"/>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in</w:t>
            </w:r>
          </w:p>
        </w:tc>
        <w:tc>
          <w:tcPr>
            <w:tcW w:w="660" w:type="dxa"/>
            <w:vAlign w:val="bottom"/>
            <w:tcBorders>
              <w:top w:val="single" w:sz="8" w:color="auto"/>
              <w:bottom w:val="single" w:sz="8" w:color="auto"/>
            </w:tcBorders>
          </w:tcPr>
          <w:p>
            <w:pPr>
              <w:jc w:val="right"/>
              <w:ind w:right="10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240" w:type="dxa"/>
            <w:vAlign w:val="bottom"/>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Other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3"/>
              </w:rPr>
              <w:t>$  (1,511)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(1,221)</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i w:val="1"/>
                <w:iCs w:val="1"/>
                <w:color w:val="auto"/>
              </w:rPr>
              <w:t>(80.8)</w:t>
            </w: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  (2,539)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i w:val="1"/>
                <w:iCs w:val="1"/>
                <w:color w:val="auto"/>
              </w:rPr>
              <w:t>(6.9)</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66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i w:val="1"/>
                <w:iCs w:val="1"/>
                <w:color w:val="auto"/>
              </w:rPr>
              <w:t>(0.3)%</w:t>
            </w:r>
          </w:p>
        </w:tc>
        <w:tc>
          <w:tcPr>
            <w:tcW w:w="800" w:type="dxa"/>
            <w:vAlign w:val="bottom"/>
            <w:gridSpan w:val="2"/>
          </w:tcPr>
          <w:p>
            <w:pPr>
              <w:jc w:val="right"/>
              <w:spacing w:after="0"/>
              <w:rPr>
                <w:sz w:val="20"/>
                <w:szCs w:val="20"/>
                <w:color w:val="auto"/>
              </w:rPr>
            </w:pPr>
            <w:r>
              <w:rPr>
                <w:rFonts w:ascii="Arial" w:cs="Arial" w:eastAsia="Arial" w:hAnsi="Arial"/>
                <w:sz w:val="16"/>
                <w:szCs w:val="16"/>
                <w:i w:val="1"/>
                <w:iCs w:val="1"/>
                <w:color w:val="auto"/>
              </w:rPr>
              <w:t>(2.2)%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i w:val="1"/>
                <w:iCs w:val="1"/>
                <w:color w:val="auto"/>
              </w:rPr>
              <w:t>(0.7)%</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i w:val="1"/>
                <w:iCs w:val="1"/>
                <w:color w:val="auto"/>
              </w:rPr>
              <w:t>(1.1)%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380" w:top="517" w:right="139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Other (expense) income consists primarily of interest expense relating to the finance lease obligation we incurred in connection with the 2015 sale of our headquarters facility and other financing obligations, foreign exchange gains and losses attributable to fluctuations of the US dollar against local currencies of certain of the countries in which we operate as well as interest earned on our invested cash balances.</w:t>
      </w:r>
    </w:p>
    <w:p>
      <w:pPr>
        <w:spacing w:after="0" w:line="18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Other expense was $0.3 million for the three months ended September 30, 2020, compared with $1.5 million for the three months ended September 30, 2019. The decrease in other expense of $1.2 million for the three month period ended September 30, 2020 compared to the three month period ended September 30, 2019, was primarily due to foreign currency exchange gains of $0.8 million in the current year period compared to foreign currency exchange losses of $0.7 million in the same period in the prior year. This was partially offset by a reduction of $0.6 million in interest income for the three month period ended September 30, 2020 compared to the three month period ended September 30, 2019.</w:t>
      </w:r>
    </w:p>
    <w:p>
      <w:pPr>
        <w:spacing w:after="0" w:line="16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Other expense was $2.5 million for the nine months ended September 30, 2020, compared with $2.7 million for the nine months ended September 30, 2019. The decrease in other expense of $0.2 million for the nine month period ended September 30, 2020 compared to the nine month period ended September 30, 2019, was primarily due to foreign currency exchange gains, slightly offset by reduced interest income in the current year period compared to foreign currency exchange losses in the prior year.</w:t>
      </w:r>
    </w:p>
    <w:p>
      <w:pPr>
        <w:spacing w:after="0" w:line="10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During the nine month periods ended September 30, 2020 and 2019, we had no significant off-balance-sheet risk such as exchange contracts, option contracts or other hedging arrangements.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6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7"/>
              </w:rPr>
              <w:t>Three months ended</w:t>
            </w:r>
          </w:p>
        </w:tc>
        <w:tc>
          <w:tcPr>
            <w:tcW w:w="120" w:type="dxa"/>
            <w:vAlign w:val="bottom"/>
          </w:tcPr>
          <w:p>
            <w:pPr>
              <w:spacing w:after="0"/>
              <w:rPr>
                <w:sz w:val="14"/>
                <w:szCs w:val="14"/>
                <w:color w:val="auto"/>
              </w:rPr>
            </w:pPr>
          </w:p>
        </w:tc>
        <w:tc>
          <w:tcPr>
            <w:tcW w:w="1520" w:type="dxa"/>
            <w:vAlign w:val="bottom"/>
            <w:gridSpan w:val="5"/>
          </w:tcPr>
          <w:p>
            <w:pPr>
              <w:jc w:val="center"/>
              <w:ind w:right="348"/>
              <w:spacing w:after="0"/>
              <w:rPr>
                <w:sz w:val="20"/>
                <w:szCs w:val="20"/>
                <w:color w:val="auto"/>
              </w:rPr>
            </w:pPr>
            <w:r>
              <w:rPr>
                <w:rFonts w:ascii="Arial" w:cs="Arial" w:eastAsia="Arial" w:hAnsi="Arial"/>
                <w:sz w:val="14"/>
                <w:szCs w:val="14"/>
                <w:b w:val="1"/>
                <w:bCs w:val="1"/>
                <w:color w:val="auto"/>
                <w:w w:val="93"/>
              </w:rPr>
              <w:t>Period-to-period</w:t>
            </w:r>
          </w:p>
        </w:tc>
        <w:tc>
          <w:tcPr>
            <w:tcW w:w="16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600" w:type="dxa"/>
            <w:vAlign w:val="bottom"/>
            <w:gridSpan w:val="5"/>
          </w:tcPr>
          <w:p>
            <w:pPr>
              <w:ind w:left="60"/>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6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780" w:type="dxa"/>
            <w:vAlign w:val="bottom"/>
            <w:gridSpan w:val="3"/>
          </w:tcPr>
          <w:p>
            <w:pPr>
              <w:jc w:val="center"/>
              <w:ind w:left="246"/>
              <w:spacing w:after="0"/>
              <w:rPr>
                <w:sz w:val="20"/>
                <w:szCs w:val="20"/>
                <w:color w:val="auto"/>
              </w:rPr>
            </w:pPr>
            <w:r>
              <w:rPr>
                <w:rFonts w:ascii="Arial" w:cs="Arial" w:eastAsia="Arial" w:hAnsi="Arial"/>
                <w:sz w:val="14"/>
                <w:szCs w:val="14"/>
                <w:b w:val="1"/>
                <w:bCs w:val="1"/>
                <w:color w:val="auto"/>
                <w:w w:val="85"/>
              </w:rPr>
              <w:t>change</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20" w:type="dxa"/>
            <w:vAlign w:val="bottom"/>
            <w:gridSpan w:val="3"/>
          </w:tcPr>
          <w:p>
            <w:pPr>
              <w:ind w:left="34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w:t>
            </w:r>
          </w:p>
        </w:tc>
        <w:tc>
          <w:tcPr>
            <w:tcW w:w="620" w:type="dxa"/>
            <w:vAlign w:val="bottom"/>
            <w:tcBorders>
              <w:top w:val="single" w:sz="8" w:color="auto"/>
              <w:bottom w:val="single" w:sz="8" w:color="auto"/>
            </w:tcBorders>
          </w:tcPr>
          <w:p>
            <w:pPr>
              <w:jc w:val="right"/>
              <w:ind w:right="8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60"/>
              <w:spacing w:after="0" w:line="129" w:lineRule="exact"/>
              <w:rPr>
                <w:sz w:val="20"/>
                <w:szCs w:val="20"/>
                <w:color w:val="auto"/>
              </w:rPr>
            </w:pPr>
            <w:r>
              <w:rPr>
                <w:rFonts w:ascii="Arial" w:cs="Arial" w:eastAsia="Arial" w:hAnsi="Arial"/>
                <w:sz w:val="14"/>
                <w:szCs w:val="14"/>
                <w:b w:val="1"/>
                <w:bCs w:val="1"/>
                <w:color w:val="auto"/>
                <w:w w:val="71"/>
              </w:rPr>
              <w:t>(dollars</w:t>
            </w:r>
          </w:p>
        </w:tc>
        <w:tc>
          <w:tcPr>
            <w:tcW w:w="300" w:type="dxa"/>
            <w:vAlign w:val="bottom"/>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9"/>
              </w:rPr>
              <w:t>thousands)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 (benefit)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2,807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(328)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i w:val="1"/>
                <w:iCs w:val="1"/>
                <w:color w:val="auto"/>
                <w:w w:val="95"/>
              </w:rPr>
              <w:t xml:space="preserve">955.8 </w:t>
            </w:r>
            <w:r>
              <w:rPr>
                <w:rFonts w:ascii="Arial" w:cs="Arial" w:eastAsia="Arial" w:hAnsi="Arial"/>
                <w:sz w:val="16"/>
                <w:szCs w:val="16"/>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6,119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60"/>
              <w:spacing w:after="0"/>
              <w:rPr>
                <w:sz w:val="20"/>
                <w:szCs w:val="20"/>
                <w:color w:val="auto"/>
              </w:rPr>
            </w:pPr>
            <w:r>
              <w:rPr>
                <w:rFonts w:ascii="Arial" w:cs="Arial" w:eastAsia="Arial" w:hAnsi="Arial"/>
                <w:sz w:val="16"/>
                <w:szCs w:val="16"/>
                <w:color w:val="auto"/>
                <w:w w:val="99"/>
              </w:rPr>
              <w:t>5,176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 xml:space="preserve">548.9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520" w:type="dxa"/>
            <w:vAlign w:val="bottom"/>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i w:val="1"/>
                <w:iCs w:val="1"/>
                <w:color w:val="auto"/>
              </w:rPr>
              <w:t>2.5 %</w:t>
            </w:r>
          </w:p>
        </w:tc>
        <w:tc>
          <w:tcPr>
            <w:tcW w:w="800" w:type="dxa"/>
            <w:vAlign w:val="bottom"/>
            <w:gridSpan w:val="2"/>
          </w:tcPr>
          <w:p>
            <w:pPr>
              <w:jc w:val="right"/>
              <w:spacing w:after="0"/>
              <w:rPr>
                <w:sz w:val="20"/>
                <w:szCs w:val="20"/>
                <w:color w:val="auto"/>
              </w:rPr>
            </w:pPr>
            <w:r>
              <w:rPr>
                <w:rFonts w:ascii="Arial" w:cs="Arial" w:eastAsia="Arial" w:hAnsi="Arial"/>
                <w:sz w:val="16"/>
                <w:szCs w:val="16"/>
                <w:i w:val="1"/>
                <w:iCs w:val="1"/>
                <w:color w:val="auto"/>
              </w:rPr>
              <w:t>(0.5)%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i w:val="1"/>
                <w:iCs w:val="1"/>
                <w:color w:val="auto"/>
              </w:rPr>
              <w:t>%</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 xml:space="preserve">0.4 </w:t>
            </w:r>
            <w:r>
              <w:rPr>
                <w:rFonts w:ascii="Arial" w:cs="Arial" w:eastAsia="Arial" w:hAnsi="Arial"/>
                <w:sz w:val="16"/>
                <w:szCs w:val="16"/>
                <w:i w:val="1"/>
                <w:iCs w:val="1"/>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Income tax expense was $2.8 million for the three months ended September 30, 2020, compared to a $0.3 million benefit for the three months ended September 30, 2019. The $3.1 million increase was primarily due to a $13.2 million increase in pretax income. The income tax provision was $6.1 million during the nine months ended September 30, 2020, compared to $0.9 million for the nine months ended September 30, 2019. The $5.2 million increase was primarily due to a $33.2 million increase in pretax income partially offset by a $2.0 million tax benefit relating to equity compensation. The effective tax rate for the three and nine months ended September 30, 2020 and 2019, respectively, was less than the U.S. statutory rate of 21% due to favorable discrete items related to equity compensation in those periods and Federal research and development tax credits that reduce the annual tax rate.</w:t>
      </w:r>
    </w:p>
    <w:p>
      <w:pPr>
        <w:spacing w:after="0" w:line="17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We had $58.2 million and $68.1 million of net deferred tax assets worldwide relating to net operating loss carryforwards, tax credit carryforwards and other temporary differences, as of September 30, 2020 and December 31, 2019, respectively. These deferred tax assets are available to reduce income taxes in future years. We have a $9.2 million valuation allowance in the U.S. against certain tax credits and state net operating losses due to the uncertainty of their realization based on long-term Company forecasts and the expiration dates on these tax assets. If future operating results of the Company within the U.S. or these foreign jurisdictions are significantly less than our expectations, it is reasonably possible that we would be required to record an additional valuation allowance on our deferred tax assets in the future.</w:t>
      </w:r>
    </w:p>
    <w:p>
      <w:pPr>
        <w:spacing w:after="0" w:line="166"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On March 27, 2020, the President of the United States signed into law the Coronavirus Aid, Relief, and Economic Security Act ("CARES Act"). The CARES Act, among other things, includes certain income tax provisions for individuals and corporations, however, these benefits do not materially impact our income tax provision.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had $212.0 million in unrestricted cash and cash equivalents at September 30, 2020, in addition to $0.8 million in restricted cash. Management believes that maintaining a strong cash balance is necessary to provide funding for potential ramps in our business which can require significant cash investment to meet sudden demand. Additionally, we are considering both organic and inorganic opportunities to drive future growth, for which cash resources will be necessary.</w:t>
      </w:r>
    </w:p>
    <w:p>
      <w:pPr>
        <w:spacing w:after="0" w:line="63"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Our liquidity is affected by many factors. Some of these relate specifically to the operations of our business, for example, the rate of sale of our products, and others relate to the uncertainties of global economic conditions, including the availability of credit and the condition of the overall semiconductor equipment industry. Our established cost structure, other than cost of goods sold, does not vary significantly with changes in volume. We experience fluctuations in operating results and cash flows depending on these factors. We may also engage in stock repurchases, as discussed below.</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nine months ended September 30, 2020, we generated $75.7 million of cash related to operating activities.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comparison, during the nine months ended September 30, 2019, we used $0.3 million of cash from operations.</w:t>
      </w:r>
    </w:p>
    <w:p>
      <w:pPr>
        <w:spacing w:after="0" w:line="11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Investing activities for the nine months ended September 30, 2020 and 2019 resulted in cash outflows of $5.6 million and $11.1 million, respectively, used for capital expenditures.</w:t>
      </w:r>
    </w:p>
    <w:p>
      <w:pPr>
        <w:spacing w:after="0" w:line="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Financing activities for the nine months ended September 30, 2020 resulted in a cash usage of $3.4 million. During the first nine months of 2020, $7.5 million in cash was used to repurchase our common stock and $3.9 million was used for payments to government tax authorities for income tax withholding on employee compensation arising from the vesting of RSUs, where shares are withheld by the Company, as well as $0.3 million relating to the reduction of the liability under the finance lease of our corporate headquarters. These amounts were partially offset by $8.3 million of proceeds from the exercise of stock options and purchases under the ESPP, during the first nine months of 2020. In comparison, financing activities for the nine months ended September 30, 2019 resulted in cash usage of $12.2 million, $14.0 million of which related to the repurchase of our common stock and $1.6 million related to payments made to government tax authorities for income tax withholding on employee compensation arising from the vesting of RSUs. These amounts were partially offset by $3.4 million of proceeds related to the exercise of stock options and purchase of shares under our ESPP during the first nine months of 2019.</w:t>
      </w:r>
    </w:p>
    <w:p>
      <w:pPr>
        <w:spacing w:after="0" w:line="182"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Under the rules of the U.S. Securities and Exchange Commission (the “SEC”), we qualify as a “well-known seasoned issuer,” which allows us to file shelf registration statements to register an unspecified amount of securities that are effective upon filing. On May 29, 2020, we filed such a shelf registration statement with the SEC for the issuance of an unspecified amount of common stock, preferred stock, various series of debt securities and/or warrants to purchase any of such securities, either individually or in units, from time to time at prices and on terms to be determined at the time of any such offering. This registration statement was effective upon filing and will remain in effect for up to three years from filing, prior to which time we may file another shelf registration statement to maintain the availability of this financing option.</w:t>
      </w:r>
    </w:p>
    <w:p>
      <w:pPr>
        <w:spacing w:after="0" w:line="16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July 31, 2020, we entered into a Senior Secured Credit Facilities Credit Agreement (the “Credit Agreement”) with Silicon Valley Bank.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September 30, 2020, we were in compliance with all covenant requirements of the Credit Agreement. As of such date, no borrowings had been made under the Credit Agreement, although a letter of credit for $5.9 million, previously issued by Silicon Valley Bank, had been rolled under the Credit Agreement, reducing the funds available for borrowing under the credit line. We have no immediate plans to borrow under the Credit Agreement, but we will use the facility for letters of credit, for ongoing working capital needs and to fund general corporate purposes, as desired.</w:t>
      </w:r>
    </w:p>
    <w:p>
      <w:pPr>
        <w:spacing w:after="0" w:line="18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believe that based on our current market, revenue, expense and cash flow forecasts, our existing cash, cash equivalents and equity and debt financing capacity will be sufficient to satisfy our anticipated cash requirements for the short and long-term.</w:t>
      </w:r>
    </w:p>
    <w:p>
      <w:pPr>
        <w:sectPr>
          <w:pgSz w:w="11900" w:h="16838" w:orient="portrait"/>
          <w:cols w:equalWidth="0" w:num="1">
            <w:col w:w="9120"/>
          </w:cols>
          <w:pgMar w:left="1380" w:top="51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right="79" w:firstLine="648"/>
        <w:spacing w:after="0" w:line="286" w:lineRule="auto"/>
        <w:rPr>
          <w:sz w:val="20"/>
          <w:szCs w:val="20"/>
          <w:color w:val="auto"/>
        </w:rPr>
      </w:pPr>
      <w:r>
        <w:rPr>
          <w:rFonts w:ascii="Arial" w:cs="Arial" w:eastAsia="Arial" w:hAnsi="Arial"/>
          <w:sz w:val="17"/>
          <w:szCs w:val="17"/>
          <w:color w:val="auto"/>
        </w:rPr>
        <w:t>Significant commitments and contingencies at September 30, 2020 are consistent with those discussed in Item 7, “Management’s Discussion and Analysis of Financial Condition and Results of Operations,” and Note 16 to the consolidated financial statements in our Annual Report on Form 10-K for the fiscal year ended December 31, 2019.</w:t>
      </w:r>
    </w:p>
    <w:p>
      <w:pPr>
        <w:spacing w:after="0" w:line="200" w:lineRule="exact"/>
        <w:rPr>
          <w:sz w:val="20"/>
          <w:szCs w:val="20"/>
          <w:color w:val="auto"/>
        </w:rPr>
      </w:pP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of September 30, 2020, there have been no material changes to the quantitative information about market risk disclosed in Item 7A to our Annual Report on Form 10-K for the year ended December 31,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There was no change in our internal control over financial reporting (as defined in Rule 13a-15(f) under the Exchange Act) identified in connection with the evaluation of our internal control that occurred during the three months ended September 30, 2020 that has materially affected, or is reasonably likely to materially affect, our internal control over financial reporting.</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left="60" w:right="100" w:firstLine="648"/>
        <w:spacing w:after="0" w:line="342" w:lineRule="auto"/>
        <w:rPr>
          <w:sz w:val="20"/>
          <w:szCs w:val="20"/>
          <w:color w:val="auto"/>
        </w:rPr>
      </w:pPr>
      <w:r>
        <w:rPr>
          <w:rFonts w:ascii="Arial" w:cs="Arial" w:eastAsia="Arial" w:hAnsi="Arial"/>
          <w:sz w:val="16"/>
          <w:szCs w:val="16"/>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left="60" w:right="80" w:firstLine="648"/>
        <w:spacing w:after="0" w:line="263" w:lineRule="auto"/>
        <w:rPr>
          <w:sz w:val="20"/>
          <w:szCs w:val="20"/>
          <w:color w:val="auto"/>
        </w:rPr>
      </w:pPr>
      <w:r>
        <w:rPr>
          <w:rFonts w:ascii="Arial" w:cs="Arial" w:eastAsia="Arial" w:hAnsi="Arial"/>
          <w:sz w:val="18"/>
          <w:szCs w:val="18"/>
          <w:color w:val="auto"/>
        </w:rPr>
        <w:t>As of September 30, 2020, there have been no material changes to the risk factors described in Item 1A to our Annual Report on Form 10-K for the year ended December 31, 2019, other than the addition of the risk factor included in Part II, Item 1A of our Form 10-Q for the quarters ended March 31, 2020 and June 30, 2020.</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3" w:lineRule="exact"/>
        <w:rPr>
          <w:sz w:val="20"/>
          <w:szCs w:val="20"/>
          <w:color w:val="auto"/>
        </w:rPr>
      </w:pPr>
    </w:p>
    <w:p>
      <w:pPr>
        <w:ind w:left="60" w:right="40" w:firstLine="648"/>
        <w:spacing w:after="0" w:line="259" w:lineRule="auto"/>
        <w:rPr>
          <w:sz w:val="20"/>
          <w:szCs w:val="20"/>
          <w:color w:val="auto"/>
        </w:rPr>
      </w:pPr>
      <w:r>
        <w:rPr>
          <w:rFonts w:ascii="Arial" w:cs="Arial" w:eastAsia="Arial" w:hAnsi="Arial"/>
          <w:sz w:val="18"/>
          <w:szCs w:val="18"/>
          <w:color w:val="auto"/>
        </w:rPr>
        <w:t>Our Board of Directors authorized a share repurchase program covering calendar years 2019 and 2020 for up to $50 million of the Company's common stock. This program was announced on December 3, 2019. As discussed in Note 15 to the financial statements contained elsewhere in this Quarterly Report, this program was suspended at the end of the first quarter of 2020, but not terminated.</w:t>
      </w:r>
    </w:p>
    <w:p>
      <w:pPr>
        <w:spacing w:after="0" w:line="119" w:lineRule="exact"/>
        <w:rPr>
          <w:sz w:val="20"/>
          <w:szCs w:val="20"/>
          <w:color w:val="auto"/>
        </w:rPr>
      </w:pPr>
    </w:p>
    <w:p>
      <w:pPr>
        <w:ind w:left="60" w:right="60" w:firstLine="648"/>
        <w:spacing w:after="0" w:line="308" w:lineRule="auto"/>
        <w:rPr>
          <w:sz w:val="20"/>
          <w:szCs w:val="20"/>
          <w:color w:val="auto"/>
        </w:rPr>
      </w:pPr>
      <w:r>
        <w:rPr>
          <w:rFonts w:ascii="Arial" w:cs="Arial" w:eastAsia="Arial" w:hAnsi="Arial"/>
          <w:sz w:val="17"/>
          <w:szCs w:val="17"/>
          <w:color w:val="auto"/>
        </w:rPr>
        <w:t>The following table summarizes the stock repurchase activity for the three months ended September 30, 2020 and the approximate dollar value of shares that may yet be purchased pursuant to our stock repurchase program:</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Total Number of</w:t>
            </w:r>
          </w:p>
        </w:tc>
        <w:tc>
          <w:tcPr>
            <w:tcW w:w="18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Shares Purchased as</w:t>
            </w:r>
          </w:p>
        </w:tc>
        <w:tc>
          <w:tcPr>
            <w:tcW w:w="1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 Number of</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Average Price</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Announced</w:t>
            </w:r>
          </w:p>
        </w:tc>
        <w:tc>
          <w:tcPr>
            <w:tcW w:w="120" w:type="dxa"/>
            <w:vAlign w:val="bottom"/>
          </w:tcPr>
          <w:p>
            <w:pPr>
              <w:spacing w:after="0"/>
              <w:rPr>
                <w:sz w:val="12"/>
                <w:szCs w:val="12"/>
                <w:color w:val="auto"/>
              </w:rPr>
            </w:pPr>
          </w:p>
        </w:tc>
        <w:tc>
          <w:tcPr>
            <w:tcW w:w="1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2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6"/>
              </w:rPr>
              <w:t>Shares Purchased</w:t>
            </w:r>
          </w:p>
        </w:tc>
        <w:tc>
          <w:tcPr>
            <w:tcW w:w="1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Paid per Share</w:t>
            </w:r>
          </w:p>
        </w:tc>
        <w:tc>
          <w:tcPr>
            <w:tcW w:w="16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Program*</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Program</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4"/>
          </w:tcPr>
          <w:p>
            <w:pPr>
              <w:ind w:left="240"/>
              <w:spacing w:after="0"/>
              <w:rPr>
                <w:sz w:val="20"/>
                <w:szCs w:val="20"/>
                <w:color w:val="auto"/>
              </w:rPr>
            </w:pPr>
            <w:r>
              <w:rPr>
                <w:rFonts w:ascii="Arial" w:cs="Arial" w:eastAsia="Arial" w:hAnsi="Arial"/>
                <w:sz w:val="14"/>
                <w:szCs w:val="14"/>
                <w:b w:val="1"/>
                <w:bCs w:val="1"/>
                <w:color w:val="auto"/>
                <w:w w:val="92"/>
              </w:rPr>
              <w:t>(in thousands except per share amounts)</w:t>
            </w: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July 1, 2020 through July 31, 2020</w:t>
            </w:r>
          </w:p>
        </w:tc>
        <w:tc>
          <w:tcPr>
            <w:tcW w:w="13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1"/>
              </w:rPr>
              <w:t>$0.00</w:t>
            </w:r>
          </w:p>
        </w:tc>
        <w:tc>
          <w:tcPr>
            <w:tcW w:w="16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24,756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gridSpan w:val="2"/>
          </w:tcPr>
          <w:p>
            <w:pPr>
              <w:ind w:left="20"/>
              <w:spacing w:after="0"/>
              <w:rPr>
                <w:sz w:val="20"/>
                <w:szCs w:val="20"/>
                <w:color w:val="auto"/>
              </w:rPr>
            </w:pPr>
            <w:r>
              <w:rPr>
                <w:rFonts w:ascii="Arial" w:cs="Arial" w:eastAsia="Arial" w:hAnsi="Arial"/>
                <w:sz w:val="14"/>
                <w:szCs w:val="14"/>
                <w:color w:val="auto"/>
              </w:rPr>
              <w:t>August 1, 2020 through August 31, 2020</w:t>
            </w:r>
          </w:p>
        </w:tc>
        <w:tc>
          <w:tcPr>
            <w:tcW w:w="1320" w:type="dxa"/>
            <w:vAlign w:val="bottom"/>
          </w:tcPr>
          <w:p>
            <w:pPr>
              <w:ind w:left="114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left="108"/>
              <w:spacing w:after="0"/>
              <w:rPr>
                <w:sz w:val="20"/>
                <w:szCs w:val="20"/>
                <w:color w:val="auto"/>
              </w:rPr>
            </w:pPr>
            <w:r>
              <w:rPr>
                <w:rFonts w:ascii="Arial" w:cs="Arial" w:eastAsia="Arial" w:hAnsi="Arial"/>
                <w:sz w:val="14"/>
                <w:szCs w:val="14"/>
                <w:color w:val="auto"/>
                <w:w w:val="91"/>
              </w:rPr>
              <w:t>$0.00</w:t>
            </w:r>
          </w:p>
        </w:tc>
        <w:tc>
          <w:tcPr>
            <w:tcW w:w="16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40" w:type="dxa"/>
            <w:vAlign w:val="bottom"/>
          </w:tcPr>
          <w:p>
            <w:pPr>
              <w:jc w:val="right"/>
              <w:ind w:right="448"/>
              <w:spacing w:after="0"/>
              <w:rPr>
                <w:sz w:val="20"/>
                <w:szCs w:val="20"/>
                <w:color w:val="auto"/>
              </w:rPr>
            </w:pPr>
            <w:r>
              <w:rPr>
                <w:rFonts w:ascii="Arial" w:cs="Arial" w:eastAsia="Arial" w:hAnsi="Arial"/>
                <w:sz w:val="14"/>
                <w:szCs w:val="14"/>
                <w:color w:val="auto"/>
              </w:rPr>
              <w:t>24,756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1, 2020 through September 30, 2020</w:t>
            </w:r>
          </w:p>
        </w:tc>
        <w:tc>
          <w:tcPr>
            <w:tcW w:w="13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1"/>
              </w:rPr>
              <w:t>$0.00</w:t>
            </w:r>
          </w:p>
        </w:tc>
        <w:tc>
          <w:tcPr>
            <w:tcW w:w="16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24,756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gridSpan w:val="2"/>
          </w:tcPr>
          <w:p>
            <w:pPr>
              <w:ind w:left="1300"/>
              <w:spacing w:after="0" w:line="142" w:lineRule="exact"/>
              <w:rPr>
                <w:sz w:val="20"/>
                <w:szCs w:val="20"/>
                <w:color w:val="auto"/>
              </w:rPr>
            </w:pPr>
            <w:r>
              <w:rPr>
                <w:rFonts w:ascii="Arial" w:cs="Arial" w:eastAsia="Arial" w:hAnsi="Arial"/>
                <w:sz w:val="14"/>
                <w:szCs w:val="14"/>
                <w:b w:val="1"/>
                <w:bCs w:val="1"/>
                <w:color w:val="auto"/>
              </w:rPr>
              <w:t>Total</w:t>
            </w:r>
          </w:p>
        </w:tc>
        <w:tc>
          <w:tcPr>
            <w:tcW w:w="1320" w:type="dxa"/>
            <w:vAlign w:val="bottom"/>
            <w:tcBorders>
              <w:top w:val="single" w:sz="8" w:color="auto"/>
              <w:bottom w:val="single" w:sz="8" w:color="auto"/>
            </w:tcBorders>
          </w:tcPr>
          <w:p>
            <w:pPr>
              <w:ind w:left="114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357505</wp:posOffset>
            </wp:positionV>
            <wp:extent cx="57950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220"/>
          </w:cols>
          <w:pgMar w:left="1320" w:top="517" w:right="1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500" w:type="dxa"/>
            <w:vAlign w:val="bottom"/>
            <w:gridSpan w:val="14"/>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620" w:type="dxa"/>
            <w:vAlign w:val="bottom"/>
          </w:tcPr>
          <w:p>
            <w:pPr>
              <w:spacing w:after="0"/>
              <w:rPr>
                <w:sz w:val="24"/>
                <w:szCs w:val="24"/>
                <w:color w:val="auto"/>
              </w:rPr>
            </w:pPr>
          </w:p>
        </w:tc>
        <w:tc>
          <w:tcPr>
            <w:tcW w:w="8500" w:type="dxa"/>
            <w:vAlign w:val="bottom"/>
            <w:gridSpan w:val="14"/>
          </w:tcPr>
          <w:p>
            <w:pPr>
              <w:ind w:left="40"/>
              <w:spacing w:after="0"/>
              <w:rPr>
                <w:sz w:val="20"/>
                <w:szCs w:val="20"/>
                <w:color w:val="auto"/>
              </w:rPr>
            </w:pPr>
            <w:r>
              <w:rPr>
                <w:rFonts w:ascii="Arial" w:cs="Arial" w:eastAsia="Arial" w:hAnsi="Arial"/>
                <w:sz w:val="18"/>
                <w:szCs w:val="18"/>
                <w:color w:val="auto"/>
              </w:rPr>
              <w:t>The following exhibits are filed herewith:</w:t>
            </w:r>
          </w:p>
        </w:tc>
      </w:tr>
      <w:tr>
        <w:trPr>
          <w:trHeight w:val="369"/>
        </w:trPr>
        <w:tc>
          <w:tcPr>
            <w:tcW w:w="6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5"/>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940" w:type="dxa"/>
            <w:vAlign w:val="bottom"/>
            <w:tcBorders>
              <w:bottom w:val="single" w:sz="8" w:color="auto"/>
            </w:tcBorders>
            <w:gridSpan w:val="12"/>
          </w:tcPr>
          <w:p>
            <w:pPr>
              <w:ind w:left="362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620" w:type="dxa"/>
            <w:vAlign w:val="bottom"/>
          </w:tcPr>
          <w:p>
            <w:pPr>
              <w:jc w:val="center"/>
              <w:ind w:left="193"/>
              <w:spacing w:after="0"/>
              <w:rPr>
                <w:sz w:val="20"/>
                <w:szCs w:val="20"/>
                <w:color w:val="auto"/>
              </w:rPr>
            </w:pPr>
            <w:r>
              <w:rPr>
                <w:rFonts w:ascii="Arial" w:cs="Arial" w:eastAsia="Arial" w:hAnsi="Arial"/>
                <w:sz w:val="18"/>
                <w:szCs w:val="18"/>
                <w:color w:val="auto"/>
                <w:w w:val="87"/>
              </w:rPr>
              <w:t>3.1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2"/>
          </w:tcPr>
          <w:p>
            <w:pPr>
              <w:spacing w:after="0"/>
              <w:rPr>
                <w:rFonts w:ascii="Arial" w:cs="Arial" w:eastAsia="Arial" w:hAnsi="Arial"/>
                <w:sz w:val="18"/>
                <w:szCs w:val="18"/>
                <w:color w:val="0000EE"/>
                <w:w w:val="93"/>
              </w:rPr>
            </w:pPr>
            <w:hyperlink r:id="rId46">
              <w:r>
                <w:rPr>
                  <w:rFonts w:ascii="Arial" w:cs="Arial" w:eastAsia="Arial" w:hAnsi="Arial"/>
                  <w:sz w:val="18"/>
                  <w:szCs w:val="18"/>
                  <w:color w:val="0000EE"/>
                  <w:w w:val="93"/>
                </w:rPr>
                <w:t>Restated Certificate of Incorporation of the Company filed November 2, 2017. Incorporated by reference to</w:t>
              </w:r>
            </w:hyperlink>
          </w:p>
        </w:tc>
      </w:tr>
      <w:tr>
        <w:trPr>
          <w:trHeight w:val="237"/>
        </w:trPr>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40" w:type="dxa"/>
            <w:vAlign w:val="bottom"/>
            <w:tcBorders>
              <w:top w:val="single" w:sz="8" w:color="0000EE"/>
            </w:tcBorders>
            <w:gridSpan w:val="10"/>
          </w:tcPr>
          <w:p>
            <w:pPr>
              <w:spacing w:after="0"/>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Exhibit 3.1 of the Company’s Form 10-Q filed with the Commission on November 3, 2017.</w:t>
              </w:r>
            </w:hyperlink>
          </w:p>
        </w:tc>
        <w:tc>
          <w:tcPr>
            <w:tcW w:w="200" w:type="dxa"/>
            <w:vAlign w:val="bottom"/>
            <w:gridSpan w:val="2"/>
          </w:tcPr>
          <w:p>
            <w:pPr>
              <w:spacing w:after="0"/>
              <w:rPr>
                <w:sz w:val="20"/>
                <w:szCs w:val="20"/>
                <w:color w:val="auto"/>
              </w:rPr>
            </w:pPr>
          </w:p>
        </w:tc>
      </w:tr>
      <w:tr>
        <w:trPr>
          <w:trHeight w:val="392"/>
        </w:trPr>
        <w:tc>
          <w:tcPr>
            <w:tcW w:w="620" w:type="dxa"/>
            <w:vAlign w:val="bottom"/>
          </w:tcPr>
          <w:p>
            <w:pPr>
              <w:jc w:val="center"/>
              <w:ind w:left="193"/>
              <w:spacing w:after="0"/>
              <w:rPr>
                <w:sz w:val="20"/>
                <w:szCs w:val="20"/>
                <w:color w:val="auto"/>
              </w:rPr>
            </w:pPr>
            <w:r>
              <w:rPr>
                <w:rFonts w:ascii="Arial" w:cs="Arial" w:eastAsia="Arial" w:hAnsi="Arial"/>
                <w:sz w:val="18"/>
                <w:szCs w:val="18"/>
                <w:color w:val="auto"/>
                <w:w w:val="87"/>
              </w:rPr>
              <w:t>3.2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2"/>
          </w:tcPr>
          <w:p>
            <w:pPr>
              <w:spacing w:after="0"/>
              <w:rPr>
                <w:rFonts w:ascii="Arial" w:cs="Arial" w:eastAsia="Arial" w:hAnsi="Arial"/>
                <w:sz w:val="18"/>
                <w:szCs w:val="18"/>
                <w:color w:val="0000EE"/>
                <w:w w:val="95"/>
              </w:rPr>
            </w:pPr>
            <w:hyperlink r:id="rId47">
              <w:r>
                <w:rPr>
                  <w:rFonts w:ascii="Arial" w:cs="Arial" w:eastAsia="Arial" w:hAnsi="Arial"/>
                  <w:sz w:val="18"/>
                  <w:szCs w:val="18"/>
                  <w:color w:val="0000EE"/>
                  <w:w w:val="95"/>
                </w:rPr>
                <w:t>Bylaws of the Company, as amended as of May 13, 2014. Incorporated by reference to Exhibit 3.2 of the</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Company’s Form 8-K filed with the Commission on May 19, 2014.</w:t>
              </w:r>
            </w:hyperlink>
          </w:p>
        </w:tc>
        <w:tc>
          <w:tcPr>
            <w:tcW w:w="2680" w:type="dxa"/>
            <w:vAlign w:val="bottom"/>
            <w:tcBorders>
              <w:top w:val="single" w:sz="8" w:color="0000EE"/>
            </w:tcBorders>
            <w:gridSpan w:val="5"/>
          </w:tcPr>
          <w:p>
            <w:pPr>
              <w:spacing w:after="0"/>
              <w:rPr>
                <w:sz w:val="17"/>
                <w:szCs w:val="17"/>
                <w:color w:val="auto"/>
              </w:rPr>
            </w:pPr>
          </w:p>
        </w:tc>
        <w:tc>
          <w:tcPr>
            <w:tcW w:w="400" w:type="dxa"/>
            <w:vAlign w:val="bottom"/>
            <w:gridSpan w:val="5"/>
          </w:tcPr>
          <w:p>
            <w:pPr>
              <w:spacing w:after="0"/>
              <w:rPr>
                <w:sz w:val="17"/>
                <w:szCs w:val="17"/>
                <w:color w:val="auto"/>
              </w:rPr>
            </w:pPr>
          </w:p>
        </w:tc>
      </w:tr>
      <w:tr>
        <w:trPr>
          <w:trHeight w:val="412"/>
        </w:trPr>
        <w:tc>
          <w:tcPr>
            <w:tcW w:w="620" w:type="dxa"/>
            <w:vAlign w:val="bottom"/>
          </w:tcPr>
          <w:p>
            <w:pPr>
              <w:jc w:val="center"/>
              <w:ind w:left="213"/>
              <w:spacing w:after="0"/>
              <w:rPr>
                <w:sz w:val="20"/>
                <w:szCs w:val="20"/>
                <w:color w:val="auto"/>
              </w:rPr>
            </w:pPr>
            <w:r>
              <w:rPr>
                <w:rFonts w:ascii="Arial" w:cs="Arial" w:eastAsia="Arial" w:hAnsi="Arial"/>
                <w:sz w:val="18"/>
                <w:szCs w:val="18"/>
                <w:color w:val="auto"/>
                <w:w w:val="91"/>
              </w:rPr>
              <w:t>10.1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Senior Secured Credit Facilities Credit Agreement dated as of July 31, 2020, among Axcelis Technologies,</w:t>
              </w:r>
            </w:hyperlink>
          </w:p>
        </w:tc>
        <w:tc>
          <w:tcPr>
            <w:tcW w:w="240" w:type="dxa"/>
            <w:vAlign w:val="bottom"/>
            <w:gridSpan w:val="3"/>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Inc., as the Borrower, the several lenders from time to time party thereto, and Silicon Valley Bank, as</w:t>
              </w:r>
            </w:hyperlink>
          </w:p>
        </w:tc>
        <w:tc>
          <w:tcPr>
            <w:tcW w:w="660" w:type="dxa"/>
            <w:vAlign w:val="bottom"/>
            <w:gridSpan w:val="8"/>
          </w:tcPr>
          <w:p>
            <w:pPr>
              <w:spacing w:after="0"/>
              <w:rPr>
                <w:sz w:val="17"/>
                <w:szCs w:val="17"/>
                <w:color w:val="auto"/>
              </w:rPr>
            </w:pPr>
          </w:p>
        </w:tc>
      </w:tr>
      <w:tr>
        <w:trPr>
          <w:trHeight w:val="237"/>
        </w:trPr>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940" w:type="dxa"/>
            <w:vAlign w:val="bottom"/>
            <w:gridSpan w:val="12"/>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Administrative Agent, Issuing Lender and Swingline Lender, and as Lead Arranger. Filed herewith.</w:t>
              </w:r>
            </w:hyperlink>
          </w:p>
        </w:tc>
      </w:tr>
      <w:tr>
        <w:trPr>
          <w:trHeight w:val="392"/>
        </w:trPr>
        <w:tc>
          <w:tcPr>
            <w:tcW w:w="620" w:type="dxa"/>
            <w:vAlign w:val="bottom"/>
          </w:tcPr>
          <w:p>
            <w:pPr>
              <w:jc w:val="center"/>
              <w:ind w:left="213"/>
              <w:spacing w:after="0"/>
              <w:rPr>
                <w:sz w:val="20"/>
                <w:szCs w:val="20"/>
                <w:color w:val="auto"/>
              </w:rPr>
            </w:pPr>
            <w:r>
              <w:rPr>
                <w:rFonts w:ascii="Arial" w:cs="Arial" w:eastAsia="Arial" w:hAnsi="Arial"/>
                <w:sz w:val="18"/>
                <w:szCs w:val="18"/>
                <w:color w:val="auto"/>
                <w:w w:val="91"/>
              </w:rPr>
              <w:t>10.2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68">
              <w:r>
                <w:rPr>
                  <w:rFonts w:ascii="Arial" w:cs="Arial" w:eastAsia="Arial" w:hAnsi="Arial"/>
                  <w:sz w:val="18"/>
                  <w:szCs w:val="18"/>
                  <w:color w:val="0000EE"/>
                  <w:w w:val="89"/>
                </w:rPr>
                <w:t>Guarantee and Collateral Agreement dated as of July 31, 2020 made by Axcelis Technologies, Inc. and the</w:t>
              </w:r>
            </w:hyperlink>
          </w:p>
        </w:tc>
        <w:tc>
          <w:tcPr>
            <w:tcW w:w="260" w:type="dxa"/>
            <w:vAlign w:val="bottom"/>
            <w:gridSpan w:val="4"/>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940" w:type="dxa"/>
            <w:vAlign w:val="bottom"/>
            <w:gridSpan w:val="12"/>
          </w:tcPr>
          <w:p>
            <w:pPr>
              <w:spacing w:after="0"/>
              <w:rPr>
                <w:rFonts w:ascii="Arial" w:cs="Arial" w:eastAsia="Arial" w:hAnsi="Arial"/>
                <w:sz w:val="18"/>
                <w:szCs w:val="18"/>
                <w:color w:val="0000EE"/>
                <w:w w:val="95"/>
              </w:rPr>
            </w:pPr>
            <w:hyperlink w:anchor="page168">
              <w:r>
                <w:rPr>
                  <w:rFonts w:ascii="Arial" w:cs="Arial" w:eastAsia="Arial" w:hAnsi="Arial"/>
                  <w:sz w:val="18"/>
                  <w:szCs w:val="18"/>
                  <w:u w:val="single" w:color="auto"/>
                  <w:color w:val="0000EE"/>
                  <w:w w:val="95"/>
                </w:rPr>
                <w:t>other grantors referred to therein in favor of Silicon Valley Bank, as Administrative Agent. Filed herewith</w:t>
              </w:r>
              <w:r>
                <w:rPr>
                  <w:rFonts w:ascii="Arial" w:cs="Arial" w:eastAsia="Arial" w:hAnsi="Arial"/>
                  <w:sz w:val="18"/>
                  <w:szCs w:val="18"/>
                  <w:color w:val="0000EE"/>
                  <w:w w:val="95"/>
                </w:rPr>
                <w:t>.</w:t>
              </w:r>
            </w:hyperlink>
          </w:p>
        </w:tc>
      </w:tr>
      <w:tr>
        <w:trPr>
          <w:trHeight w:val="392"/>
        </w:trPr>
        <w:tc>
          <w:tcPr>
            <w:tcW w:w="620" w:type="dxa"/>
            <w:vAlign w:val="bottom"/>
          </w:tcPr>
          <w:p>
            <w:pPr>
              <w:jc w:val="center"/>
              <w:ind w:left="213"/>
              <w:spacing w:after="0"/>
              <w:rPr>
                <w:sz w:val="20"/>
                <w:szCs w:val="20"/>
                <w:color w:val="auto"/>
              </w:rPr>
            </w:pPr>
            <w:r>
              <w:rPr>
                <w:rFonts w:ascii="Arial" w:cs="Arial" w:eastAsia="Arial" w:hAnsi="Arial"/>
                <w:sz w:val="18"/>
                <w:szCs w:val="18"/>
                <w:color w:val="auto"/>
                <w:w w:val="91"/>
              </w:rPr>
              <w:t>31.1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2"/>
          </w:tcPr>
          <w:p>
            <w:pPr>
              <w:spacing w:after="0"/>
              <w:rPr>
                <w:rFonts w:ascii="Arial" w:cs="Arial" w:eastAsia="Arial" w:hAnsi="Arial"/>
                <w:sz w:val="18"/>
                <w:szCs w:val="18"/>
                <w:color w:val="0000EE"/>
                <w:w w:val="94"/>
              </w:rPr>
            </w:pPr>
            <w:hyperlink w:anchor="page206">
              <w:r>
                <w:rPr>
                  <w:rFonts w:ascii="Arial" w:cs="Arial" w:eastAsia="Arial" w:hAnsi="Arial"/>
                  <w:sz w:val="18"/>
                  <w:szCs w:val="18"/>
                  <w:color w:val="0000EE"/>
                  <w:w w:val="94"/>
                </w:rPr>
                <w:t>Certification of the Principal Executive Officer under Exchange Act Rule 13a-14(a)/15d-14(a) (Section 302</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of the Sarbanes-Oxley Act), dated November 6, 2020. Filed herewith.</w:t>
              </w:r>
            </w:hyperlink>
          </w:p>
        </w:tc>
        <w:tc>
          <w:tcPr>
            <w:tcW w:w="200" w:type="dxa"/>
            <w:vAlign w:val="bottom"/>
            <w:gridSpan w:val="2"/>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620" w:type="dxa"/>
            <w:vAlign w:val="bottom"/>
          </w:tcPr>
          <w:p>
            <w:pPr>
              <w:jc w:val="center"/>
              <w:ind w:left="213"/>
              <w:spacing w:after="0"/>
              <w:rPr>
                <w:sz w:val="20"/>
                <w:szCs w:val="20"/>
                <w:color w:val="auto"/>
              </w:rPr>
            </w:pPr>
            <w:r>
              <w:rPr>
                <w:rFonts w:ascii="Arial" w:cs="Arial" w:eastAsia="Arial" w:hAnsi="Arial"/>
                <w:sz w:val="18"/>
                <w:szCs w:val="18"/>
                <w:color w:val="auto"/>
                <w:w w:val="91"/>
              </w:rPr>
              <w:t>31.2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0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207">
              <w:r>
                <w:rPr>
                  <w:rFonts w:ascii="Arial" w:cs="Arial" w:eastAsia="Arial" w:hAnsi="Arial"/>
                  <w:sz w:val="18"/>
                  <w:szCs w:val="18"/>
                  <w:color w:val="0000EE"/>
                  <w:w w:val="92"/>
                </w:rPr>
                <w:t>Certification of the Principal Financial Officer under Exchange Act Rule 13a-14(a)/15d-14(a) (Section 302 of</w:t>
              </w:r>
            </w:hyperlink>
          </w:p>
        </w:tc>
        <w:tc>
          <w:tcPr>
            <w:tcW w:w="4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2"/>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the Sarbanes-Oxley Act), dated November 6, 2020. Filed herewith.</w:t>
              </w:r>
            </w:hyperlink>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r>
      <w:tr>
        <w:trPr>
          <w:trHeight w:val="412"/>
        </w:trPr>
        <w:tc>
          <w:tcPr>
            <w:tcW w:w="620" w:type="dxa"/>
            <w:vAlign w:val="bottom"/>
          </w:tcPr>
          <w:p>
            <w:pPr>
              <w:jc w:val="center"/>
              <w:ind w:left="213"/>
              <w:spacing w:after="0"/>
              <w:rPr>
                <w:sz w:val="20"/>
                <w:szCs w:val="20"/>
                <w:color w:val="auto"/>
              </w:rPr>
            </w:pPr>
            <w:r>
              <w:rPr>
                <w:rFonts w:ascii="Arial" w:cs="Arial" w:eastAsia="Arial" w:hAnsi="Arial"/>
                <w:sz w:val="18"/>
                <w:szCs w:val="18"/>
                <w:color w:val="auto"/>
                <w:w w:val="91"/>
              </w:rPr>
              <w:t>32.1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2"/>
          </w:tcPr>
          <w:p>
            <w:pPr>
              <w:spacing w:after="0"/>
              <w:rPr>
                <w:rFonts w:ascii="Arial" w:cs="Arial" w:eastAsia="Arial" w:hAnsi="Arial"/>
                <w:sz w:val="18"/>
                <w:szCs w:val="18"/>
                <w:color w:val="0000EE"/>
                <w:w w:val="98"/>
              </w:rPr>
            </w:pPr>
            <w:hyperlink w:anchor="page208">
              <w:r>
                <w:rPr>
                  <w:rFonts w:ascii="Arial" w:cs="Arial" w:eastAsia="Arial" w:hAnsi="Arial"/>
                  <w:sz w:val="18"/>
                  <w:szCs w:val="18"/>
                  <w:color w:val="0000EE"/>
                  <w:w w:val="98"/>
                </w:rPr>
                <w:t>Certification of the Principal Executive Officer pursuant to Section 1350 of Chapter 63 of title 18 of the</w:t>
              </w:r>
            </w:hyperlink>
          </w:p>
        </w:tc>
      </w:tr>
      <w:tr>
        <w:trPr>
          <w:trHeight w:val="237"/>
        </w:trPr>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60" w:type="dxa"/>
            <w:vAlign w:val="bottom"/>
            <w:tcBorders>
              <w:top w:val="single" w:sz="8" w:color="0000EE"/>
            </w:tcBorders>
            <w:gridSpan w:val="6"/>
          </w:tcPr>
          <w:p>
            <w:pPr>
              <w:spacing w:after="0"/>
              <w:rPr>
                <w:rFonts w:ascii="Arial" w:cs="Arial" w:eastAsia="Arial" w:hAnsi="Arial"/>
                <w:sz w:val="18"/>
                <w:szCs w:val="18"/>
                <w:u w:val="single" w:color="auto"/>
                <w:color w:val="0000EE"/>
                <w:w w:val="90"/>
              </w:rPr>
            </w:pPr>
            <w:hyperlink w:anchor="page208">
              <w:r>
                <w:rPr>
                  <w:rFonts w:ascii="Arial" w:cs="Arial" w:eastAsia="Arial" w:hAnsi="Arial"/>
                  <w:sz w:val="18"/>
                  <w:szCs w:val="18"/>
                  <w:u w:val="single" w:color="auto"/>
                  <w:color w:val="0000EE"/>
                  <w:w w:val="90"/>
                </w:rPr>
                <w:t>United States Code (Section 906 of the Sarbanes-Oxley Act), dated November 6, 2020. Filed herewith.</w:t>
              </w:r>
            </w:hyperlink>
          </w:p>
        </w:tc>
        <w:tc>
          <w:tcPr>
            <w:tcW w:w="480" w:type="dxa"/>
            <w:vAlign w:val="bottom"/>
            <w:gridSpan w:val="6"/>
          </w:tcPr>
          <w:p>
            <w:pPr>
              <w:spacing w:after="0"/>
              <w:rPr>
                <w:sz w:val="20"/>
                <w:szCs w:val="20"/>
                <w:color w:val="auto"/>
              </w:rPr>
            </w:pPr>
          </w:p>
        </w:tc>
      </w:tr>
      <w:tr>
        <w:trPr>
          <w:trHeight w:val="391"/>
        </w:trPr>
        <w:tc>
          <w:tcPr>
            <w:tcW w:w="620" w:type="dxa"/>
            <w:vAlign w:val="bottom"/>
          </w:tcPr>
          <w:p>
            <w:pPr>
              <w:jc w:val="center"/>
              <w:ind w:left="213"/>
              <w:spacing w:after="0"/>
              <w:rPr>
                <w:sz w:val="20"/>
                <w:szCs w:val="20"/>
                <w:color w:val="auto"/>
              </w:rPr>
            </w:pPr>
            <w:r>
              <w:rPr>
                <w:rFonts w:ascii="Arial" w:cs="Arial" w:eastAsia="Arial" w:hAnsi="Arial"/>
                <w:sz w:val="18"/>
                <w:szCs w:val="18"/>
                <w:color w:val="auto"/>
                <w:w w:val="91"/>
              </w:rPr>
              <w:t>32.2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09">
              <w:r>
                <w:rPr>
                  <w:rFonts w:ascii="Arial" w:cs="Arial" w:eastAsia="Arial" w:hAnsi="Arial"/>
                  <w:sz w:val="18"/>
                  <w:szCs w:val="18"/>
                  <w:color w:val="0000EE"/>
                  <w:w w:val="92"/>
                </w:rPr>
                <w:t>Certification of the Principal Financial Officer pursuant to Section 1350 of Chapter 63 of title 18 of the</w:t>
              </w:r>
            </w:hyperlink>
          </w:p>
        </w:tc>
        <w:tc>
          <w:tcPr>
            <w:tcW w:w="520" w:type="dxa"/>
            <w:vAlign w:val="bottom"/>
            <w:gridSpan w:val="7"/>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940" w:type="dxa"/>
            <w:vAlign w:val="bottom"/>
            <w:gridSpan w:val="12"/>
          </w:tcPr>
          <w:p>
            <w:pPr>
              <w:spacing w:after="0"/>
              <w:rPr>
                <w:rFonts w:ascii="Arial" w:cs="Arial" w:eastAsia="Arial" w:hAnsi="Arial"/>
                <w:sz w:val="18"/>
                <w:szCs w:val="18"/>
                <w:u w:val="single" w:color="auto"/>
                <w:color w:val="0000EE"/>
                <w:w w:val="96"/>
              </w:rPr>
            </w:pPr>
            <w:hyperlink w:anchor="page209">
              <w:r>
                <w:rPr>
                  <w:rFonts w:ascii="Arial" w:cs="Arial" w:eastAsia="Arial" w:hAnsi="Arial"/>
                  <w:sz w:val="18"/>
                  <w:szCs w:val="18"/>
                  <w:u w:val="single" w:color="auto"/>
                  <w:color w:val="0000EE"/>
                  <w:w w:val="96"/>
                </w:rPr>
                <w:t>United States Code (Section 906 of the Sarbanes-Oxley Act), dated November 6, 2020. Filed herewith.</w:t>
              </w:r>
            </w:hyperlink>
          </w:p>
        </w:tc>
      </w:tr>
    </w:tbl>
    <w:p>
      <w:pPr>
        <w:spacing w:after="0" w:line="202" w:lineRule="exact"/>
        <w:rPr>
          <w:sz w:val="20"/>
          <w:szCs w:val="20"/>
          <w:color w:val="auto"/>
        </w:rPr>
      </w:pPr>
    </w:p>
    <w:p>
      <w:pPr>
        <w:ind w:left="1180" w:right="20" w:hanging="858"/>
        <w:spacing w:after="0" w:line="291" w:lineRule="auto"/>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materials from the Company’s Form 10-Q for the quarter ended September 30, 2020, formatted in inline eXtensible Business Reporting Language (iXBRL): (i) Consolidated Statements of Operations,</w:t>
      </w:r>
    </w:p>
    <w:p>
      <w:pPr>
        <w:ind w:left="1180" w:right="100"/>
        <w:spacing w:after="0" w:line="323" w:lineRule="auto"/>
        <w:rPr>
          <w:rFonts w:ascii="Arial" w:cs="Arial" w:eastAsia="Arial" w:hAnsi="Arial"/>
          <w:sz w:val="16"/>
          <w:szCs w:val="16"/>
          <w:color w:val="auto"/>
        </w:rPr>
      </w:pPr>
      <w:r>
        <w:rPr>
          <w:rFonts w:ascii="Arial" w:cs="Arial" w:eastAsia="Arial" w:hAnsi="Arial"/>
          <w:sz w:val="16"/>
          <w:szCs w:val="16"/>
          <w:color w:val="auto"/>
        </w:rPr>
        <w:t>(ii) Consolidated Statements of Comprehensive Income, (iii) Consolidated Balance Sheets, (iv) Consolidated Statements of Cash Flows and (v) Notes to Consolidated Financial Statements (Unaudited). Filed herewith.</w:t>
      </w:r>
    </w:p>
    <w:p>
      <w:pPr>
        <w:spacing w:after="0" w:line="138" w:lineRule="exact"/>
        <w:rPr>
          <w:sz w:val="20"/>
          <w:szCs w:val="20"/>
          <w:color w:val="auto"/>
        </w:rPr>
      </w:pPr>
    </w:p>
    <w:p>
      <w:pPr>
        <w:ind w:left="1180" w:hanging="858"/>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as iXBRL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4480"/>
        <w:spacing w:after="0"/>
        <w:rPr>
          <w:rFonts w:ascii="Arial" w:cs="Arial" w:eastAsia="Arial" w:hAnsi="Arial"/>
          <w:sz w:val="18"/>
          <w:szCs w:val="18"/>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AXCELIS TECHNOLOGIES, INC.</w:t>
      </w:r>
    </w:p>
    <w:p>
      <w:pPr>
        <w:spacing w:after="0" w:line="36"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DATED: November 6, 2020</w:t>
      </w:r>
      <w:r>
        <w:rPr>
          <w:sz w:val="20"/>
          <w:szCs w:val="20"/>
          <w:color w:val="auto"/>
        </w:rPr>
        <w:tab/>
      </w:r>
      <w:r>
        <w:rPr>
          <w:rFonts w:ascii="Arial" w:cs="Arial" w:eastAsia="Arial" w:hAnsi="Arial"/>
          <w:sz w:val="17"/>
          <w:szCs w:val="17"/>
          <w:color w:val="auto"/>
        </w:rPr>
        <w:t>By:  /s/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23495</wp:posOffset>
            </wp:positionV>
            <wp:extent cx="26403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Kevin J. Brewer</w:t>
      </w:r>
    </w:p>
    <w:p>
      <w:pPr>
        <w:spacing w:after="0" w:line="36"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Executive Vice President and Chief Financial Officer</w:t>
      </w:r>
    </w:p>
    <w:p>
      <w:pPr>
        <w:spacing w:after="0" w:line="48"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20"/>
          <w:szCs w:val="20"/>
          <w:b w:val="1"/>
          <w:bCs w:val="1"/>
          <w:color w:val="auto"/>
        </w:rPr>
        <w:t>Exhibit 10.1</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334"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SENIOR SECURED CREDIT FACILITIES</w:t>
      </w:r>
    </w:p>
    <w:p>
      <w:pPr>
        <w:spacing w:after="0" w:line="200" w:lineRule="exact"/>
        <w:rPr>
          <w:sz w:val="20"/>
          <w:szCs w:val="20"/>
          <w:color w:val="auto"/>
        </w:rPr>
      </w:pPr>
    </w:p>
    <w:p>
      <w:pPr>
        <w:spacing w:after="0" w:line="232"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CREDIT AGREEMENT</w:t>
      </w:r>
    </w:p>
    <w:p>
      <w:pPr>
        <w:spacing w:after="0" w:line="200" w:lineRule="exact"/>
        <w:rPr>
          <w:sz w:val="20"/>
          <w:szCs w:val="20"/>
          <w:color w:val="auto"/>
        </w:rPr>
      </w:pPr>
    </w:p>
    <w:p>
      <w:pPr>
        <w:spacing w:after="0" w:line="238"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dated as of July 31, 2020,</w:t>
      </w:r>
    </w:p>
    <w:p>
      <w:pPr>
        <w:spacing w:after="0" w:line="216"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among</w:t>
      </w:r>
    </w:p>
    <w:p>
      <w:pPr>
        <w:spacing w:after="0" w:line="200" w:lineRule="exact"/>
        <w:rPr>
          <w:sz w:val="20"/>
          <w:szCs w:val="20"/>
          <w:color w:val="auto"/>
        </w:rPr>
      </w:pPr>
    </w:p>
    <w:p>
      <w:pPr>
        <w:spacing w:after="0" w:line="226" w:lineRule="exact"/>
        <w:rPr>
          <w:sz w:val="20"/>
          <w:szCs w:val="20"/>
          <w:color w:val="auto"/>
        </w:rPr>
      </w:pPr>
    </w:p>
    <w:p>
      <w:pPr>
        <w:jc w:val="center"/>
        <w:ind w:right="460"/>
        <w:spacing w:after="0"/>
        <w:rPr>
          <w:sz w:val="20"/>
          <w:szCs w:val="20"/>
          <w:color w:val="auto"/>
        </w:rPr>
      </w:pPr>
      <w:r>
        <w:rPr>
          <w:rFonts w:ascii="Arial" w:cs="Arial" w:eastAsia="Arial" w:hAnsi="Arial"/>
          <w:sz w:val="20"/>
          <w:szCs w:val="20"/>
          <w:b w:val="1"/>
          <w:bCs w:val="1"/>
          <w:color w:val="auto"/>
        </w:rPr>
        <w:t>AXCELIS TECHNOLOGIES, INC.,</w:t>
      </w:r>
    </w:p>
    <w:p>
      <w:pPr>
        <w:spacing w:after="0" w:line="222"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as the Borrower,</w:t>
      </w:r>
    </w:p>
    <w:p>
      <w:pPr>
        <w:spacing w:after="0" w:line="210" w:lineRule="exact"/>
        <w:rPr>
          <w:sz w:val="20"/>
          <w:szCs w:val="20"/>
          <w:color w:val="auto"/>
        </w:rPr>
      </w:pPr>
    </w:p>
    <w:p>
      <w:pPr>
        <w:ind w:left="1420"/>
        <w:spacing w:after="0"/>
        <w:rPr>
          <w:sz w:val="20"/>
          <w:szCs w:val="20"/>
          <w:color w:val="auto"/>
        </w:rPr>
      </w:pPr>
      <w:r>
        <w:rPr>
          <w:rFonts w:ascii="Arial" w:cs="Arial" w:eastAsia="Arial" w:hAnsi="Arial"/>
          <w:sz w:val="20"/>
          <w:szCs w:val="20"/>
          <w:b w:val="1"/>
          <w:bCs w:val="1"/>
          <w:color w:val="auto"/>
        </w:rPr>
        <w:t>THE SEVERAL LENDERS FROM TIME TO TIME PARTY HERETO,</w:t>
      </w:r>
    </w:p>
    <w:p>
      <w:pPr>
        <w:spacing w:after="0" w:line="200" w:lineRule="exact"/>
        <w:rPr>
          <w:sz w:val="20"/>
          <w:szCs w:val="20"/>
          <w:color w:val="auto"/>
        </w:rPr>
      </w:pPr>
    </w:p>
    <w:p>
      <w:pPr>
        <w:spacing w:after="0" w:line="238"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26"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SILICON VALLEY BANK,</w:t>
      </w:r>
    </w:p>
    <w:p>
      <w:pPr>
        <w:spacing w:after="0" w:line="200" w:lineRule="exact"/>
        <w:rPr>
          <w:sz w:val="20"/>
          <w:szCs w:val="20"/>
          <w:color w:val="auto"/>
        </w:rPr>
      </w:pPr>
    </w:p>
    <w:p>
      <w:pPr>
        <w:spacing w:after="0" w:line="238"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as Administrative Agent, Issuing Lender and Swingline Lender, and as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1184910</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5" w:right="9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56"/>
        </w:trPr>
        <w:tc>
          <w:tcPr>
            <w:tcW w:w="960" w:type="dxa"/>
            <w:vAlign w:val="bottom"/>
          </w:tcPr>
          <w:p>
            <w:pPr>
              <w:spacing w:after="0"/>
              <w:rPr>
                <w:sz w:val="22"/>
                <w:szCs w:val="22"/>
                <w:color w:val="auto"/>
              </w:rPr>
            </w:pPr>
          </w:p>
        </w:tc>
        <w:tc>
          <w:tcPr>
            <w:tcW w:w="7340" w:type="dxa"/>
            <w:vAlign w:val="bottom"/>
          </w:tcPr>
          <w:p>
            <w:pPr>
              <w:ind w:left="3520"/>
              <w:spacing w:after="0"/>
              <w:rPr>
                <w:sz w:val="20"/>
                <w:szCs w:val="20"/>
                <w:color w:val="auto"/>
              </w:rPr>
            </w:pPr>
            <w:r>
              <w:rPr>
                <w:rFonts w:ascii="Arial" w:cs="Arial" w:eastAsia="Arial" w:hAnsi="Arial"/>
                <w:sz w:val="20"/>
                <w:szCs w:val="20"/>
                <w:b w:val="1"/>
                <w:bCs w:val="1"/>
                <w:color w:val="auto"/>
              </w:rPr>
              <w:t>Table of Contents</w:t>
            </w:r>
          </w:p>
        </w:tc>
        <w:tc>
          <w:tcPr>
            <w:tcW w:w="1620" w:type="dxa"/>
            <w:vAlign w:val="bottom"/>
          </w:tcPr>
          <w:p>
            <w:pPr>
              <w:spacing w:after="0"/>
              <w:rPr>
                <w:sz w:val="22"/>
                <w:szCs w:val="22"/>
                <w:color w:val="auto"/>
              </w:rPr>
            </w:pPr>
          </w:p>
        </w:tc>
      </w:tr>
      <w:tr>
        <w:trPr>
          <w:trHeight w:val="378"/>
        </w:trPr>
        <w:tc>
          <w:tcPr>
            <w:tcW w:w="9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378"/>
        </w:trPr>
        <w:tc>
          <w:tcPr>
            <w:tcW w:w="8300" w:type="dxa"/>
            <w:vAlign w:val="bottom"/>
            <w:gridSpan w:val="2"/>
          </w:tcPr>
          <w:p>
            <w:pPr>
              <w:spacing w:after="0"/>
              <w:rPr>
                <w:sz w:val="20"/>
                <w:szCs w:val="20"/>
                <w:color w:val="auto"/>
              </w:rPr>
            </w:pPr>
            <w:r>
              <w:rPr>
                <w:rFonts w:ascii="Arial" w:cs="Arial" w:eastAsia="Arial" w:hAnsi="Arial"/>
                <w:sz w:val="20"/>
                <w:szCs w:val="20"/>
                <w:color w:val="auto"/>
              </w:rPr>
              <w:t>SECTION 1 DEFINITIONS</w:t>
            </w:r>
          </w:p>
        </w:tc>
        <w:tc>
          <w:tcPr>
            <w:tcW w:w="16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51"/>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1.1</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Defined Terms</w:t>
            </w:r>
          </w:p>
        </w:tc>
        <w:tc>
          <w:tcPr>
            <w:tcW w:w="16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1.2</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Other Definitional Provisions</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1.3</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Rounding</w:t>
            </w:r>
          </w:p>
        </w:tc>
        <w:tc>
          <w:tcPr>
            <w:tcW w:w="162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56"/>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1.4</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Limited Condition Acquisition</w:t>
            </w:r>
          </w:p>
        </w:tc>
        <w:tc>
          <w:tcPr>
            <w:tcW w:w="162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78"/>
        </w:trPr>
        <w:tc>
          <w:tcPr>
            <w:tcW w:w="8300" w:type="dxa"/>
            <w:vAlign w:val="bottom"/>
            <w:gridSpan w:val="2"/>
          </w:tcPr>
          <w:p>
            <w:pPr>
              <w:spacing w:after="0"/>
              <w:rPr>
                <w:sz w:val="20"/>
                <w:szCs w:val="20"/>
                <w:color w:val="auto"/>
              </w:rPr>
            </w:pPr>
            <w:r>
              <w:rPr>
                <w:rFonts w:ascii="Arial" w:cs="Arial" w:eastAsia="Arial" w:hAnsi="Arial"/>
                <w:sz w:val="20"/>
                <w:szCs w:val="20"/>
                <w:color w:val="auto"/>
              </w:rPr>
              <w:t>SECTION 2 AMOUNT AND TERMS OF COMMITMENTS</w:t>
            </w:r>
          </w:p>
        </w:tc>
        <w:tc>
          <w:tcPr>
            <w:tcW w:w="162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51"/>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2.1</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[Reserved]</w:t>
            </w:r>
          </w:p>
        </w:tc>
        <w:tc>
          <w:tcPr>
            <w:tcW w:w="162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2.2</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[Reserved]</w:t>
            </w:r>
          </w:p>
        </w:tc>
        <w:tc>
          <w:tcPr>
            <w:tcW w:w="162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2.3</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[Reserved]</w:t>
            </w:r>
          </w:p>
        </w:tc>
        <w:tc>
          <w:tcPr>
            <w:tcW w:w="162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2.4</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Revolving Commitments</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2.5</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Procedure for Revolving Loan Borrowing</w:t>
            </w:r>
          </w:p>
        </w:tc>
        <w:tc>
          <w:tcPr>
            <w:tcW w:w="162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2.6</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Swingline Commitment</w:t>
            </w:r>
          </w:p>
        </w:tc>
        <w:tc>
          <w:tcPr>
            <w:tcW w:w="162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2.7</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Procedure for Swingline Borrowing; Refunding of Swingline Loans</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2.8</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Overadvances</w:t>
            </w:r>
          </w:p>
        </w:tc>
        <w:tc>
          <w:tcPr>
            <w:tcW w:w="162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2.9</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Fees</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2.10</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Termination or Reduction of Revolving Commitments; Prepayments</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2.11</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[Reserved]</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2.12</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[Reserved]</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2.13</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Conversion and Continuation Options</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2.14</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Limitations on Eurodollar Tranches</w:t>
            </w:r>
          </w:p>
        </w:tc>
        <w:tc>
          <w:tcPr>
            <w:tcW w:w="162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2.15</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Interest Rates and Payment Dates</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2.16</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Computation of Interest and Fees</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2.17</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Inability to Determine Interest Rate</w:t>
            </w:r>
          </w:p>
        </w:tc>
        <w:tc>
          <w:tcPr>
            <w:tcW w:w="16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2.18</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Pro Rata Treatment and Payments</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2.19</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Illegality; Requirements of Law</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2.20</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Taxes</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2.21</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Indemnity</w:t>
            </w:r>
          </w:p>
        </w:tc>
        <w:tc>
          <w:tcPr>
            <w:tcW w:w="162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2.22</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Change of Lending Office</w:t>
            </w:r>
          </w:p>
        </w:tc>
        <w:tc>
          <w:tcPr>
            <w:tcW w:w="16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2.23</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Substitution of Lenders</w:t>
            </w:r>
          </w:p>
        </w:tc>
        <w:tc>
          <w:tcPr>
            <w:tcW w:w="16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2.24</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Defaulting Lenders</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2.25</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Joint and Several Liability of the Borrowers</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2.26</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Notes</w:t>
            </w:r>
          </w:p>
        </w:tc>
        <w:tc>
          <w:tcPr>
            <w:tcW w:w="162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56"/>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2.27</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Incremental Facility</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378"/>
        </w:trPr>
        <w:tc>
          <w:tcPr>
            <w:tcW w:w="8300" w:type="dxa"/>
            <w:vAlign w:val="bottom"/>
            <w:gridSpan w:val="2"/>
          </w:tcPr>
          <w:p>
            <w:pPr>
              <w:spacing w:after="0"/>
              <w:rPr>
                <w:sz w:val="20"/>
                <w:szCs w:val="20"/>
                <w:color w:val="auto"/>
              </w:rPr>
            </w:pPr>
            <w:r>
              <w:rPr>
                <w:rFonts w:ascii="Arial" w:cs="Arial" w:eastAsia="Arial" w:hAnsi="Arial"/>
                <w:sz w:val="20"/>
                <w:szCs w:val="20"/>
                <w:color w:val="auto"/>
              </w:rPr>
              <w:t>SECTION 3 LETTERS OF CREDIT</w:t>
            </w:r>
          </w:p>
        </w:tc>
        <w:tc>
          <w:tcPr>
            <w:tcW w:w="16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51"/>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3.1</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L/C Commitment</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3.2</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Procedure for Issuance of Letters of Credit</w:t>
            </w:r>
          </w:p>
        </w:tc>
        <w:tc>
          <w:tcPr>
            <w:tcW w:w="16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3.3</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Fees and Other Charges</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3.4</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L/C Participations; Existing Letters of Credit</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3.5</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Reimbursement</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3.6</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Obligations Absolute</w:t>
            </w:r>
          </w:p>
        </w:tc>
        <w:tc>
          <w:tcPr>
            <w:tcW w:w="162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3.7</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Letter of Credit Payments</w:t>
            </w:r>
          </w:p>
        </w:tc>
        <w:tc>
          <w:tcPr>
            <w:tcW w:w="162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3.8</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Applications</w:t>
            </w:r>
          </w:p>
        </w:tc>
        <w:tc>
          <w:tcPr>
            <w:tcW w:w="162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3.9</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Interim Interest</w:t>
            </w:r>
          </w:p>
        </w:tc>
        <w:tc>
          <w:tcPr>
            <w:tcW w:w="162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3.10</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Cash Collateral</w:t>
            </w: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56"/>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3.11</w:t>
            </w:r>
          </w:p>
        </w:tc>
        <w:tc>
          <w:tcPr>
            <w:tcW w:w="7340" w:type="dxa"/>
            <w:vAlign w:val="bottom"/>
          </w:tcPr>
          <w:p>
            <w:pPr>
              <w:ind w:left="300"/>
              <w:spacing w:after="0"/>
              <w:rPr>
                <w:sz w:val="20"/>
                <w:szCs w:val="20"/>
                <w:color w:val="auto"/>
              </w:rPr>
            </w:pPr>
            <w:r>
              <w:rPr>
                <w:rFonts w:ascii="Arial" w:cs="Arial" w:eastAsia="Arial" w:hAnsi="Arial"/>
                <w:sz w:val="20"/>
                <w:szCs w:val="20"/>
                <w:b w:val="1"/>
                <w:bCs w:val="1"/>
                <w:color w:val="auto"/>
              </w:rPr>
              <w:t>Additional Issuing Lenders</w:t>
            </w:r>
          </w:p>
        </w:tc>
        <w:tc>
          <w:tcPr>
            <w:tcW w:w="1620" w:type="dxa"/>
            <w:vAlign w:val="bottom"/>
          </w:tcPr>
          <w:p>
            <w:pPr>
              <w:jc w:val="right"/>
              <w:spacing w:after="0"/>
              <w:rPr>
                <w:sz w:val="20"/>
                <w:szCs w:val="20"/>
                <w:color w:val="auto"/>
              </w:rPr>
            </w:pPr>
            <w:r>
              <w:rPr>
                <w:rFonts w:ascii="Arial" w:cs="Arial" w:eastAsia="Arial" w:hAnsi="Arial"/>
                <w:sz w:val="20"/>
                <w:szCs w:val="20"/>
                <w:color w:val="auto"/>
              </w:rPr>
              <w:t>61</w:t>
            </w:r>
          </w:p>
        </w:tc>
      </w:tr>
    </w:tbl>
    <w:p>
      <w:pPr>
        <w:spacing w:after="0" w:line="200" w:lineRule="exact"/>
        <w:rPr>
          <w:sz w:val="20"/>
          <w:szCs w:val="20"/>
          <w:color w:val="auto"/>
        </w:rPr>
      </w:pPr>
    </w:p>
    <w:p>
      <w:pPr>
        <w:sectPr>
          <w:pgSz w:w="11900" w:h="16838" w:orient="portrait"/>
          <w:cols w:equalWidth="0" w:num="1">
            <w:col w:w="9920"/>
          </w:cols>
          <w:pgMar w:left="980" w:top="873"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type w:val="continuous"/>
        </w:sectPr>
      </w:pPr>
    </w:p>
    <w:bookmarkStart w:id="36" w:name="page37"/>
    <w:bookmarkEnd w:id="36"/>
    <w:p>
      <w:pPr>
        <w:jc w:val="center"/>
        <w:ind w:right="-539"/>
        <w:spacing w:after="0"/>
        <w:rPr>
          <w:sz w:val="20"/>
          <w:szCs w:val="20"/>
          <w:color w:val="auto"/>
        </w:rPr>
      </w:pPr>
      <w:r>
        <w:rPr>
          <w:rFonts w:ascii="Arial" w:cs="Arial" w:eastAsia="Arial" w:hAnsi="Arial"/>
          <w:sz w:val="20"/>
          <w:szCs w:val="20"/>
          <w:b w:val="1"/>
          <w:bCs w:val="1"/>
          <w:color w:val="auto"/>
        </w:rPr>
        <w:t>Table of Contents</w:t>
      </w:r>
    </w:p>
    <w:p>
      <w:pPr>
        <w:spacing w:after="0" w:line="21" w:lineRule="exact"/>
        <w:rPr>
          <w:sz w:val="20"/>
          <w:szCs w:val="20"/>
          <w:color w:val="auto"/>
        </w:rPr>
      </w:pPr>
    </w:p>
    <w:p>
      <w:pPr>
        <w:jc w:val="center"/>
        <w:ind w:right="-539"/>
        <w:spacing w:after="0"/>
        <w:rPr>
          <w:sz w:val="20"/>
          <w:szCs w:val="20"/>
          <w:color w:val="auto"/>
        </w:rPr>
      </w:pPr>
      <w:r>
        <w:rPr>
          <w:rFonts w:ascii="Arial" w:cs="Arial" w:eastAsia="Arial" w:hAnsi="Arial"/>
          <w:sz w:val="20"/>
          <w:szCs w:val="20"/>
          <w:color w:val="auto"/>
        </w:rPr>
        <w:t>(continued)</w:t>
      </w:r>
    </w:p>
    <w:tbl>
      <w:tblPr>
        <w:tblLayout w:type="fixed"/>
        <w:tblInd w:w="0" w:type="dxa"/>
        <w:tblCellMar>
          <w:top w:w="0" w:type="dxa"/>
          <w:left w:w="0" w:type="dxa"/>
          <w:bottom w:w="0" w:type="dxa"/>
          <w:right w:w="0" w:type="dxa"/>
        </w:tblCellMar>
      </w:tblPr>
      <w:tr>
        <w:trPr>
          <w:trHeight w:val="256"/>
        </w:trPr>
        <w:tc>
          <w:tcPr>
            <w:tcW w:w="96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302"/>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3.12</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Resignation of the Issuing Lender</w:t>
            </w:r>
          </w:p>
        </w:tc>
        <w:tc>
          <w:tcPr>
            <w:tcW w:w="256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56"/>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3.13</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Applicability of UCP and ISP</w:t>
            </w:r>
          </w:p>
        </w:tc>
        <w:tc>
          <w:tcPr>
            <w:tcW w:w="256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351"/>
        </w:trPr>
        <w:tc>
          <w:tcPr>
            <w:tcW w:w="7360" w:type="dxa"/>
            <w:vAlign w:val="bottom"/>
            <w:gridSpan w:val="2"/>
          </w:tcPr>
          <w:p>
            <w:pPr>
              <w:spacing w:after="0"/>
              <w:rPr>
                <w:sz w:val="20"/>
                <w:szCs w:val="20"/>
                <w:color w:val="auto"/>
              </w:rPr>
            </w:pPr>
            <w:r>
              <w:rPr>
                <w:rFonts w:ascii="Arial" w:cs="Arial" w:eastAsia="Arial" w:hAnsi="Arial"/>
                <w:sz w:val="20"/>
                <w:szCs w:val="20"/>
                <w:color w:val="auto"/>
              </w:rPr>
              <w:t>SECTION 4 REPRESENTATIONS AND WARRANTIES</w:t>
            </w:r>
          </w:p>
        </w:tc>
        <w:tc>
          <w:tcPr>
            <w:tcW w:w="256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324"/>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4.1</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Financial Condition</w:t>
            </w:r>
            <w:r>
              <w:rPr>
                <w:rFonts w:ascii="Arial" w:cs="Arial" w:eastAsia="Arial" w:hAnsi="Arial"/>
                <w:sz w:val="20"/>
                <w:szCs w:val="20"/>
                <w:color w:val="auto"/>
              </w:rPr>
              <w:t>.</w:t>
            </w:r>
          </w:p>
        </w:tc>
        <w:tc>
          <w:tcPr>
            <w:tcW w:w="256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4.2</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No Change</w:t>
            </w:r>
          </w:p>
        </w:tc>
        <w:tc>
          <w:tcPr>
            <w:tcW w:w="25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4.3</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Existence; Compliance with Law</w:t>
            </w:r>
          </w:p>
        </w:tc>
        <w:tc>
          <w:tcPr>
            <w:tcW w:w="25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4.4</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Power, Authorization; Enforceable Obligations</w:t>
            </w:r>
          </w:p>
        </w:tc>
        <w:tc>
          <w:tcPr>
            <w:tcW w:w="25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4.5</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No Legal Bar</w:t>
            </w:r>
          </w:p>
        </w:tc>
        <w:tc>
          <w:tcPr>
            <w:tcW w:w="25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4.6</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Litigation</w:t>
            </w:r>
          </w:p>
        </w:tc>
        <w:tc>
          <w:tcPr>
            <w:tcW w:w="256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4.7</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No Default</w:t>
            </w:r>
          </w:p>
        </w:tc>
        <w:tc>
          <w:tcPr>
            <w:tcW w:w="256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4.8</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Ownership of Property; Liens; Investments</w:t>
            </w:r>
          </w:p>
        </w:tc>
        <w:tc>
          <w:tcPr>
            <w:tcW w:w="256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4.9</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Intellectual Property</w:t>
            </w:r>
          </w:p>
        </w:tc>
        <w:tc>
          <w:tcPr>
            <w:tcW w:w="256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4.10</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Taxes</w:t>
            </w:r>
          </w:p>
        </w:tc>
        <w:tc>
          <w:tcPr>
            <w:tcW w:w="256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4.11</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Federal Regulations</w:t>
            </w:r>
          </w:p>
        </w:tc>
        <w:tc>
          <w:tcPr>
            <w:tcW w:w="256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4.12</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Labor Matters</w:t>
            </w:r>
          </w:p>
        </w:tc>
        <w:tc>
          <w:tcPr>
            <w:tcW w:w="25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4.13</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ERISA</w:t>
            </w:r>
          </w:p>
        </w:tc>
        <w:tc>
          <w:tcPr>
            <w:tcW w:w="25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4.14</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Investment Company Act; Other Regulations</w:t>
            </w:r>
          </w:p>
        </w:tc>
        <w:tc>
          <w:tcPr>
            <w:tcW w:w="256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4.15</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Subsidiaries</w:t>
            </w:r>
          </w:p>
        </w:tc>
        <w:tc>
          <w:tcPr>
            <w:tcW w:w="256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4.16</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Use of Proceeds</w:t>
            </w:r>
          </w:p>
        </w:tc>
        <w:tc>
          <w:tcPr>
            <w:tcW w:w="256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4.17</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Environmental Matters</w:t>
            </w:r>
          </w:p>
        </w:tc>
        <w:tc>
          <w:tcPr>
            <w:tcW w:w="256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4.18</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Accuracy of Information, etc.</w:t>
            </w:r>
          </w:p>
        </w:tc>
        <w:tc>
          <w:tcPr>
            <w:tcW w:w="256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4.19</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Security Documents</w:t>
            </w:r>
            <w:r>
              <w:rPr>
                <w:rFonts w:ascii="Arial" w:cs="Arial" w:eastAsia="Arial" w:hAnsi="Arial"/>
                <w:sz w:val="20"/>
                <w:szCs w:val="20"/>
                <w:color w:val="auto"/>
              </w:rPr>
              <w:t>.</w:t>
            </w:r>
          </w:p>
        </w:tc>
        <w:tc>
          <w:tcPr>
            <w:tcW w:w="256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4.20</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Solvency; Voidable Transaction</w:t>
            </w:r>
          </w:p>
        </w:tc>
        <w:tc>
          <w:tcPr>
            <w:tcW w:w="25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4.21</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Regulation H</w:t>
            </w:r>
          </w:p>
        </w:tc>
        <w:tc>
          <w:tcPr>
            <w:tcW w:w="25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4.22</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Designated Senior Indebtedness</w:t>
            </w:r>
          </w:p>
        </w:tc>
        <w:tc>
          <w:tcPr>
            <w:tcW w:w="25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4.23</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[Reserved]</w:t>
            </w:r>
          </w:p>
        </w:tc>
        <w:tc>
          <w:tcPr>
            <w:tcW w:w="25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4.24</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Insurance</w:t>
            </w:r>
          </w:p>
        </w:tc>
        <w:tc>
          <w:tcPr>
            <w:tcW w:w="25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4.25</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No Casualty</w:t>
            </w:r>
          </w:p>
        </w:tc>
        <w:tc>
          <w:tcPr>
            <w:tcW w:w="25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4.26</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[Reserved]</w:t>
            </w:r>
            <w:r>
              <w:rPr>
                <w:rFonts w:ascii="Arial" w:cs="Arial" w:eastAsia="Arial" w:hAnsi="Arial"/>
                <w:sz w:val="20"/>
                <w:szCs w:val="20"/>
                <w:color w:val="auto"/>
              </w:rPr>
              <w:t>.</w:t>
            </w:r>
          </w:p>
        </w:tc>
        <w:tc>
          <w:tcPr>
            <w:tcW w:w="256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4.27</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[Reserved]</w:t>
            </w:r>
            <w:r>
              <w:rPr>
                <w:rFonts w:ascii="Arial" w:cs="Arial" w:eastAsia="Arial" w:hAnsi="Arial"/>
                <w:sz w:val="20"/>
                <w:szCs w:val="20"/>
                <w:color w:val="auto"/>
              </w:rPr>
              <w:t>.</w:t>
            </w:r>
          </w:p>
        </w:tc>
        <w:tc>
          <w:tcPr>
            <w:tcW w:w="256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4.28</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OFAC</w:t>
            </w:r>
          </w:p>
        </w:tc>
        <w:tc>
          <w:tcPr>
            <w:tcW w:w="256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56"/>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4.29</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Anti-Corruption Laws</w:t>
            </w:r>
          </w:p>
        </w:tc>
        <w:tc>
          <w:tcPr>
            <w:tcW w:w="256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351"/>
        </w:trPr>
        <w:tc>
          <w:tcPr>
            <w:tcW w:w="7360" w:type="dxa"/>
            <w:vAlign w:val="bottom"/>
            <w:gridSpan w:val="2"/>
          </w:tcPr>
          <w:p>
            <w:pPr>
              <w:spacing w:after="0"/>
              <w:rPr>
                <w:sz w:val="20"/>
                <w:szCs w:val="20"/>
                <w:color w:val="auto"/>
              </w:rPr>
            </w:pPr>
            <w:r>
              <w:rPr>
                <w:rFonts w:ascii="Arial" w:cs="Arial" w:eastAsia="Arial" w:hAnsi="Arial"/>
                <w:sz w:val="20"/>
                <w:szCs w:val="20"/>
                <w:color w:val="auto"/>
              </w:rPr>
              <w:t>SECTION 5 CONDITIONS PRECEDENT</w:t>
            </w:r>
          </w:p>
        </w:tc>
        <w:tc>
          <w:tcPr>
            <w:tcW w:w="256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324"/>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5.1</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Conditions to Closing</w:t>
            </w:r>
          </w:p>
        </w:tc>
        <w:tc>
          <w:tcPr>
            <w:tcW w:w="256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5.2</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Conditions to Each Extension of Credit</w:t>
            </w:r>
          </w:p>
        </w:tc>
        <w:tc>
          <w:tcPr>
            <w:tcW w:w="256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56"/>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5.3</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Post-Closing Conditions Subsequent</w:t>
            </w:r>
          </w:p>
        </w:tc>
        <w:tc>
          <w:tcPr>
            <w:tcW w:w="256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51"/>
        </w:trPr>
        <w:tc>
          <w:tcPr>
            <w:tcW w:w="7360" w:type="dxa"/>
            <w:vAlign w:val="bottom"/>
            <w:gridSpan w:val="2"/>
          </w:tcPr>
          <w:p>
            <w:pPr>
              <w:spacing w:after="0"/>
              <w:rPr>
                <w:sz w:val="20"/>
                <w:szCs w:val="20"/>
                <w:color w:val="auto"/>
              </w:rPr>
            </w:pPr>
            <w:r>
              <w:rPr>
                <w:rFonts w:ascii="Arial" w:cs="Arial" w:eastAsia="Arial" w:hAnsi="Arial"/>
                <w:sz w:val="20"/>
                <w:szCs w:val="20"/>
                <w:color w:val="auto"/>
              </w:rPr>
              <w:t>SECTION 6 AFFIRMATIVE COVENANTS</w:t>
            </w:r>
          </w:p>
        </w:tc>
        <w:tc>
          <w:tcPr>
            <w:tcW w:w="256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24"/>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6.1</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Financial Statements</w:t>
            </w:r>
          </w:p>
        </w:tc>
        <w:tc>
          <w:tcPr>
            <w:tcW w:w="256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6.2</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Certificates; Reports; Other Information</w:t>
            </w:r>
          </w:p>
        </w:tc>
        <w:tc>
          <w:tcPr>
            <w:tcW w:w="256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6.3</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[Reserved]</w:t>
            </w:r>
            <w:r>
              <w:rPr>
                <w:rFonts w:ascii="Arial" w:cs="Arial" w:eastAsia="Arial" w:hAnsi="Arial"/>
                <w:sz w:val="20"/>
                <w:szCs w:val="20"/>
                <w:color w:val="auto"/>
              </w:rPr>
              <w:t>.</w:t>
            </w:r>
          </w:p>
        </w:tc>
        <w:tc>
          <w:tcPr>
            <w:tcW w:w="256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6.4</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Payment of Obligations</w:t>
            </w:r>
          </w:p>
        </w:tc>
        <w:tc>
          <w:tcPr>
            <w:tcW w:w="256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6.5</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Maintenance of Existence; Compliance</w:t>
            </w:r>
          </w:p>
        </w:tc>
        <w:tc>
          <w:tcPr>
            <w:tcW w:w="256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6.6</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Maintenance of Property; Insurance</w:t>
            </w:r>
          </w:p>
        </w:tc>
        <w:tc>
          <w:tcPr>
            <w:tcW w:w="256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6.7</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Books and Records; Discussions</w:t>
            </w:r>
          </w:p>
        </w:tc>
        <w:tc>
          <w:tcPr>
            <w:tcW w:w="256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56"/>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6.8</w:t>
            </w:r>
          </w:p>
        </w:tc>
        <w:tc>
          <w:tcPr>
            <w:tcW w:w="6400" w:type="dxa"/>
            <w:vAlign w:val="bottom"/>
          </w:tcPr>
          <w:p>
            <w:pPr>
              <w:ind w:left="300"/>
              <w:spacing w:after="0"/>
              <w:rPr>
                <w:sz w:val="20"/>
                <w:szCs w:val="20"/>
                <w:color w:val="auto"/>
              </w:rPr>
            </w:pPr>
            <w:r>
              <w:rPr>
                <w:rFonts w:ascii="Arial" w:cs="Arial" w:eastAsia="Arial" w:hAnsi="Arial"/>
                <w:sz w:val="20"/>
                <w:szCs w:val="20"/>
                <w:b w:val="1"/>
                <w:bCs w:val="1"/>
                <w:color w:val="auto"/>
              </w:rPr>
              <w:t>Notices</w:t>
            </w:r>
          </w:p>
        </w:tc>
        <w:tc>
          <w:tcPr>
            <w:tcW w:w="2560" w:type="dxa"/>
            <w:vAlign w:val="bottom"/>
          </w:tcPr>
          <w:p>
            <w:pPr>
              <w:jc w:val="right"/>
              <w:spacing w:after="0"/>
              <w:rPr>
                <w:sz w:val="20"/>
                <w:szCs w:val="20"/>
                <w:color w:val="auto"/>
              </w:rPr>
            </w:pPr>
            <w:r>
              <w:rPr>
                <w:rFonts w:ascii="Arial" w:cs="Arial" w:eastAsia="Arial" w:hAnsi="Arial"/>
                <w:sz w:val="20"/>
                <w:szCs w:val="20"/>
                <w:color w:val="auto"/>
              </w:rPr>
              <w:t>77</w:t>
            </w:r>
          </w:p>
        </w:tc>
      </w:tr>
    </w:tbl>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5"/>
        </w:trPr>
        <w:tc>
          <w:tcPr>
            <w:tcW w:w="960" w:type="dxa"/>
            <w:vAlign w:val="bottom"/>
          </w:tcPr>
          <w:p>
            <w:pPr>
              <w:spacing w:after="0"/>
              <w:rPr>
                <w:sz w:val="20"/>
                <w:szCs w:val="20"/>
                <w:color w:val="auto"/>
              </w:rPr>
            </w:pPr>
          </w:p>
        </w:tc>
        <w:tc>
          <w:tcPr>
            <w:tcW w:w="8120" w:type="dxa"/>
            <w:vAlign w:val="bottom"/>
          </w:tcPr>
          <w:p>
            <w:pPr>
              <w:ind w:left="3520"/>
              <w:spacing w:after="0"/>
              <w:rPr>
                <w:sz w:val="20"/>
                <w:szCs w:val="20"/>
                <w:color w:val="auto"/>
              </w:rPr>
            </w:pPr>
            <w:r>
              <w:rPr>
                <w:rFonts w:ascii="Arial" w:cs="Arial" w:eastAsia="Arial" w:hAnsi="Arial"/>
                <w:sz w:val="20"/>
                <w:szCs w:val="20"/>
                <w:b w:val="1"/>
                <w:bCs w:val="1"/>
                <w:color w:val="auto"/>
              </w:rPr>
              <w:t>Table of Contents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8120" w:type="dxa"/>
            <w:vAlign w:val="bottom"/>
          </w:tcPr>
          <w:p>
            <w:pPr>
              <w:ind w:left="3820"/>
              <w:spacing w:after="0"/>
              <w:rPr>
                <w:sz w:val="20"/>
                <w:szCs w:val="20"/>
                <w:color w:val="auto"/>
              </w:rPr>
            </w:pPr>
            <w:r>
              <w:rPr>
                <w:rFonts w:ascii="Arial" w:cs="Arial" w:eastAsia="Arial" w:hAnsi="Arial"/>
                <w:sz w:val="20"/>
                <w:szCs w:val="20"/>
                <w:color w:val="auto"/>
              </w:rPr>
              <w:t>(continued)</w:t>
            </w:r>
          </w:p>
        </w:tc>
        <w:tc>
          <w:tcPr>
            <w:tcW w:w="8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6.9</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Environmental Laws</w:t>
            </w: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6.10</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Operating Accounts</w:t>
            </w:r>
          </w:p>
        </w:tc>
        <w:tc>
          <w:tcPr>
            <w:tcW w:w="840" w:type="dxa"/>
            <w:vAlign w:val="bottom"/>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6.11</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[Reserved]</w:t>
            </w:r>
          </w:p>
        </w:tc>
        <w:tc>
          <w:tcPr>
            <w:tcW w:w="840" w:type="dxa"/>
            <w:vAlign w:val="bottom"/>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6.12</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Additional Collateral, Etc.</w:t>
            </w:r>
          </w:p>
        </w:tc>
        <w:tc>
          <w:tcPr>
            <w:tcW w:w="840" w:type="dxa"/>
            <w:vAlign w:val="bottom"/>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6.13</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[Reserved]</w:t>
            </w:r>
          </w:p>
        </w:tc>
        <w:tc>
          <w:tcPr>
            <w:tcW w:w="84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6.14</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Use of Proceeds</w:t>
            </w:r>
          </w:p>
        </w:tc>
        <w:tc>
          <w:tcPr>
            <w:tcW w:w="84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6.15</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Designated Senior Indebtedness</w:t>
            </w:r>
          </w:p>
        </w:tc>
        <w:tc>
          <w:tcPr>
            <w:tcW w:w="84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6.16</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Anti-Corruption Laws</w:t>
            </w:r>
          </w:p>
        </w:tc>
        <w:tc>
          <w:tcPr>
            <w:tcW w:w="84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56"/>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6.17</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Further Assurances</w:t>
            </w:r>
          </w:p>
        </w:tc>
        <w:tc>
          <w:tcPr>
            <w:tcW w:w="84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365"/>
        </w:trPr>
        <w:tc>
          <w:tcPr>
            <w:tcW w:w="9080" w:type="dxa"/>
            <w:vAlign w:val="bottom"/>
            <w:gridSpan w:val="2"/>
          </w:tcPr>
          <w:p>
            <w:pPr>
              <w:spacing w:after="0"/>
              <w:rPr>
                <w:sz w:val="20"/>
                <w:szCs w:val="20"/>
                <w:color w:val="auto"/>
              </w:rPr>
            </w:pPr>
            <w:r>
              <w:rPr>
                <w:rFonts w:ascii="Arial" w:cs="Arial" w:eastAsia="Arial" w:hAnsi="Arial"/>
                <w:sz w:val="20"/>
                <w:szCs w:val="20"/>
                <w:color w:val="auto"/>
              </w:rPr>
              <w:t>SECTION 7 NEGATIVE COVENANTS</w:t>
            </w:r>
          </w:p>
        </w:tc>
        <w:tc>
          <w:tcPr>
            <w:tcW w:w="84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338"/>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7.1</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Financial Condition Covenants</w:t>
            </w: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7.2</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Indebtedness</w:t>
            </w:r>
          </w:p>
        </w:tc>
        <w:tc>
          <w:tcPr>
            <w:tcW w:w="840" w:type="dxa"/>
            <w:vAlign w:val="bottom"/>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7.3</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Liens</w:t>
            </w:r>
          </w:p>
        </w:tc>
        <w:tc>
          <w:tcPr>
            <w:tcW w:w="840" w:type="dxa"/>
            <w:vAlign w:val="bottom"/>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7.4</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Fundamental Changes</w:t>
            </w:r>
          </w:p>
        </w:tc>
        <w:tc>
          <w:tcPr>
            <w:tcW w:w="840" w:type="dxa"/>
            <w:vAlign w:val="bottom"/>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7.5</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Disposition of Property</w:t>
            </w:r>
          </w:p>
        </w:tc>
        <w:tc>
          <w:tcPr>
            <w:tcW w:w="840" w:type="dxa"/>
            <w:vAlign w:val="bottom"/>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7.6</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Restricted Payments</w:t>
            </w:r>
          </w:p>
        </w:tc>
        <w:tc>
          <w:tcPr>
            <w:tcW w:w="840" w:type="dxa"/>
            <w:vAlign w:val="bottom"/>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7.7</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[Reserved]</w:t>
            </w:r>
          </w:p>
        </w:tc>
        <w:tc>
          <w:tcPr>
            <w:tcW w:w="840" w:type="dxa"/>
            <w:vAlign w:val="bottom"/>
          </w:tcPr>
          <w:p>
            <w:pPr>
              <w:jc w:val="right"/>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7.8</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Investments</w:t>
            </w:r>
          </w:p>
        </w:tc>
        <w:tc>
          <w:tcPr>
            <w:tcW w:w="840" w:type="dxa"/>
            <w:vAlign w:val="bottom"/>
          </w:tcPr>
          <w:p>
            <w:pPr>
              <w:jc w:val="right"/>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7.9</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ERISA</w:t>
            </w:r>
          </w:p>
        </w:tc>
        <w:tc>
          <w:tcPr>
            <w:tcW w:w="840" w:type="dxa"/>
            <w:vAlign w:val="bottom"/>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7.10</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w w:val="94"/>
              </w:rPr>
              <w:t>Optional Payments and Modifications of Certain Preferred Stock and Debt Instruments</w:t>
            </w:r>
          </w:p>
        </w:tc>
        <w:tc>
          <w:tcPr>
            <w:tcW w:w="840" w:type="dxa"/>
            <w:vAlign w:val="bottom"/>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7.11</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Transactions with Affiliates</w:t>
            </w:r>
          </w:p>
        </w:tc>
        <w:tc>
          <w:tcPr>
            <w:tcW w:w="84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7.12</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Sale Leaseback Transactions</w:t>
            </w:r>
          </w:p>
        </w:tc>
        <w:tc>
          <w:tcPr>
            <w:tcW w:w="84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7.13</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Swap Agreements</w:t>
            </w:r>
          </w:p>
        </w:tc>
        <w:tc>
          <w:tcPr>
            <w:tcW w:w="84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7.14</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Accounting Changes</w:t>
            </w:r>
          </w:p>
        </w:tc>
        <w:tc>
          <w:tcPr>
            <w:tcW w:w="84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7.15</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Negative Pledge Clauses</w:t>
            </w:r>
          </w:p>
        </w:tc>
        <w:tc>
          <w:tcPr>
            <w:tcW w:w="84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7.16</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Clauses Restricting Subsidiary Distributions</w:t>
            </w:r>
          </w:p>
        </w:tc>
        <w:tc>
          <w:tcPr>
            <w:tcW w:w="84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7.17</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Lines of Business</w:t>
            </w:r>
          </w:p>
        </w:tc>
        <w:tc>
          <w:tcPr>
            <w:tcW w:w="840" w:type="dxa"/>
            <w:vAlign w:val="bottom"/>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7.18</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Designation of other Indebtedness</w:t>
            </w:r>
          </w:p>
        </w:tc>
        <w:tc>
          <w:tcPr>
            <w:tcW w:w="840" w:type="dxa"/>
            <w:vAlign w:val="bottom"/>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7.19</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[Reserved]</w:t>
            </w:r>
          </w:p>
        </w:tc>
        <w:tc>
          <w:tcPr>
            <w:tcW w:w="840" w:type="dxa"/>
            <w:vAlign w:val="bottom"/>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7.20</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Amendments to Operating Documents and Material Contracts</w:t>
            </w:r>
          </w:p>
        </w:tc>
        <w:tc>
          <w:tcPr>
            <w:tcW w:w="840" w:type="dxa"/>
            <w:vAlign w:val="bottom"/>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7.21</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Use of Proceeds</w:t>
            </w:r>
          </w:p>
        </w:tc>
        <w:tc>
          <w:tcPr>
            <w:tcW w:w="840" w:type="dxa"/>
            <w:vAlign w:val="bottom"/>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7.22</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[Reserved]</w:t>
            </w: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94</w:t>
            </w:r>
          </w:p>
        </w:tc>
        <w:tc>
          <w:tcPr>
            <w:tcW w:w="0" w:type="dxa"/>
            <w:vAlign w:val="bottom"/>
          </w:tcPr>
          <w:p>
            <w:pPr>
              <w:spacing w:after="0"/>
              <w:rPr>
                <w:sz w:val="1"/>
                <w:szCs w:val="1"/>
                <w:color w:val="auto"/>
              </w:rPr>
            </w:pPr>
          </w:p>
        </w:tc>
      </w:tr>
      <w:tr>
        <w:trPr>
          <w:trHeight w:val="256"/>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7.23</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Anti-Terrorism Laws</w:t>
            </w:r>
          </w:p>
        </w:tc>
        <w:tc>
          <w:tcPr>
            <w:tcW w:w="840" w:type="dxa"/>
            <w:vAlign w:val="bottom"/>
          </w:tcPr>
          <w:p>
            <w:pPr>
              <w:jc w:val="right"/>
              <w:spacing w:after="0"/>
              <w:rPr>
                <w:sz w:val="20"/>
                <w:szCs w:val="20"/>
                <w:color w:val="auto"/>
              </w:rPr>
            </w:pPr>
            <w:r>
              <w:rPr>
                <w:rFonts w:ascii="Arial" w:cs="Arial" w:eastAsia="Arial" w:hAnsi="Arial"/>
                <w:sz w:val="20"/>
                <w:szCs w:val="20"/>
                <w:color w:val="auto"/>
              </w:rPr>
              <w:t>94</w:t>
            </w:r>
          </w:p>
        </w:tc>
        <w:tc>
          <w:tcPr>
            <w:tcW w:w="0" w:type="dxa"/>
            <w:vAlign w:val="bottom"/>
          </w:tcPr>
          <w:p>
            <w:pPr>
              <w:spacing w:after="0"/>
              <w:rPr>
                <w:sz w:val="1"/>
                <w:szCs w:val="1"/>
                <w:color w:val="auto"/>
              </w:rPr>
            </w:pPr>
          </w:p>
        </w:tc>
      </w:tr>
      <w:tr>
        <w:trPr>
          <w:trHeight w:val="365"/>
        </w:trPr>
        <w:tc>
          <w:tcPr>
            <w:tcW w:w="9080" w:type="dxa"/>
            <w:vAlign w:val="bottom"/>
            <w:gridSpan w:val="2"/>
          </w:tcPr>
          <w:p>
            <w:pPr>
              <w:spacing w:after="0"/>
              <w:rPr>
                <w:sz w:val="20"/>
                <w:szCs w:val="20"/>
                <w:color w:val="auto"/>
              </w:rPr>
            </w:pPr>
            <w:r>
              <w:rPr>
                <w:rFonts w:ascii="Arial" w:cs="Arial" w:eastAsia="Arial" w:hAnsi="Arial"/>
                <w:sz w:val="20"/>
                <w:szCs w:val="20"/>
                <w:color w:val="auto"/>
              </w:rPr>
              <w:t>SECTION 8 EVENTS OF DEFAULT</w:t>
            </w:r>
          </w:p>
        </w:tc>
        <w:tc>
          <w:tcPr>
            <w:tcW w:w="840" w:type="dxa"/>
            <w:vAlign w:val="bottom"/>
          </w:tcPr>
          <w:p>
            <w:pPr>
              <w:jc w:val="right"/>
              <w:spacing w:after="0"/>
              <w:rPr>
                <w:sz w:val="20"/>
                <w:szCs w:val="20"/>
                <w:color w:val="auto"/>
              </w:rPr>
            </w:pPr>
            <w:r>
              <w:rPr>
                <w:rFonts w:ascii="Arial" w:cs="Arial" w:eastAsia="Arial" w:hAnsi="Arial"/>
                <w:sz w:val="20"/>
                <w:szCs w:val="20"/>
                <w:color w:val="auto"/>
              </w:rPr>
              <w:t>94</w:t>
            </w:r>
          </w:p>
        </w:tc>
        <w:tc>
          <w:tcPr>
            <w:tcW w:w="0" w:type="dxa"/>
            <w:vAlign w:val="bottom"/>
          </w:tcPr>
          <w:p>
            <w:pPr>
              <w:spacing w:after="0"/>
              <w:rPr>
                <w:sz w:val="1"/>
                <w:szCs w:val="1"/>
                <w:color w:val="auto"/>
              </w:rPr>
            </w:pPr>
          </w:p>
        </w:tc>
      </w:tr>
      <w:tr>
        <w:trPr>
          <w:trHeight w:val="338"/>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8.1</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Events of Default</w:t>
            </w:r>
          </w:p>
        </w:tc>
        <w:tc>
          <w:tcPr>
            <w:tcW w:w="840" w:type="dxa"/>
            <w:vAlign w:val="bottom"/>
          </w:tcPr>
          <w:p>
            <w:pPr>
              <w:jc w:val="right"/>
              <w:spacing w:after="0"/>
              <w:rPr>
                <w:sz w:val="20"/>
                <w:szCs w:val="20"/>
                <w:color w:val="auto"/>
              </w:rPr>
            </w:pPr>
            <w:r>
              <w:rPr>
                <w:rFonts w:ascii="Arial" w:cs="Arial" w:eastAsia="Arial" w:hAnsi="Arial"/>
                <w:sz w:val="20"/>
                <w:szCs w:val="20"/>
                <w:color w:val="auto"/>
              </w:rPr>
              <w:t>94</w:t>
            </w:r>
          </w:p>
        </w:tc>
        <w:tc>
          <w:tcPr>
            <w:tcW w:w="0" w:type="dxa"/>
            <w:vAlign w:val="bottom"/>
          </w:tcPr>
          <w:p>
            <w:pPr>
              <w:spacing w:after="0"/>
              <w:rPr>
                <w:sz w:val="1"/>
                <w:szCs w:val="1"/>
                <w:color w:val="auto"/>
              </w:rPr>
            </w:pP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8.2</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Remedies Upon Event of Default</w:t>
            </w:r>
          </w:p>
        </w:tc>
        <w:tc>
          <w:tcPr>
            <w:tcW w:w="840" w:type="dxa"/>
            <w:vAlign w:val="bottom"/>
          </w:tcPr>
          <w:p>
            <w:pPr>
              <w:jc w:val="right"/>
              <w:spacing w:after="0"/>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r>
        <w:trPr>
          <w:trHeight w:val="256"/>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8.3</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Application of Funds</w:t>
            </w:r>
          </w:p>
        </w:tc>
        <w:tc>
          <w:tcPr>
            <w:tcW w:w="840" w:type="dxa"/>
            <w:vAlign w:val="bottom"/>
          </w:tcPr>
          <w:p>
            <w:pPr>
              <w:jc w:val="right"/>
              <w:spacing w:after="0"/>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365"/>
        </w:trPr>
        <w:tc>
          <w:tcPr>
            <w:tcW w:w="9080" w:type="dxa"/>
            <w:vAlign w:val="bottom"/>
            <w:gridSpan w:val="2"/>
          </w:tcPr>
          <w:p>
            <w:pPr>
              <w:spacing w:after="0"/>
              <w:rPr>
                <w:sz w:val="20"/>
                <w:szCs w:val="20"/>
                <w:color w:val="auto"/>
              </w:rPr>
            </w:pPr>
            <w:r>
              <w:rPr>
                <w:rFonts w:ascii="Arial" w:cs="Arial" w:eastAsia="Arial" w:hAnsi="Arial"/>
                <w:sz w:val="20"/>
                <w:szCs w:val="20"/>
                <w:color w:val="auto"/>
              </w:rPr>
              <w:t>SECTION 9 THE ADMINISTRATIVE AGENT</w:t>
            </w:r>
          </w:p>
        </w:tc>
        <w:tc>
          <w:tcPr>
            <w:tcW w:w="840" w:type="dxa"/>
            <w:vAlign w:val="bottom"/>
          </w:tcPr>
          <w:p>
            <w:pPr>
              <w:jc w:val="right"/>
              <w:spacing w:after="0"/>
              <w:rPr>
                <w:sz w:val="20"/>
                <w:szCs w:val="20"/>
                <w:color w:val="auto"/>
              </w:rPr>
            </w:pPr>
            <w:r>
              <w:rPr>
                <w:rFonts w:ascii="Arial" w:cs="Arial" w:eastAsia="Arial" w:hAnsi="Arial"/>
                <w:sz w:val="20"/>
                <w:szCs w:val="20"/>
                <w:color w:val="auto"/>
              </w:rPr>
              <w:t>99</w:t>
            </w:r>
          </w:p>
        </w:tc>
        <w:tc>
          <w:tcPr>
            <w:tcW w:w="0" w:type="dxa"/>
            <w:vAlign w:val="bottom"/>
          </w:tcPr>
          <w:p>
            <w:pPr>
              <w:spacing w:after="0"/>
              <w:rPr>
                <w:sz w:val="1"/>
                <w:szCs w:val="1"/>
                <w:color w:val="auto"/>
              </w:rPr>
            </w:pPr>
          </w:p>
        </w:tc>
      </w:tr>
      <w:tr>
        <w:trPr>
          <w:trHeight w:val="338"/>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9.1</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Appointment and Authority</w:t>
            </w: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99</w:t>
            </w:r>
          </w:p>
        </w:tc>
        <w:tc>
          <w:tcPr>
            <w:tcW w:w="0" w:type="dxa"/>
            <w:vAlign w:val="bottom"/>
          </w:tcPr>
          <w:p>
            <w:pPr>
              <w:spacing w:after="0"/>
              <w:rPr>
                <w:sz w:val="1"/>
                <w:szCs w:val="1"/>
                <w:color w:val="auto"/>
              </w:rPr>
            </w:pP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9.2</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Delegation of Duties</w:t>
            </w:r>
          </w:p>
        </w:tc>
        <w:tc>
          <w:tcPr>
            <w:tcW w:w="84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9.3</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Exculpatory Provisions</w:t>
            </w:r>
          </w:p>
        </w:tc>
        <w:tc>
          <w:tcPr>
            <w:tcW w:w="84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29"/>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9.4</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Reliance by Administrative Agent</w:t>
            </w:r>
          </w:p>
        </w:tc>
        <w:tc>
          <w:tcPr>
            <w:tcW w:w="840" w:type="dxa"/>
            <w:vAlign w:val="bottom"/>
          </w:tcPr>
          <w:p>
            <w:pPr>
              <w:jc w:val="right"/>
              <w:spacing w:after="0"/>
              <w:rPr>
                <w:sz w:val="20"/>
                <w:szCs w:val="20"/>
                <w:color w:val="auto"/>
              </w:rPr>
            </w:pPr>
            <w:r>
              <w:rPr>
                <w:rFonts w:ascii="Arial" w:cs="Arial" w:eastAsia="Arial" w:hAnsi="Arial"/>
                <w:sz w:val="20"/>
                <w:szCs w:val="20"/>
                <w:color w:val="auto"/>
              </w:rPr>
              <w:t>101</w:t>
            </w:r>
          </w:p>
        </w:tc>
        <w:tc>
          <w:tcPr>
            <w:tcW w:w="0" w:type="dxa"/>
            <w:vAlign w:val="bottom"/>
          </w:tcPr>
          <w:p>
            <w:pPr>
              <w:spacing w:after="0"/>
              <w:rPr>
                <w:sz w:val="1"/>
                <w:szCs w:val="1"/>
                <w:color w:val="auto"/>
              </w:rPr>
            </w:pPr>
          </w:p>
        </w:tc>
      </w:tr>
      <w:tr>
        <w:trPr>
          <w:trHeight w:val="230"/>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9.5</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Notice of Default</w:t>
            </w:r>
          </w:p>
        </w:tc>
        <w:tc>
          <w:tcPr>
            <w:tcW w:w="840" w:type="dxa"/>
            <w:vAlign w:val="bottom"/>
          </w:tcPr>
          <w:p>
            <w:pPr>
              <w:jc w:val="right"/>
              <w:spacing w:after="0"/>
              <w:rPr>
                <w:sz w:val="20"/>
                <w:szCs w:val="20"/>
                <w:color w:val="auto"/>
              </w:rPr>
            </w:pPr>
            <w:r>
              <w:rPr>
                <w:rFonts w:ascii="Arial" w:cs="Arial" w:eastAsia="Arial" w:hAnsi="Arial"/>
                <w:sz w:val="20"/>
                <w:szCs w:val="20"/>
                <w:color w:val="auto"/>
              </w:rPr>
              <w:t>101</w:t>
            </w:r>
          </w:p>
        </w:tc>
        <w:tc>
          <w:tcPr>
            <w:tcW w:w="0" w:type="dxa"/>
            <w:vAlign w:val="bottom"/>
          </w:tcPr>
          <w:p>
            <w:pPr>
              <w:spacing w:after="0"/>
              <w:rPr>
                <w:sz w:val="1"/>
                <w:szCs w:val="1"/>
                <w:color w:val="auto"/>
              </w:rPr>
            </w:pPr>
          </w:p>
        </w:tc>
      </w:tr>
      <w:tr>
        <w:trPr>
          <w:trHeight w:val="256"/>
        </w:trPr>
        <w:tc>
          <w:tcPr>
            <w:tcW w:w="960" w:type="dxa"/>
            <w:vAlign w:val="bottom"/>
          </w:tcPr>
          <w:p>
            <w:pPr>
              <w:ind w:left="340"/>
              <w:spacing w:after="0"/>
              <w:rPr>
                <w:sz w:val="20"/>
                <w:szCs w:val="20"/>
                <w:color w:val="auto"/>
              </w:rPr>
            </w:pPr>
            <w:r>
              <w:rPr>
                <w:rFonts w:ascii="Arial" w:cs="Arial" w:eastAsia="Arial" w:hAnsi="Arial"/>
                <w:sz w:val="20"/>
                <w:szCs w:val="20"/>
                <w:b w:val="1"/>
                <w:bCs w:val="1"/>
                <w:color w:val="auto"/>
              </w:rPr>
              <w:t>9.6</w:t>
            </w:r>
          </w:p>
        </w:tc>
        <w:tc>
          <w:tcPr>
            <w:tcW w:w="8120" w:type="dxa"/>
            <w:vAlign w:val="bottom"/>
          </w:tcPr>
          <w:p>
            <w:pPr>
              <w:ind w:left="300"/>
              <w:spacing w:after="0"/>
              <w:rPr>
                <w:sz w:val="20"/>
                <w:szCs w:val="20"/>
                <w:color w:val="auto"/>
              </w:rPr>
            </w:pPr>
            <w:r>
              <w:rPr>
                <w:rFonts w:ascii="Arial" w:cs="Arial" w:eastAsia="Arial" w:hAnsi="Arial"/>
                <w:sz w:val="20"/>
                <w:szCs w:val="20"/>
                <w:b w:val="1"/>
                <w:bCs w:val="1"/>
                <w:color w:val="auto"/>
              </w:rPr>
              <w:t>Non-Reliance on Administrative Agent and Other Lenders</w:t>
            </w:r>
          </w:p>
        </w:tc>
        <w:tc>
          <w:tcPr>
            <w:tcW w:w="840" w:type="dxa"/>
            <w:vAlign w:val="bottom"/>
          </w:tcPr>
          <w:p>
            <w:pPr>
              <w:jc w:val="right"/>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5"/>
        </w:trPr>
        <w:tc>
          <w:tcPr>
            <w:tcW w:w="1020" w:type="dxa"/>
            <w:vAlign w:val="bottom"/>
          </w:tcPr>
          <w:p>
            <w:pPr>
              <w:spacing w:after="0"/>
              <w:rPr>
                <w:sz w:val="20"/>
                <w:szCs w:val="20"/>
                <w:color w:val="auto"/>
              </w:rPr>
            </w:pPr>
          </w:p>
        </w:tc>
        <w:tc>
          <w:tcPr>
            <w:tcW w:w="7400" w:type="dxa"/>
            <w:vAlign w:val="bottom"/>
          </w:tcPr>
          <w:p>
            <w:pPr>
              <w:ind w:left="3460"/>
              <w:spacing w:after="0"/>
              <w:rPr>
                <w:sz w:val="20"/>
                <w:szCs w:val="20"/>
                <w:color w:val="auto"/>
              </w:rPr>
            </w:pPr>
            <w:r>
              <w:rPr>
                <w:rFonts w:ascii="Arial" w:cs="Arial" w:eastAsia="Arial" w:hAnsi="Arial"/>
                <w:sz w:val="20"/>
                <w:szCs w:val="20"/>
                <w:b w:val="1"/>
                <w:bCs w:val="1"/>
                <w:color w:val="auto"/>
              </w:rPr>
              <w:t>Table of Contents</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1"/>
                <w:szCs w:val="21"/>
                <w:color w:val="auto"/>
              </w:rPr>
            </w:pPr>
          </w:p>
        </w:tc>
        <w:tc>
          <w:tcPr>
            <w:tcW w:w="7400" w:type="dxa"/>
            <w:vAlign w:val="bottom"/>
          </w:tcPr>
          <w:p>
            <w:pPr>
              <w:ind w:left="3760"/>
              <w:spacing w:after="0"/>
              <w:rPr>
                <w:sz w:val="20"/>
                <w:szCs w:val="20"/>
                <w:color w:val="auto"/>
              </w:rPr>
            </w:pPr>
            <w:r>
              <w:rPr>
                <w:rFonts w:ascii="Arial" w:cs="Arial" w:eastAsia="Arial" w:hAnsi="Arial"/>
                <w:sz w:val="20"/>
                <w:szCs w:val="20"/>
                <w:color w:val="auto"/>
              </w:rPr>
              <w:t>(continued)</w:t>
            </w:r>
          </w:p>
        </w:tc>
        <w:tc>
          <w:tcPr>
            <w:tcW w:w="15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9.7</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Indemnification</w:t>
            </w:r>
          </w:p>
        </w:tc>
        <w:tc>
          <w:tcPr>
            <w:tcW w:w="1500" w:type="dxa"/>
            <w:vAlign w:val="bottom"/>
          </w:tcPr>
          <w:p>
            <w:pPr>
              <w:jc w:val="right"/>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29"/>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9.8</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Agent in Its Individual Capacity</w:t>
            </w:r>
          </w:p>
        </w:tc>
        <w:tc>
          <w:tcPr>
            <w:tcW w:w="1500" w:type="dxa"/>
            <w:vAlign w:val="bottom"/>
          </w:tcPr>
          <w:p>
            <w:pPr>
              <w:jc w:val="right"/>
              <w:spacing w:after="0"/>
              <w:rPr>
                <w:sz w:val="20"/>
                <w:szCs w:val="20"/>
                <w:color w:val="auto"/>
              </w:rPr>
            </w:pPr>
            <w:r>
              <w:rPr>
                <w:rFonts w:ascii="Arial" w:cs="Arial" w:eastAsia="Arial" w:hAnsi="Arial"/>
                <w:sz w:val="20"/>
                <w:szCs w:val="20"/>
                <w:color w:val="auto"/>
              </w:rPr>
              <w:t>103</w:t>
            </w:r>
          </w:p>
        </w:tc>
        <w:tc>
          <w:tcPr>
            <w:tcW w:w="0" w:type="dxa"/>
            <w:vAlign w:val="bottom"/>
          </w:tcPr>
          <w:p>
            <w:pPr>
              <w:spacing w:after="0"/>
              <w:rPr>
                <w:sz w:val="1"/>
                <w:szCs w:val="1"/>
                <w:color w:val="auto"/>
              </w:rPr>
            </w:pPr>
          </w:p>
        </w:tc>
      </w:tr>
      <w:tr>
        <w:trPr>
          <w:trHeight w:val="229"/>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9.9</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Successor Administrative Agent</w:t>
            </w: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103</w:t>
            </w:r>
          </w:p>
        </w:tc>
        <w:tc>
          <w:tcPr>
            <w:tcW w:w="0" w:type="dxa"/>
            <w:vAlign w:val="bottom"/>
          </w:tcPr>
          <w:p>
            <w:pPr>
              <w:spacing w:after="0"/>
              <w:rPr>
                <w:sz w:val="1"/>
                <w:szCs w:val="1"/>
                <w:color w:val="auto"/>
              </w:rPr>
            </w:pPr>
          </w:p>
        </w:tc>
      </w:tr>
      <w:tr>
        <w:trPr>
          <w:trHeight w:val="230"/>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9.10</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Collateral and Guaranty Matters</w:t>
            </w:r>
          </w:p>
        </w:tc>
        <w:tc>
          <w:tcPr>
            <w:tcW w:w="1500" w:type="dxa"/>
            <w:vAlign w:val="bottom"/>
          </w:tcPr>
          <w:p>
            <w:pPr>
              <w:jc w:val="right"/>
              <w:spacing w:after="0"/>
              <w:rPr>
                <w:sz w:val="20"/>
                <w:szCs w:val="20"/>
                <w:color w:val="auto"/>
              </w:rPr>
            </w:pPr>
            <w:r>
              <w:rPr>
                <w:rFonts w:ascii="Arial" w:cs="Arial" w:eastAsia="Arial" w:hAnsi="Arial"/>
                <w:sz w:val="20"/>
                <w:szCs w:val="20"/>
                <w:color w:val="auto"/>
              </w:rPr>
              <w:t>104</w:t>
            </w:r>
          </w:p>
        </w:tc>
        <w:tc>
          <w:tcPr>
            <w:tcW w:w="0" w:type="dxa"/>
            <w:vAlign w:val="bottom"/>
          </w:tcPr>
          <w:p>
            <w:pPr>
              <w:spacing w:after="0"/>
              <w:rPr>
                <w:sz w:val="1"/>
                <w:szCs w:val="1"/>
                <w:color w:val="auto"/>
              </w:rPr>
            </w:pPr>
          </w:p>
        </w:tc>
      </w:tr>
      <w:tr>
        <w:trPr>
          <w:trHeight w:val="229"/>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9.11</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Administrative Agent May File Proofs of Claim</w:t>
            </w:r>
          </w:p>
        </w:tc>
        <w:tc>
          <w:tcPr>
            <w:tcW w:w="1500" w:type="dxa"/>
            <w:vAlign w:val="bottom"/>
          </w:tcPr>
          <w:p>
            <w:pPr>
              <w:jc w:val="right"/>
              <w:spacing w:after="0"/>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29"/>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9.12</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No Other Duties, etc.</w:t>
            </w:r>
          </w:p>
        </w:tc>
        <w:tc>
          <w:tcPr>
            <w:tcW w:w="1500" w:type="dxa"/>
            <w:vAlign w:val="bottom"/>
          </w:tcPr>
          <w:p>
            <w:pPr>
              <w:jc w:val="right"/>
              <w:spacing w:after="0"/>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30"/>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9.13</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Cash Management Bank and Qualified Counterparty Reports</w:t>
            </w:r>
          </w:p>
        </w:tc>
        <w:tc>
          <w:tcPr>
            <w:tcW w:w="1500" w:type="dxa"/>
            <w:vAlign w:val="bottom"/>
          </w:tcPr>
          <w:p>
            <w:pPr>
              <w:jc w:val="right"/>
              <w:spacing w:after="0"/>
              <w:rPr>
                <w:sz w:val="20"/>
                <w:szCs w:val="20"/>
                <w:color w:val="auto"/>
              </w:rPr>
            </w:pPr>
            <w:r>
              <w:rPr>
                <w:rFonts w:ascii="Arial" w:cs="Arial" w:eastAsia="Arial" w:hAnsi="Arial"/>
                <w:sz w:val="20"/>
                <w:szCs w:val="20"/>
                <w:color w:val="auto"/>
              </w:rPr>
              <w:t>106</w:t>
            </w:r>
          </w:p>
        </w:tc>
        <w:tc>
          <w:tcPr>
            <w:tcW w:w="0" w:type="dxa"/>
            <w:vAlign w:val="bottom"/>
          </w:tcPr>
          <w:p>
            <w:pPr>
              <w:spacing w:after="0"/>
              <w:rPr>
                <w:sz w:val="1"/>
                <w:szCs w:val="1"/>
                <w:color w:val="auto"/>
              </w:rPr>
            </w:pPr>
          </w:p>
        </w:tc>
      </w:tr>
      <w:tr>
        <w:trPr>
          <w:trHeight w:val="256"/>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9.14</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Survival</w:t>
            </w:r>
          </w:p>
        </w:tc>
        <w:tc>
          <w:tcPr>
            <w:tcW w:w="1500" w:type="dxa"/>
            <w:vAlign w:val="bottom"/>
          </w:tcPr>
          <w:p>
            <w:pPr>
              <w:jc w:val="right"/>
              <w:spacing w:after="0"/>
              <w:rPr>
                <w:sz w:val="20"/>
                <w:szCs w:val="20"/>
                <w:color w:val="auto"/>
              </w:rPr>
            </w:pPr>
            <w:r>
              <w:rPr>
                <w:rFonts w:ascii="Arial" w:cs="Arial" w:eastAsia="Arial" w:hAnsi="Arial"/>
                <w:sz w:val="20"/>
                <w:szCs w:val="20"/>
                <w:color w:val="auto"/>
              </w:rPr>
              <w:t>106</w:t>
            </w:r>
          </w:p>
        </w:tc>
        <w:tc>
          <w:tcPr>
            <w:tcW w:w="0" w:type="dxa"/>
            <w:vAlign w:val="bottom"/>
          </w:tcPr>
          <w:p>
            <w:pPr>
              <w:spacing w:after="0"/>
              <w:rPr>
                <w:sz w:val="1"/>
                <w:szCs w:val="1"/>
                <w:color w:val="auto"/>
              </w:rPr>
            </w:pPr>
          </w:p>
        </w:tc>
      </w:tr>
      <w:tr>
        <w:trPr>
          <w:trHeight w:val="364"/>
        </w:trPr>
        <w:tc>
          <w:tcPr>
            <w:tcW w:w="8420" w:type="dxa"/>
            <w:vAlign w:val="bottom"/>
            <w:gridSpan w:val="2"/>
          </w:tcPr>
          <w:p>
            <w:pPr>
              <w:spacing w:after="0"/>
              <w:rPr>
                <w:sz w:val="20"/>
                <w:szCs w:val="20"/>
                <w:color w:val="auto"/>
              </w:rPr>
            </w:pPr>
            <w:r>
              <w:rPr>
                <w:rFonts w:ascii="Arial" w:cs="Arial" w:eastAsia="Arial" w:hAnsi="Arial"/>
                <w:sz w:val="20"/>
                <w:szCs w:val="20"/>
                <w:color w:val="auto"/>
              </w:rPr>
              <w:t>SECTION 10 MISCELLANEOUS</w:t>
            </w:r>
          </w:p>
        </w:tc>
        <w:tc>
          <w:tcPr>
            <w:tcW w:w="1500" w:type="dxa"/>
            <w:vAlign w:val="bottom"/>
          </w:tcPr>
          <w:p>
            <w:pPr>
              <w:jc w:val="right"/>
              <w:spacing w:after="0"/>
              <w:rPr>
                <w:sz w:val="20"/>
                <w:szCs w:val="20"/>
                <w:color w:val="auto"/>
              </w:rPr>
            </w:pPr>
            <w:r>
              <w:rPr>
                <w:rFonts w:ascii="Arial" w:cs="Arial" w:eastAsia="Arial" w:hAnsi="Arial"/>
                <w:sz w:val="20"/>
                <w:szCs w:val="20"/>
                <w:color w:val="auto"/>
              </w:rPr>
              <w:t>106</w:t>
            </w:r>
          </w:p>
        </w:tc>
        <w:tc>
          <w:tcPr>
            <w:tcW w:w="0" w:type="dxa"/>
            <w:vAlign w:val="bottom"/>
          </w:tcPr>
          <w:p>
            <w:pPr>
              <w:spacing w:after="0"/>
              <w:rPr>
                <w:sz w:val="1"/>
                <w:szCs w:val="1"/>
                <w:color w:val="auto"/>
              </w:rPr>
            </w:pPr>
          </w:p>
        </w:tc>
      </w:tr>
      <w:tr>
        <w:trPr>
          <w:trHeight w:val="338"/>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10.1</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Amendments and Waivers</w:t>
            </w: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106</w:t>
            </w:r>
          </w:p>
        </w:tc>
        <w:tc>
          <w:tcPr>
            <w:tcW w:w="0" w:type="dxa"/>
            <w:vAlign w:val="bottom"/>
          </w:tcPr>
          <w:p>
            <w:pPr>
              <w:spacing w:after="0"/>
              <w:rPr>
                <w:sz w:val="1"/>
                <w:szCs w:val="1"/>
                <w:color w:val="auto"/>
              </w:rPr>
            </w:pPr>
          </w:p>
        </w:tc>
      </w:tr>
      <w:tr>
        <w:trPr>
          <w:trHeight w:val="229"/>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10.2</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Notices</w:t>
            </w:r>
          </w:p>
        </w:tc>
        <w:tc>
          <w:tcPr>
            <w:tcW w:w="1500" w:type="dxa"/>
            <w:vAlign w:val="bottom"/>
          </w:tcPr>
          <w:p>
            <w:pPr>
              <w:jc w:val="right"/>
              <w:spacing w:after="0"/>
              <w:rPr>
                <w:sz w:val="20"/>
                <w:szCs w:val="20"/>
                <w:color w:val="auto"/>
              </w:rPr>
            </w:pPr>
            <w:r>
              <w:rPr>
                <w:rFonts w:ascii="Arial" w:cs="Arial" w:eastAsia="Arial" w:hAnsi="Arial"/>
                <w:sz w:val="20"/>
                <w:szCs w:val="20"/>
                <w:color w:val="auto"/>
              </w:rPr>
              <w:t>108</w:t>
            </w:r>
          </w:p>
        </w:tc>
        <w:tc>
          <w:tcPr>
            <w:tcW w:w="0" w:type="dxa"/>
            <w:vAlign w:val="bottom"/>
          </w:tcPr>
          <w:p>
            <w:pPr>
              <w:spacing w:after="0"/>
              <w:rPr>
                <w:sz w:val="1"/>
                <w:szCs w:val="1"/>
                <w:color w:val="auto"/>
              </w:rPr>
            </w:pPr>
          </w:p>
        </w:tc>
      </w:tr>
      <w:tr>
        <w:trPr>
          <w:trHeight w:val="230"/>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10.3</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No Waiver; Cumulative Remedies</w:t>
            </w:r>
          </w:p>
        </w:tc>
        <w:tc>
          <w:tcPr>
            <w:tcW w:w="1500" w:type="dxa"/>
            <w:vAlign w:val="bottom"/>
          </w:tcPr>
          <w:p>
            <w:pPr>
              <w:jc w:val="right"/>
              <w:spacing w:after="0"/>
              <w:rPr>
                <w:sz w:val="20"/>
                <w:szCs w:val="20"/>
                <w:color w:val="auto"/>
              </w:rPr>
            </w:pPr>
            <w:r>
              <w:rPr>
                <w:rFonts w:ascii="Arial" w:cs="Arial" w:eastAsia="Arial" w:hAnsi="Arial"/>
                <w:sz w:val="20"/>
                <w:szCs w:val="20"/>
                <w:color w:val="auto"/>
              </w:rPr>
              <w:t>110</w:t>
            </w:r>
          </w:p>
        </w:tc>
        <w:tc>
          <w:tcPr>
            <w:tcW w:w="0" w:type="dxa"/>
            <w:vAlign w:val="bottom"/>
          </w:tcPr>
          <w:p>
            <w:pPr>
              <w:spacing w:after="0"/>
              <w:rPr>
                <w:sz w:val="1"/>
                <w:szCs w:val="1"/>
                <w:color w:val="auto"/>
              </w:rPr>
            </w:pPr>
          </w:p>
        </w:tc>
      </w:tr>
      <w:tr>
        <w:trPr>
          <w:trHeight w:val="229"/>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10.4</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Survival of Representations and Warranties</w:t>
            </w:r>
          </w:p>
        </w:tc>
        <w:tc>
          <w:tcPr>
            <w:tcW w:w="1500" w:type="dxa"/>
            <w:vAlign w:val="bottom"/>
          </w:tcPr>
          <w:p>
            <w:pPr>
              <w:jc w:val="right"/>
              <w:spacing w:after="0"/>
              <w:rPr>
                <w:sz w:val="20"/>
                <w:szCs w:val="20"/>
                <w:color w:val="auto"/>
              </w:rPr>
            </w:pPr>
            <w:r>
              <w:rPr>
                <w:rFonts w:ascii="Arial" w:cs="Arial" w:eastAsia="Arial" w:hAnsi="Arial"/>
                <w:sz w:val="20"/>
                <w:szCs w:val="20"/>
                <w:color w:val="auto"/>
              </w:rPr>
              <w:t>110</w:t>
            </w:r>
          </w:p>
        </w:tc>
        <w:tc>
          <w:tcPr>
            <w:tcW w:w="0" w:type="dxa"/>
            <w:vAlign w:val="bottom"/>
          </w:tcPr>
          <w:p>
            <w:pPr>
              <w:spacing w:after="0"/>
              <w:rPr>
                <w:sz w:val="1"/>
                <w:szCs w:val="1"/>
                <w:color w:val="auto"/>
              </w:rPr>
            </w:pPr>
          </w:p>
        </w:tc>
      </w:tr>
      <w:tr>
        <w:trPr>
          <w:trHeight w:val="229"/>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10.5</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Expenses; Indemnity; Damage Waiver</w:t>
            </w: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110</w:t>
            </w:r>
          </w:p>
        </w:tc>
        <w:tc>
          <w:tcPr>
            <w:tcW w:w="0" w:type="dxa"/>
            <w:vAlign w:val="bottom"/>
          </w:tcPr>
          <w:p>
            <w:pPr>
              <w:spacing w:after="0"/>
              <w:rPr>
                <w:sz w:val="1"/>
                <w:szCs w:val="1"/>
                <w:color w:val="auto"/>
              </w:rPr>
            </w:pPr>
          </w:p>
        </w:tc>
      </w:tr>
      <w:tr>
        <w:trPr>
          <w:trHeight w:val="230"/>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10.6</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Successors and Assigns; Participations and Assignments</w:t>
            </w: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112</w:t>
            </w:r>
          </w:p>
        </w:tc>
        <w:tc>
          <w:tcPr>
            <w:tcW w:w="0" w:type="dxa"/>
            <w:vAlign w:val="bottom"/>
          </w:tcPr>
          <w:p>
            <w:pPr>
              <w:spacing w:after="0"/>
              <w:rPr>
                <w:sz w:val="1"/>
                <w:szCs w:val="1"/>
                <w:color w:val="auto"/>
              </w:rPr>
            </w:pPr>
          </w:p>
        </w:tc>
      </w:tr>
      <w:tr>
        <w:trPr>
          <w:trHeight w:val="229"/>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10.7</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Adjustments; Set-off</w:t>
            </w: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116</w:t>
            </w:r>
          </w:p>
        </w:tc>
        <w:tc>
          <w:tcPr>
            <w:tcW w:w="0" w:type="dxa"/>
            <w:vAlign w:val="bottom"/>
          </w:tcPr>
          <w:p>
            <w:pPr>
              <w:spacing w:after="0"/>
              <w:rPr>
                <w:sz w:val="1"/>
                <w:szCs w:val="1"/>
                <w:color w:val="auto"/>
              </w:rPr>
            </w:pPr>
          </w:p>
        </w:tc>
      </w:tr>
      <w:tr>
        <w:trPr>
          <w:trHeight w:val="230"/>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10.8</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Payments Set Aside</w:t>
            </w:r>
          </w:p>
        </w:tc>
        <w:tc>
          <w:tcPr>
            <w:tcW w:w="1500" w:type="dxa"/>
            <w:vAlign w:val="bottom"/>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229"/>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10.9</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Interest Rate Limitation</w:t>
            </w:r>
          </w:p>
        </w:tc>
        <w:tc>
          <w:tcPr>
            <w:tcW w:w="1500" w:type="dxa"/>
            <w:vAlign w:val="bottom"/>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229"/>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10.10</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Counterparts; Electronic Execution of Assignments</w:t>
            </w: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230"/>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10.11</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Severability</w:t>
            </w:r>
          </w:p>
        </w:tc>
        <w:tc>
          <w:tcPr>
            <w:tcW w:w="1500" w:type="dxa"/>
            <w:vAlign w:val="bottom"/>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229"/>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10.12</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Integration</w:t>
            </w:r>
          </w:p>
        </w:tc>
        <w:tc>
          <w:tcPr>
            <w:tcW w:w="1500" w:type="dxa"/>
            <w:vAlign w:val="bottom"/>
          </w:tcPr>
          <w:p>
            <w:pPr>
              <w:jc w:val="right"/>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230"/>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10.13</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GOVERNING LAW</w:t>
            </w:r>
          </w:p>
        </w:tc>
        <w:tc>
          <w:tcPr>
            <w:tcW w:w="1500" w:type="dxa"/>
            <w:vAlign w:val="bottom"/>
          </w:tcPr>
          <w:p>
            <w:pPr>
              <w:jc w:val="right"/>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230"/>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10.14</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Submission to Jurisdiction; Waivers</w:t>
            </w:r>
          </w:p>
        </w:tc>
        <w:tc>
          <w:tcPr>
            <w:tcW w:w="1500" w:type="dxa"/>
            <w:vAlign w:val="bottom"/>
          </w:tcPr>
          <w:p>
            <w:pPr>
              <w:jc w:val="right"/>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230"/>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10.15</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Acknowledgements</w:t>
            </w:r>
          </w:p>
        </w:tc>
        <w:tc>
          <w:tcPr>
            <w:tcW w:w="1500" w:type="dxa"/>
            <w:vAlign w:val="bottom"/>
          </w:tcPr>
          <w:p>
            <w:pPr>
              <w:jc w:val="right"/>
              <w:spacing w:after="0"/>
              <w:rPr>
                <w:sz w:val="20"/>
                <w:szCs w:val="20"/>
                <w:color w:val="auto"/>
              </w:rPr>
            </w:pPr>
            <w:r>
              <w:rPr>
                <w:rFonts w:ascii="Arial" w:cs="Arial" w:eastAsia="Arial" w:hAnsi="Arial"/>
                <w:sz w:val="20"/>
                <w:szCs w:val="20"/>
                <w:color w:val="auto"/>
              </w:rPr>
              <w:t>119</w:t>
            </w:r>
          </w:p>
        </w:tc>
        <w:tc>
          <w:tcPr>
            <w:tcW w:w="0" w:type="dxa"/>
            <w:vAlign w:val="bottom"/>
          </w:tcPr>
          <w:p>
            <w:pPr>
              <w:spacing w:after="0"/>
              <w:rPr>
                <w:sz w:val="1"/>
                <w:szCs w:val="1"/>
                <w:color w:val="auto"/>
              </w:rPr>
            </w:pPr>
          </w:p>
        </w:tc>
      </w:tr>
      <w:tr>
        <w:trPr>
          <w:trHeight w:val="229"/>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10.16</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Releases of Guarantees and Liens</w:t>
            </w: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119</w:t>
            </w:r>
          </w:p>
        </w:tc>
        <w:tc>
          <w:tcPr>
            <w:tcW w:w="0" w:type="dxa"/>
            <w:vAlign w:val="bottom"/>
          </w:tcPr>
          <w:p>
            <w:pPr>
              <w:spacing w:after="0"/>
              <w:rPr>
                <w:sz w:val="1"/>
                <w:szCs w:val="1"/>
                <w:color w:val="auto"/>
              </w:rPr>
            </w:pPr>
          </w:p>
        </w:tc>
      </w:tr>
      <w:tr>
        <w:trPr>
          <w:trHeight w:val="230"/>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10.17</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Treatment of Certain Information; Confidentiality</w:t>
            </w:r>
          </w:p>
        </w:tc>
        <w:tc>
          <w:tcPr>
            <w:tcW w:w="1500" w:type="dxa"/>
            <w:vAlign w:val="bottom"/>
          </w:tcPr>
          <w:p>
            <w:pPr>
              <w:jc w:val="right"/>
              <w:spacing w:after="0"/>
              <w:rPr>
                <w:sz w:val="20"/>
                <w:szCs w:val="20"/>
                <w:color w:val="auto"/>
              </w:rPr>
            </w:pPr>
            <w:r>
              <w:rPr>
                <w:rFonts w:ascii="Arial" w:cs="Arial" w:eastAsia="Arial" w:hAnsi="Arial"/>
                <w:sz w:val="20"/>
                <w:szCs w:val="20"/>
                <w:color w:val="auto"/>
              </w:rPr>
              <w:t>120</w:t>
            </w:r>
          </w:p>
        </w:tc>
        <w:tc>
          <w:tcPr>
            <w:tcW w:w="0" w:type="dxa"/>
            <w:vAlign w:val="bottom"/>
          </w:tcPr>
          <w:p>
            <w:pPr>
              <w:spacing w:after="0"/>
              <w:rPr>
                <w:sz w:val="1"/>
                <w:szCs w:val="1"/>
                <w:color w:val="auto"/>
              </w:rPr>
            </w:pPr>
          </w:p>
        </w:tc>
      </w:tr>
      <w:tr>
        <w:trPr>
          <w:trHeight w:val="230"/>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10.18</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Automatic Debits</w:t>
            </w:r>
          </w:p>
        </w:tc>
        <w:tc>
          <w:tcPr>
            <w:tcW w:w="1500" w:type="dxa"/>
            <w:vAlign w:val="bottom"/>
          </w:tcPr>
          <w:p>
            <w:pPr>
              <w:jc w:val="right"/>
              <w:spacing w:after="0"/>
              <w:rPr>
                <w:sz w:val="20"/>
                <w:szCs w:val="20"/>
                <w:color w:val="auto"/>
              </w:rPr>
            </w:pPr>
            <w:r>
              <w:rPr>
                <w:rFonts w:ascii="Arial" w:cs="Arial" w:eastAsia="Arial" w:hAnsi="Arial"/>
                <w:sz w:val="20"/>
                <w:szCs w:val="20"/>
                <w:color w:val="auto"/>
              </w:rPr>
              <w:t>121</w:t>
            </w:r>
          </w:p>
        </w:tc>
        <w:tc>
          <w:tcPr>
            <w:tcW w:w="0" w:type="dxa"/>
            <w:vAlign w:val="bottom"/>
          </w:tcPr>
          <w:p>
            <w:pPr>
              <w:spacing w:after="0"/>
              <w:rPr>
                <w:sz w:val="1"/>
                <w:szCs w:val="1"/>
                <w:color w:val="auto"/>
              </w:rPr>
            </w:pPr>
          </w:p>
        </w:tc>
      </w:tr>
      <w:tr>
        <w:trPr>
          <w:trHeight w:val="230"/>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10.19</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Judgment Currency</w:t>
            </w:r>
          </w:p>
        </w:tc>
        <w:tc>
          <w:tcPr>
            <w:tcW w:w="1500" w:type="dxa"/>
            <w:vAlign w:val="bottom"/>
          </w:tcPr>
          <w:p>
            <w:pPr>
              <w:jc w:val="right"/>
              <w:spacing w:after="0"/>
              <w:rPr>
                <w:sz w:val="20"/>
                <w:szCs w:val="20"/>
                <w:color w:val="auto"/>
              </w:rPr>
            </w:pPr>
            <w:r>
              <w:rPr>
                <w:rFonts w:ascii="Arial" w:cs="Arial" w:eastAsia="Arial" w:hAnsi="Arial"/>
                <w:sz w:val="20"/>
                <w:szCs w:val="20"/>
                <w:color w:val="auto"/>
              </w:rPr>
              <w:t>121</w:t>
            </w:r>
          </w:p>
        </w:tc>
        <w:tc>
          <w:tcPr>
            <w:tcW w:w="0" w:type="dxa"/>
            <w:vAlign w:val="bottom"/>
          </w:tcPr>
          <w:p>
            <w:pPr>
              <w:spacing w:after="0"/>
              <w:rPr>
                <w:sz w:val="1"/>
                <w:szCs w:val="1"/>
                <w:color w:val="auto"/>
              </w:rPr>
            </w:pPr>
          </w:p>
        </w:tc>
      </w:tr>
      <w:tr>
        <w:trPr>
          <w:trHeight w:val="229"/>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10.20</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Patriot Act; Other Regulations</w:t>
            </w:r>
          </w:p>
        </w:tc>
        <w:tc>
          <w:tcPr>
            <w:tcW w:w="1500" w:type="dxa"/>
            <w:vAlign w:val="bottom"/>
          </w:tcPr>
          <w:p>
            <w:pPr>
              <w:jc w:val="right"/>
              <w:spacing w:after="0"/>
              <w:rPr>
                <w:sz w:val="20"/>
                <w:szCs w:val="20"/>
                <w:color w:val="auto"/>
              </w:rPr>
            </w:pPr>
            <w:r>
              <w:rPr>
                <w:rFonts w:ascii="Arial" w:cs="Arial" w:eastAsia="Arial" w:hAnsi="Arial"/>
                <w:sz w:val="20"/>
                <w:szCs w:val="20"/>
                <w:color w:val="auto"/>
              </w:rPr>
              <w:t>122</w:t>
            </w:r>
          </w:p>
        </w:tc>
        <w:tc>
          <w:tcPr>
            <w:tcW w:w="0" w:type="dxa"/>
            <w:vAlign w:val="bottom"/>
          </w:tcPr>
          <w:p>
            <w:pPr>
              <w:spacing w:after="0"/>
              <w:rPr>
                <w:sz w:val="1"/>
                <w:szCs w:val="1"/>
                <w:color w:val="auto"/>
              </w:rPr>
            </w:pPr>
          </w:p>
        </w:tc>
      </w:tr>
      <w:tr>
        <w:trPr>
          <w:trHeight w:val="256"/>
        </w:trPr>
        <w:tc>
          <w:tcPr>
            <w:tcW w:w="1020" w:type="dxa"/>
            <w:vAlign w:val="bottom"/>
          </w:tcPr>
          <w:p>
            <w:pPr>
              <w:ind w:left="340"/>
              <w:spacing w:after="0"/>
              <w:rPr>
                <w:sz w:val="20"/>
                <w:szCs w:val="20"/>
                <w:color w:val="auto"/>
              </w:rPr>
            </w:pPr>
            <w:r>
              <w:rPr>
                <w:rFonts w:ascii="Arial" w:cs="Arial" w:eastAsia="Arial" w:hAnsi="Arial"/>
                <w:sz w:val="20"/>
                <w:szCs w:val="20"/>
                <w:b w:val="1"/>
                <w:bCs w:val="1"/>
                <w:color w:val="auto"/>
              </w:rPr>
              <w:t>10.21</w:t>
            </w:r>
          </w:p>
        </w:tc>
        <w:tc>
          <w:tcPr>
            <w:tcW w:w="7400" w:type="dxa"/>
            <w:vAlign w:val="bottom"/>
          </w:tcPr>
          <w:p>
            <w:pPr>
              <w:ind w:left="240"/>
              <w:spacing w:after="0"/>
              <w:rPr>
                <w:sz w:val="20"/>
                <w:szCs w:val="20"/>
                <w:color w:val="auto"/>
              </w:rPr>
            </w:pPr>
            <w:r>
              <w:rPr>
                <w:rFonts w:ascii="Arial" w:cs="Arial" w:eastAsia="Arial" w:hAnsi="Arial"/>
                <w:sz w:val="20"/>
                <w:szCs w:val="20"/>
                <w:b w:val="1"/>
                <w:bCs w:val="1"/>
                <w:color w:val="auto"/>
              </w:rPr>
              <w:t>Acknowledgement and Consent to Bail-In of EEA Financial Institutions</w:t>
            </w:r>
          </w:p>
        </w:tc>
        <w:tc>
          <w:tcPr>
            <w:tcW w:w="1500" w:type="dxa"/>
            <w:vAlign w:val="bottom"/>
          </w:tcPr>
          <w:p>
            <w:pPr>
              <w:jc w:val="right"/>
              <w:spacing w:after="0"/>
              <w:rPr>
                <w:sz w:val="20"/>
                <w:szCs w:val="20"/>
                <w:color w:val="auto"/>
              </w:rPr>
            </w:pPr>
            <w:r>
              <w:rPr>
                <w:rFonts w:ascii="Arial" w:cs="Arial" w:eastAsia="Arial" w:hAnsi="Arial"/>
                <w:sz w:val="20"/>
                <w:szCs w:val="20"/>
                <w:color w:val="auto"/>
              </w:rPr>
              <w:t>122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6"/>
        </w:trPr>
        <w:tc>
          <w:tcPr>
            <w:tcW w:w="1740" w:type="dxa"/>
            <w:vAlign w:val="bottom"/>
          </w:tcPr>
          <w:p>
            <w:pPr>
              <w:spacing w:after="0"/>
              <w:rPr>
                <w:sz w:val="20"/>
                <w:szCs w:val="20"/>
                <w:color w:val="auto"/>
              </w:rPr>
            </w:pPr>
          </w:p>
        </w:tc>
        <w:tc>
          <w:tcPr>
            <w:tcW w:w="8180" w:type="dxa"/>
            <w:vAlign w:val="bottom"/>
          </w:tcPr>
          <w:p>
            <w:pPr>
              <w:jc w:val="center"/>
              <w:ind w:right="1641"/>
              <w:spacing w:after="0"/>
              <w:rPr>
                <w:sz w:val="20"/>
                <w:szCs w:val="20"/>
                <w:color w:val="auto"/>
              </w:rPr>
            </w:pPr>
            <w:r>
              <w:rPr>
                <w:rFonts w:ascii="Arial" w:cs="Arial" w:eastAsia="Arial" w:hAnsi="Arial"/>
                <w:sz w:val="20"/>
                <w:szCs w:val="20"/>
                <w:b w:val="1"/>
                <w:bCs w:val="1"/>
                <w:color w:val="auto"/>
                <w:w w:val="87"/>
              </w:rPr>
              <w:t>Table of Contents</w:t>
            </w:r>
          </w:p>
        </w:tc>
      </w:tr>
      <w:tr>
        <w:trPr>
          <w:trHeight w:val="250"/>
        </w:trPr>
        <w:tc>
          <w:tcPr>
            <w:tcW w:w="1740" w:type="dxa"/>
            <w:vAlign w:val="bottom"/>
          </w:tcPr>
          <w:p>
            <w:pPr>
              <w:spacing w:after="0"/>
              <w:rPr>
                <w:sz w:val="21"/>
                <w:szCs w:val="21"/>
                <w:color w:val="auto"/>
              </w:rPr>
            </w:pPr>
          </w:p>
        </w:tc>
        <w:tc>
          <w:tcPr>
            <w:tcW w:w="8180" w:type="dxa"/>
            <w:vAlign w:val="bottom"/>
          </w:tcPr>
          <w:p>
            <w:pPr>
              <w:jc w:val="center"/>
              <w:ind w:right="1641"/>
              <w:spacing w:after="0"/>
              <w:rPr>
                <w:sz w:val="20"/>
                <w:szCs w:val="20"/>
                <w:color w:val="auto"/>
              </w:rPr>
            </w:pPr>
            <w:r>
              <w:rPr>
                <w:rFonts w:ascii="Arial" w:cs="Arial" w:eastAsia="Arial" w:hAnsi="Arial"/>
                <w:sz w:val="20"/>
                <w:szCs w:val="20"/>
                <w:color w:val="auto"/>
                <w:w w:val="91"/>
              </w:rPr>
              <w:t>(continued)</w:t>
            </w:r>
          </w:p>
        </w:tc>
      </w:tr>
      <w:tr>
        <w:trPr>
          <w:trHeight w:val="918"/>
        </w:trPr>
        <w:tc>
          <w:tcPr>
            <w:tcW w:w="1740" w:type="dxa"/>
            <w:vAlign w:val="bottom"/>
          </w:tcPr>
          <w:p>
            <w:pPr>
              <w:spacing w:after="0"/>
              <w:rPr>
                <w:sz w:val="24"/>
                <w:szCs w:val="24"/>
                <w:color w:val="auto"/>
              </w:rPr>
            </w:pPr>
          </w:p>
        </w:tc>
        <w:tc>
          <w:tcPr>
            <w:tcW w:w="8180" w:type="dxa"/>
            <w:vAlign w:val="bottom"/>
          </w:tcPr>
          <w:p>
            <w:pPr>
              <w:jc w:val="center"/>
              <w:ind w:right="1641"/>
              <w:spacing w:after="0"/>
              <w:rPr>
                <w:sz w:val="20"/>
                <w:szCs w:val="20"/>
                <w:color w:val="auto"/>
              </w:rPr>
            </w:pPr>
            <w:r>
              <w:rPr>
                <w:rFonts w:ascii="Arial" w:cs="Arial" w:eastAsia="Arial" w:hAnsi="Arial"/>
                <w:sz w:val="20"/>
                <w:szCs w:val="20"/>
                <w:b w:val="1"/>
                <w:bCs w:val="1"/>
                <w:color w:val="auto"/>
                <w:w w:val="97"/>
              </w:rPr>
              <w:t>SCHEDULES</w:t>
            </w:r>
          </w:p>
        </w:tc>
      </w:tr>
      <w:tr>
        <w:trPr>
          <w:trHeight w:val="445"/>
        </w:trPr>
        <w:tc>
          <w:tcPr>
            <w:tcW w:w="1740" w:type="dxa"/>
            <w:vAlign w:val="bottom"/>
          </w:tcPr>
          <w:p>
            <w:pPr>
              <w:spacing w:after="0"/>
              <w:rPr>
                <w:sz w:val="20"/>
                <w:szCs w:val="20"/>
                <w:color w:val="auto"/>
              </w:rPr>
            </w:pPr>
            <w:r>
              <w:rPr>
                <w:rFonts w:ascii="Arial" w:cs="Arial" w:eastAsia="Arial" w:hAnsi="Arial"/>
                <w:sz w:val="20"/>
                <w:szCs w:val="20"/>
                <w:color w:val="auto"/>
              </w:rPr>
              <w:t>Schedule 1.1A:</w:t>
            </w:r>
          </w:p>
        </w:tc>
        <w:tc>
          <w:tcPr>
            <w:tcW w:w="8180" w:type="dxa"/>
            <w:vAlign w:val="bottom"/>
          </w:tcPr>
          <w:p>
            <w:pPr>
              <w:ind w:left="220"/>
              <w:spacing w:after="0"/>
              <w:rPr>
                <w:sz w:val="20"/>
                <w:szCs w:val="20"/>
                <w:color w:val="auto"/>
              </w:rPr>
            </w:pPr>
            <w:r>
              <w:rPr>
                <w:rFonts w:ascii="Arial" w:cs="Arial" w:eastAsia="Arial" w:hAnsi="Arial"/>
                <w:sz w:val="20"/>
                <w:szCs w:val="20"/>
                <w:color w:val="auto"/>
              </w:rPr>
              <w:t>Commitments</w:t>
            </w:r>
          </w:p>
        </w:tc>
      </w:tr>
      <w:tr>
        <w:trPr>
          <w:trHeight w:val="284"/>
        </w:trPr>
        <w:tc>
          <w:tcPr>
            <w:tcW w:w="1740" w:type="dxa"/>
            <w:vAlign w:val="bottom"/>
          </w:tcPr>
          <w:p>
            <w:pPr>
              <w:spacing w:after="0"/>
              <w:rPr>
                <w:sz w:val="20"/>
                <w:szCs w:val="20"/>
                <w:color w:val="auto"/>
              </w:rPr>
            </w:pPr>
            <w:r>
              <w:rPr>
                <w:rFonts w:ascii="Arial" w:cs="Arial" w:eastAsia="Arial" w:hAnsi="Arial"/>
                <w:sz w:val="20"/>
                <w:szCs w:val="20"/>
                <w:color w:val="auto"/>
              </w:rPr>
              <w:t>Schedule 1.1B:</w:t>
            </w:r>
          </w:p>
        </w:tc>
        <w:tc>
          <w:tcPr>
            <w:tcW w:w="8180" w:type="dxa"/>
            <w:vAlign w:val="bottom"/>
          </w:tcPr>
          <w:p>
            <w:pPr>
              <w:ind w:left="220"/>
              <w:spacing w:after="0"/>
              <w:rPr>
                <w:sz w:val="20"/>
                <w:szCs w:val="20"/>
                <w:color w:val="auto"/>
              </w:rPr>
            </w:pPr>
            <w:r>
              <w:rPr>
                <w:rFonts w:ascii="Arial" w:cs="Arial" w:eastAsia="Arial" w:hAnsi="Arial"/>
                <w:sz w:val="20"/>
                <w:szCs w:val="20"/>
                <w:color w:val="auto"/>
              </w:rPr>
              <w:t>Existing Letters of Credit</w:t>
            </w:r>
          </w:p>
        </w:tc>
      </w:tr>
      <w:tr>
        <w:trPr>
          <w:trHeight w:val="283"/>
        </w:trPr>
        <w:tc>
          <w:tcPr>
            <w:tcW w:w="1740" w:type="dxa"/>
            <w:vAlign w:val="bottom"/>
          </w:tcPr>
          <w:p>
            <w:pPr>
              <w:spacing w:after="0"/>
              <w:rPr>
                <w:sz w:val="20"/>
                <w:szCs w:val="20"/>
                <w:color w:val="auto"/>
              </w:rPr>
            </w:pPr>
            <w:r>
              <w:rPr>
                <w:rFonts w:ascii="Arial" w:cs="Arial" w:eastAsia="Arial" w:hAnsi="Arial"/>
                <w:sz w:val="20"/>
                <w:szCs w:val="20"/>
                <w:color w:val="auto"/>
              </w:rPr>
              <w:t>Schedule 4.4:</w:t>
            </w:r>
          </w:p>
        </w:tc>
        <w:tc>
          <w:tcPr>
            <w:tcW w:w="8180" w:type="dxa"/>
            <w:vAlign w:val="bottom"/>
          </w:tcPr>
          <w:p>
            <w:pPr>
              <w:ind w:left="220"/>
              <w:spacing w:after="0"/>
              <w:rPr>
                <w:sz w:val="20"/>
                <w:szCs w:val="20"/>
                <w:color w:val="auto"/>
              </w:rPr>
            </w:pPr>
            <w:r>
              <w:rPr>
                <w:rFonts w:ascii="Arial" w:cs="Arial" w:eastAsia="Arial" w:hAnsi="Arial"/>
                <w:sz w:val="20"/>
                <w:szCs w:val="20"/>
                <w:color w:val="auto"/>
              </w:rPr>
              <w:t>Governmental Approvals, Consents, Authorizations, Filings and Notices</w:t>
            </w:r>
          </w:p>
        </w:tc>
      </w:tr>
      <w:tr>
        <w:trPr>
          <w:trHeight w:val="283"/>
        </w:trPr>
        <w:tc>
          <w:tcPr>
            <w:tcW w:w="1740" w:type="dxa"/>
            <w:vAlign w:val="bottom"/>
          </w:tcPr>
          <w:p>
            <w:pPr>
              <w:spacing w:after="0"/>
              <w:rPr>
                <w:sz w:val="20"/>
                <w:szCs w:val="20"/>
                <w:color w:val="auto"/>
              </w:rPr>
            </w:pPr>
            <w:r>
              <w:rPr>
                <w:rFonts w:ascii="Arial" w:cs="Arial" w:eastAsia="Arial" w:hAnsi="Arial"/>
                <w:sz w:val="20"/>
                <w:szCs w:val="20"/>
                <w:color w:val="auto"/>
              </w:rPr>
              <w:t>Schedule 4.15:</w:t>
            </w:r>
          </w:p>
        </w:tc>
        <w:tc>
          <w:tcPr>
            <w:tcW w:w="8180" w:type="dxa"/>
            <w:vAlign w:val="bottom"/>
          </w:tcPr>
          <w:p>
            <w:pPr>
              <w:ind w:left="220"/>
              <w:spacing w:after="0"/>
              <w:rPr>
                <w:sz w:val="20"/>
                <w:szCs w:val="20"/>
                <w:color w:val="auto"/>
              </w:rPr>
            </w:pPr>
            <w:r>
              <w:rPr>
                <w:rFonts w:ascii="Arial" w:cs="Arial" w:eastAsia="Arial" w:hAnsi="Arial"/>
                <w:sz w:val="20"/>
                <w:szCs w:val="20"/>
                <w:color w:val="auto"/>
              </w:rPr>
              <w:t>Subsidiaries</w:t>
            </w:r>
          </w:p>
        </w:tc>
      </w:tr>
      <w:tr>
        <w:trPr>
          <w:trHeight w:val="283"/>
        </w:trPr>
        <w:tc>
          <w:tcPr>
            <w:tcW w:w="1740" w:type="dxa"/>
            <w:vAlign w:val="bottom"/>
          </w:tcPr>
          <w:p>
            <w:pPr>
              <w:spacing w:after="0"/>
              <w:rPr>
                <w:sz w:val="20"/>
                <w:szCs w:val="20"/>
                <w:color w:val="auto"/>
              </w:rPr>
            </w:pPr>
            <w:r>
              <w:rPr>
                <w:rFonts w:ascii="Arial" w:cs="Arial" w:eastAsia="Arial" w:hAnsi="Arial"/>
                <w:sz w:val="20"/>
                <w:szCs w:val="20"/>
                <w:color w:val="auto"/>
              </w:rPr>
              <w:t>Schedule 4.17:</w:t>
            </w:r>
          </w:p>
        </w:tc>
        <w:tc>
          <w:tcPr>
            <w:tcW w:w="8180" w:type="dxa"/>
            <w:vAlign w:val="bottom"/>
          </w:tcPr>
          <w:p>
            <w:pPr>
              <w:ind w:left="220"/>
              <w:spacing w:after="0"/>
              <w:rPr>
                <w:sz w:val="20"/>
                <w:szCs w:val="20"/>
                <w:color w:val="auto"/>
              </w:rPr>
            </w:pPr>
            <w:r>
              <w:rPr>
                <w:rFonts w:ascii="Arial" w:cs="Arial" w:eastAsia="Arial" w:hAnsi="Arial"/>
                <w:sz w:val="20"/>
                <w:szCs w:val="20"/>
                <w:color w:val="auto"/>
              </w:rPr>
              <w:t>Environmental Matters</w:t>
            </w:r>
          </w:p>
        </w:tc>
      </w:tr>
      <w:tr>
        <w:trPr>
          <w:trHeight w:val="283"/>
        </w:trPr>
        <w:tc>
          <w:tcPr>
            <w:tcW w:w="1740" w:type="dxa"/>
            <w:vAlign w:val="bottom"/>
          </w:tcPr>
          <w:p>
            <w:pPr>
              <w:spacing w:after="0"/>
              <w:rPr>
                <w:sz w:val="20"/>
                <w:szCs w:val="20"/>
                <w:color w:val="auto"/>
              </w:rPr>
            </w:pPr>
            <w:r>
              <w:rPr>
                <w:rFonts w:ascii="Arial" w:cs="Arial" w:eastAsia="Arial" w:hAnsi="Arial"/>
                <w:sz w:val="20"/>
                <w:szCs w:val="20"/>
                <w:color w:val="auto"/>
              </w:rPr>
              <w:t>Schedule 4.19(a):</w:t>
            </w:r>
          </w:p>
        </w:tc>
        <w:tc>
          <w:tcPr>
            <w:tcW w:w="8180" w:type="dxa"/>
            <w:vAlign w:val="bottom"/>
          </w:tcPr>
          <w:p>
            <w:pPr>
              <w:ind w:left="220"/>
              <w:spacing w:after="0"/>
              <w:rPr>
                <w:sz w:val="20"/>
                <w:szCs w:val="20"/>
                <w:color w:val="auto"/>
              </w:rPr>
            </w:pPr>
            <w:r>
              <w:rPr>
                <w:rFonts w:ascii="Arial" w:cs="Arial" w:eastAsia="Arial" w:hAnsi="Arial"/>
                <w:sz w:val="20"/>
                <w:szCs w:val="20"/>
                <w:color w:val="auto"/>
              </w:rPr>
              <w:t>Financing Statements and Other Filings</w:t>
            </w:r>
          </w:p>
        </w:tc>
      </w:tr>
      <w:tr>
        <w:trPr>
          <w:trHeight w:val="284"/>
        </w:trPr>
        <w:tc>
          <w:tcPr>
            <w:tcW w:w="1740" w:type="dxa"/>
            <w:vAlign w:val="bottom"/>
          </w:tcPr>
          <w:p>
            <w:pPr>
              <w:spacing w:after="0"/>
              <w:rPr>
                <w:sz w:val="20"/>
                <w:szCs w:val="20"/>
                <w:color w:val="auto"/>
              </w:rPr>
            </w:pPr>
            <w:r>
              <w:rPr>
                <w:rFonts w:ascii="Arial" w:cs="Arial" w:eastAsia="Arial" w:hAnsi="Arial"/>
                <w:sz w:val="20"/>
                <w:szCs w:val="20"/>
                <w:color w:val="auto"/>
              </w:rPr>
              <w:t>Schedule 7.2(d):</w:t>
            </w:r>
          </w:p>
        </w:tc>
        <w:tc>
          <w:tcPr>
            <w:tcW w:w="8180" w:type="dxa"/>
            <w:vAlign w:val="bottom"/>
          </w:tcPr>
          <w:p>
            <w:pPr>
              <w:ind w:left="220"/>
              <w:spacing w:after="0"/>
              <w:rPr>
                <w:sz w:val="20"/>
                <w:szCs w:val="20"/>
                <w:color w:val="auto"/>
              </w:rPr>
            </w:pPr>
            <w:r>
              <w:rPr>
                <w:rFonts w:ascii="Arial" w:cs="Arial" w:eastAsia="Arial" w:hAnsi="Arial"/>
                <w:sz w:val="20"/>
                <w:szCs w:val="20"/>
                <w:color w:val="auto"/>
              </w:rPr>
              <w:t>Existing Indebtedness</w:t>
            </w:r>
          </w:p>
        </w:tc>
      </w:tr>
      <w:tr>
        <w:trPr>
          <w:trHeight w:val="283"/>
        </w:trPr>
        <w:tc>
          <w:tcPr>
            <w:tcW w:w="1740" w:type="dxa"/>
            <w:vAlign w:val="bottom"/>
          </w:tcPr>
          <w:p>
            <w:pPr>
              <w:spacing w:after="0"/>
              <w:rPr>
                <w:sz w:val="20"/>
                <w:szCs w:val="20"/>
                <w:color w:val="auto"/>
              </w:rPr>
            </w:pPr>
            <w:r>
              <w:rPr>
                <w:rFonts w:ascii="Arial" w:cs="Arial" w:eastAsia="Arial" w:hAnsi="Arial"/>
                <w:sz w:val="20"/>
                <w:szCs w:val="20"/>
                <w:color w:val="auto"/>
              </w:rPr>
              <w:t>Schedule 7.3(f):</w:t>
            </w:r>
          </w:p>
        </w:tc>
        <w:tc>
          <w:tcPr>
            <w:tcW w:w="8180" w:type="dxa"/>
            <w:vAlign w:val="bottom"/>
          </w:tcPr>
          <w:p>
            <w:pPr>
              <w:ind w:left="220"/>
              <w:spacing w:after="0"/>
              <w:rPr>
                <w:sz w:val="20"/>
                <w:szCs w:val="20"/>
                <w:color w:val="auto"/>
              </w:rPr>
            </w:pPr>
            <w:r>
              <w:rPr>
                <w:rFonts w:ascii="Arial" w:cs="Arial" w:eastAsia="Arial" w:hAnsi="Arial"/>
                <w:sz w:val="20"/>
                <w:szCs w:val="20"/>
                <w:color w:val="auto"/>
              </w:rPr>
              <w:t>Existing Liens</w:t>
            </w:r>
          </w:p>
        </w:tc>
      </w:tr>
      <w:tr>
        <w:trPr>
          <w:trHeight w:val="283"/>
        </w:trPr>
        <w:tc>
          <w:tcPr>
            <w:tcW w:w="1740" w:type="dxa"/>
            <w:vAlign w:val="bottom"/>
          </w:tcPr>
          <w:p>
            <w:pPr>
              <w:spacing w:after="0"/>
              <w:rPr>
                <w:sz w:val="20"/>
                <w:szCs w:val="20"/>
                <w:color w:val="auto"/>
              </w:rPr>
            </w:pPr>
            <w:r>
              <w:rPr>
                <w:rFonts w:ascii="Arial" w:cs="Arial" w:eastAsia="Arial" w:hAnsi="Arial"/>
                <w:sz w:val="20"/>
                <w:szCs w:val="20"/>
                <w:color w:val="auto"/>
              </w:rPr>
              <w:t>Schedule 7.8(e):</w:t>
            </w:r>
          </w:p>
        </w:tc>
        <w:tc>
          <w:tcPr>
            <w:tcW w:w="8180" w:type="dxa"/>
            <w:vAlign w:val="bottom"/>
          </w:tcPr>
          <w:p>
            <w:pPr>
              <w:ind w:left="220"/>
              <w:spacing w:after="0"/>
              <w:rPr>
                <w:sz w:val="20"/>
                <w:szCs w:val="20"/>
                <w:color w:val="auto"/>
              </w:rPr>
            </w:pPr>
            <w:r>
              <w:rPr>
                <w:rFonts w:ascii="Arial" w:cs="Arial" w:eastAsia="Arial" w:hAnsi="Arial"/>
                <w:sz w:val="20"/>
                <w:szCs w:val="20"/>
                <w:color w:val="auto"/>
              </w:rPr>
              <w:t>Existing Investments</w:t>
            </w:r>
          </w:p>
        </w:tc>
      </w:tr>
      <w:tr>
        <w:trPr>
          <w:trHeight w:val="283"/>
        </w:trPr>
        <w:tc>
          <w:tcPr>
            <w:tcW w:w="1740" w:type="dxa"/>
            <w:vAlign w:val="bottom"/>
          </w:tcPr>
          <w:p>
            <w:pPr>
              <w:spacing w:after="0"/>
              <w:rPr>
                <w:sz w:val="24"/>
                <w:szCs w:val="24"/>
                <w:color w:val="auto"/>
              </w:rPr>
            </w:pPr>
          </w:p>
        </w:tc>
        <w:tc>
          <w:tcPr>
            <w:tcW w:w="8180" w:type="dxa"/>
            <w:vAlign w:val="bottom"/>
          </w:tcPr>
          <w:p>
            <w:pPr>
              <w:jc w:val="center"/>
              <w:ind w:right="1641"/>
              <w:spacing w:after="0"/>
              <w:rPr>
                <w:sz w:val="20"/>
                <w:szCs w:val="20"/>
                <w:color w:val="auto"/>
              </w:rPr>
            </w:pPr>
            <w:r>
              <w:rPr>
                <w:rFonts w:ascii="Arial" w:cs="Arial" w:eastAsia="Arial" w:hAnsi="Arial"/>
                <w:sz w:val="20"/>
                <w:szCs w:val="20"/>
                <w:b w:val="1"/>
                <w:bCs w:val="1"/>
                <w:color w:val="auto"/>
              </w:rPr>
              <w:t>EXHIBITS</w:t>
            </w:r>
          </w:p>
        </w:tc>
      </w:tr>
      <w:tr>
        <w:trPr>
          <w:trHeight w:val="446"/>
        </w:trPr>
        <w:tc>
          <w:tcPr>
            <w:tcW w:w="1740" w:type="dxa"/>
            <w:vAlign w:val="bottom"/>
          </w:tcPr>
          <w:p>
            <w:pPr>
              <w:spacing w:after="0"/>
              <w:rPr>
                <w:sz w:val="20"/>
                <w:szCs w:val="20"/>
                <w:color w:val="auto"/>
              </w:rPr>
            </w:pPr>
            <w:r>
              <w:rPr>
                <w:rFonts w:ascii="Arial" w:cs="Arial" w:eastAsia="Arial" w:hAnsi="Arial"/>
                <w:sz w:val="20"/>
                <w:szCs w:val="20"/>
                <w:color w:val="auto"/>
              </w:rPr>
              <w:t>Exhibit A:</w:t>
            </w:r>
          </w:p>
        </w:tc>
        <w:tc>
          <w:tcPr>
            <w:tcW w:w="8180" w:type="dxa"/>
            <w:vAlign w:val="bottom"/>
          </w:tcPr>
          <w:p>
            <w:pPr>
              <w:ind w:left="220"/>
              <w:spacing w:after="0"/>
              <w:rPr>
                <w:sz w:val="20"/>
                <w:szCs w:val="20"/>
                <w:color w:val="auto"/>
              </w:rPr>
            </w:pPr>
            <w:r>
              <w:rPr>
                <w:rFonts w:ascii="Arial" w:cs="Arial" w:eastAsia="Arial" w:hAnsi="Arial"/>
                <w:sz w:val="20"/>
                <w:szCs w:val="20"/>
                <w:color w:val="auto"/>
              </w:rPr>
              <w:t>Form of Guarantee and Collateral Agreement</w:t>
            </w:r>
          </w:p>
        </w:tc>
      </w:tr>
      <w:tr>
        <w:trPr>
          <w:trHeight w:val="283"/>
        </w:trPr>
        <w:tc>
          <w:tcPr>
            <w:tcW w:w="1740" w:type="dxa"/>
            <w:vAlign w:val="bottom"/>
          </w:tcPr>
          <w:p>
            <w:pPr>
              <w:spacing w:after="0"/>
              <w:rPr>
                <w:sz w:val="20"/>
                <w:szCs w:val="20"/>
                <w:color w:val="auto"/>
              </w:rPr>
            </w:pPr>
            <w:r>
              <w:rPr>
                <w:rFonts w:ascii="Arial" w:cs="Arial" w:eastAsia="Arial" w:hAnsi="Arial"/>
                <w:sz w:val="20"/>
                <w:szCs w:val="20"/>
                <w:color w:val="auto"/>
              </w:rPr>
              <w:t>Exhibit B:</w:t>
            </w:r>
          </w:p>
        </w:tc>
        <w:tc>
          <w:tcPr>
            <w:tcW w:w="8180" w:type="dxa"/>
            <w:vAlign w:val="bottom"/>
          </w:tcPr>
          <w:p>
            <w:pPr>
              <w:ind w:left="220"/>
              <w:spacing w:after="0"/>
              <w:rPr>
                <w:sz w:val="20"/>
                <w:szCs w:val="20"/>
                <w:color w:val="auto"/>
              </w:rPr>
            </w:pPr>
            <w:r>
              <w:rPr>
                <w:rFonts w:ascii="Arial" w:cs="Arial" w:eastAsia="Arial" w:hAnsi="Arial"/>
                <w:sz w:val="20"/>
                <w:szCs w:val="20"/>
                <w:color w:val="auto"/>
              </w:rPr>
              <w:t>Form of Compliance Certificate</w:t>
            </w:r>
          </w:p>
        </w:tc>
      </w:tr>
      <w:tr>
        <w:trPr>
          <w:trHeight w:val="283"/>
        </w:trPr>
        <w:tc>
          <w:tcPr>
            <w:tcW w:w="1740" w:type="dxa"/>
            <w:vAlign w:val="bottom"/>
          </w:tcPr>
          <w:p>
            <w:pPr>
              <w:spacing w:after="0"/>
              <w:rPr>
                <w:sz w:val="20"/>
                <w:szCs w:val="20"/>
                <w:color w:val="auto"/>
              </w:rPr>
            </w:pPr>
            <w:r>
              <w:rPr>
                <w:rFonts w:ascii="Arial" w:cs="Arial" w:eastAsia="Arial" w:hAnsi="Arial"/>
                <w:sz w:val="20"/>
                <w:szCs w:val="20"/>
                <w:color w:val="auto"/>
              </w:rPr>
              <w:t>Exhibit C:</w:t>
            </w:r>
          </w:p>
        </w:tc>
        <w:tc>
          <w:tcPr>
            <w:tcW w:w="8180" w:type="dxa"/>
            <w:vAlign w:val="bottom"/>
          </w:tcPr>
          <w:p>
            <w:pPr>
              <w:ind w:left="220"/>
              <w:spacing w:after="0"/>
              <w:rPr>
                <w:sz w:val="20"/>
                <w:szCs w:val="20"/>
                <w:color w:val="auto"/>
              </w:rPr>
            </w:pPr>
            <w:r>
              <w:rPr>
                <w:rFonts w:ascii="Arial" w:cs="Arial" w:eastAsia="Arial" w:hAnsi="Arial"/>
                <w:sz w:val="20"/>
                <w:szCs w:val="20"/>
                <w:color w:val="auto"/>
              </w:rPr>
              <w:t>Form of Secretary’s/Managing Member’s Certificate</w:t>
            </w:r>
          </w:p>
        </w:tc>
      </w:tr>
      <w:tr>
        <w:trPr>
          <w:trHeight w:val="283"/>
        </w:trPr>
        <w:tc>
          <w:tcPr>
            <w:tcW w:w="1740" w:type="dxa"/>
            <w:vAlign w:val="bottom"/>
          </w:tcPr>
          <w:p>
            <w:pPr>
              <w:spacing w:after="0"/>
              <w:rPr>
                <w:sz w:val="20"/>
                <w:szCs w:val="20"/>
                <w:color w:val="auto"/>
              </w:rPr>
            </w:pPr>
            <w:r>
              <w:rPr>
                <w:rFonts w:ascii="Arial" w:cs="Arial" w:eastAsia="Arial" w:hAnsi="Arial"/>
                <w:sz w:val="20"/>
                <w:szCs w:val="20"/>
                <w:color w:val="auto"/>
              </w:rPr>
              <w:t>Exhibit D:</w:t>
            </w:r>
          </w:p>
        </w:tc>
        <w:tc>
          <w:tcPr>
            <w:tcW w:w="8180" w:type="dxa"/>
            <w:vAlign w:val="bottom"/>
          </w:tcPr>
          <w:p>
            <w:pPr>
              <w:ind w:left="220"/>
              <w:spacing w:after="0"/>
              <w:rPr>
                <w:sz w:val="20"/>
                <w:szCs w:val="20"/>
                <w:color w:val="auto"/>
              </w:rPr>
            </w:pPr>
            <w:r>
              <w:rPr>
                <w:rFonts w:ascii="Arial" w:cs="Arial" w:eastAsia="Arial" w:hAnsi="Arial"/>
                <w:sz w:val="20"/>
                <w:szCs w:val="20"/>
                <w:color w:val="auto"/>
              </w:rPr>
              <w:t>Form of Solvency Certificate</w:t>
            </w:r>
          </w:p>
        </w:tc>
      </w:tr>
      <w:tr>
        <w:trPr>
          <w:trHeight w:val="283"/>
        </w:trPr>
        <w:tc>
          <w:tcPr>
            <w:tcW w:w="1740" w:type="dxa"/>
            <w:vAlign w:val="bottom"/>
          </w:tcPr>
          <w:p>
            <w:pPr>
              <w:spacing w:after="0"/>
              <w:rPr>
                <w:sz w:val="20"/>
                <w:szCs w:val="20"/>
                <w:color w:val="auto"/>
              </w:rPr>
            </w:pPr>
            <w:r>
              <w:rPr>
                <w:rFonts w:ascii="Arial" w:cs="Arial" w:eastAsia="Arial" w:hAnsi="Arial"/>
                <w:sz w:val="20"/>
                <w:szCs w:val="20"/>
                <w:color w:val="auto"/>
              </w:rPr>
              <w:t>Exhibit E:</w:t>
            </w:r>
          </w:p>
        </w:tc>
        <w:tc>
          <w:tcPr>
            <w:tcW w:w="8180" w:type="dxa"/>
            <w:vAlign w:val="bottom"/>
          </w:tcPr>
          <w:p>
            <w:pPr>
              <w:ind w:left="220"/>
              <w:spacing w:after="0"/>
              <w:rPr>
                <w:sz w:val="20"/>
                <w:szCs w:val="20"/>
                <w:color w:val="auto"/>
              </w:rPr>
            </w:pPr>
            <w:r>
              <w:rPr>
                <w:rFonts w:ascii="Arial" w:cs="Arial" w:eastAsia="Arial" w:hAnsi="Arial"/>
                <w:sz w:val="20"/>
                <w:szCs w:val="20"/>
                <w:color w:val="auto"/>
              </w:rPr>
              <w:t>Form of Assignment and Assumption</w:t>
            </w:r>
          </w:p>
        </w:tc>
      </w:tr>
      <w:tr>
        <w:trPr>
          <w:trHeight w:val="283"/>
        </w:trPr>
        <w:tc>
          <w:tcPr>
            <w:tcW w:w="1740" w:type="dxa"/>
            <w:vAlign w:val="bottom"/>
          </w:tcPr>
          <w:p>
            <w:pPr>
              <w:spacing w:after="0"/>
              <w:rPr>
                <w:sz w:val="20"/>
                <w:szCs w:val="20"/>
                <w:color w:val="auto"/>
              </w:rPr>
            </w:pPr>
            <w:r>
              <w:rPr>
                <w:rFonts w:ascii="Arial" w:cs="Arial" w:eastAsia="Arial" w:hAnsi="Arial"/>
                <w:sz w:val="20"/>
                <w:szCs w:val="20"/>
                <w:color w:val="auto"/>
              </w:rPr>
              <w:t>Exhibits F-1 – F-4:</w:t>
            </w:r>
          </w:p>
        </w:tc>
        <w:tc>
          <w:tcPr>
            <w:tcW w:w="8180" w:type="dxa"/>
            <w:vAlign w:val="bottom"/>
          </w:tcPr>
          <w:p>
            <w:pPr>
              <w:ind w:left="220"/>
              <w:spacing w:after="0"/>
              <w:rPr>
                <w:sz w:val="20"/>
                <w:szCs w:val="20"/>
                <w:color w:val="auto"/>
              </w:rPr>
            </w:pPr>
            <w:r>
              <w:rPr>
                <w:rFonts w:ascii="Arial" w:cs="Arial" w:eastAsia="Arial" w:hAnsi="Arial"/>
                <w:sz w:val="20"/>
                <w:szCs w:val="20"/>
                <w:color w:val="auto"/>
              </w:rPr>
              <w:t>Forms of U.S. Tax Compliance Certificate</w:t>
            </w:r>
          </w:p>
        </w:tc>
      </w:tr>
      <w:tr>
        <w:trPr>
          <w:trHeight w:val="283"/>
        </w:trPr>
        <w:tc>
          <w:tcPr>
            <w:tcW w:w="1740" w:type="dxa"/>
            <w:vAlign w:val="bottom"/>
          </w:tcPr>
          <w:p>
            <w:pPr>
              <w:spacing w:after="0"/>
              <w:rPr>
                <w:sz w:val="20"/>
                <w:szCs w:val="20"/>
                <w:color w:val="auto"/>
              </w:rPr>
            </w:pPr>
            <w:r>
              <w:rPr>
                <w:rFonts w:ascii="Arial" w:cs="Arial" w:eastAsia="Arial" w:hAnsi="Arial"/>
                <w:sz w:val="20"/>
                <w:szCs w:val="20"/>
                <w:color w:val="auto"/>
              </w:rPr>
              <w:t>Exhibit G:</w:t>
            </w:r>
          </w:p>
        </w:tc>
        <w:tc>
          <w:tcPr>
            <w:tcW w:w="8180" w:type="dxa"/>
            <w:vAlign w:val="bottom"/>
          </w:tcPr>
          <w:p>
            <w:pPr>
              <w:ind w:left="220"/>
              <w:spacing w:after="0"/>
              <w:rPr>
                <w:sz w:val="20"/>
                <w:szCs w:val="20"/>
                <w:color w:val="auto"/>
              </w:rPr>
            </w:pPr>
            <w:r>
              <w:rPr>
                <w:rFonts w:ascii="Arial" w:cs="Arial" w:eastAsia="Arial" w:hAnsi="Arial"/>
                <w:sz w:val="20"/>
                <w:szCs w:val="20"/>
                <w:color w:val="auto"/>
              </w:rPr>
              <w:t>[Reserved]</w:t>
            </w:r>
          </w:p>
        </w:tc>
      </w:tr>
      <w:tr>
        <w:trPr>
          <w:trHeight w:val="284"/>
        </w:trPr>
        <w:tc>
          <w:tcPr>
            <w:tcW w:w="1740" w:type="dxa"/>
            <w:vAlign w:val="bottom"/>
          </w:tcPr>
          <w:p>
            <w:pPr>
              <w:spacing w:after="0"/>
              <w:rPr>
                <w:sz w:val="20"/>
                <w:szCs w:val="20"/>
                <w:color w:val="auto"/>
              </w:rPr>
            </w:pPr>
            <w:r>
              <w:rPr>
                <w:rFonts w:ascii="Arial" w:cs="Arial" w:eastAsia="Arial" w:hAnsi="Arial"/>
                <w:sz w:val="20"/>
                <w:szCs w:val="20"/>
                <w:color w:val="auto"/>
              </w:rPr>
              <w:t>Exhibit H-1:</w:t>
            </w:r>
          </w:p>
        </w:tc>
        <w:tc>
          <w:tcPr>
            <w:tcW w:w="8180" w:type="dxa"/>
            <w:vAlign w:val="bottom"/>
          </w:tcPr>
          <w:p>
            <w:pPr>
              <w:ind w:left="220"/>
              <w:spacing w:after="0"/>
              <w:rPr>
                <w:sz w:val="20"/>
                <w:szCs w:val="20"/>
                <w:color w:val="auto"/>
              </w:rPr>
            </w:pPr>
            <w:r>
              <w:rPr>
                <w:rFonts w:ascii="Arial" w:cs="Arial" w:eastAsia="Arial" w:hAnsi="Arial"/>
                <w:sz w:val="20"/>
                <w:szCs w:val="20"/>
                <w:color w:val="auto"/>
              </w:rPr>
              <w:t>Form of Revolving Loan Note</w:t>
            </w:r>
          </w:p>
        </w:tc>
      </w:tr>
      <w:tr>
        <w:trPr>
          <w:trHeight w:val="283"/>
        </w:trPr>
        <w:tc>
          <w:tcPr>
            <w:tcW w:w="1740" w:type="dxa"/>
            <w:vAlign w:val="bottom"/>
          </w:tcPr>
          <w:p>
            <w:pPr>
              <w:spacing w:after="0"/>
              <w:rPr>
                <w:sz w:val="20"/>
                <w:szCs w:val="20"/>
                <w:color w:val="auto"/>
              </w:rPr>
            </w:pPr>
            <w:r>
              <w:rPr>
                <w:rFonts w:ascii="Arial" w:cs="Arial" w:eastAsia="Arial" w:hAnsi="Arial"/>
                <w:sz w:val="20"/>
                <w:szCs w:val="20"/>
                <w:color w:val="auto"/>
              </w:rPr>
              <w:t>Exhibit H-2:</w:t>
            </w:r>
          </w:p>
        </w:tc>
        <w:tc>
          <w:tcPr>
            <w:tcW w:w="8180" w:type="dxa"/>
            <w:vAlign w:val="bottom"/>
          </w:tcPr>
          <w:p>
            <w:pPr>
              <w:ind w:left="220"/>
              <w:spacing w:after="0"/>
              <w:rPr>
                <w:sz w:val="20"/>
                <w:szCs w:val="20"/>
                <w:color w:val="auto"/>
              </w:rPr>
            </w:pPr>
            <w:r>
              <w:rPr>
                <w:rFonts w:ascii="Arial" w:cs="Arial" w:eastAsia="Arial" w:hAnsi="Arial"/>
                <w:sz w:val="20"/>
                <w:szCs w:val="20"/>
                <w:color w:val="auto"/>
              </w:rPr>
              <w:t>Form of Swingline Loan Note</w:t>
            </w:r>
          </w:p>
        </w:tc>
      </w:tr>
      <w:tr>
        <w:trPr>
          <w:trHeight w:val="283"/>
        </w:trPr>
        <w:tc>
          <w:tcPr>
            <w:tcW w:w="1740" w:type="dxa"/>
            <w:vAlign w:val="bottom"/>
          </w:tcPr>
          <w:p>
            <w:pPr>
              <w:spacing w:after="0"/>
              <w:rPr>
                <w:sz w:val="20"/>
                <w:szCs w:val="20"/>
                <w:color w:val="auto"/>
              </w:rPr>
            </w:pPr>
            <w:r>
              <w:rPr>
                <w:rFonts w:ascii="Arial" w:cs="Arial" w:eastAsia="Arial" w:hAnsi="Arial"/>
                <w:sz w:val="20"/>
                <w:szCs w:val="20"/>
                <w:color w:val="auto"/>
              </w:rPr>
              <w:t>Exhibit I:</w:t>
            </w:r>
          </w:p>
        </w:tc>
        <w:tc>
          <w:tcPr>
            <w:tcW w:w="8180" w:type="dxa"/>
            <w:vAlign w:val="bottom"/>
          </w:tcPr>
          <w:p>
            <w:pPr>
              <w:ind w:left="220"/>
              <w:spacing w:after="0"/>
              <w:rPr>
                <w:sz w:val="20"/>
                <w:szCs w:val="20"/>
                <w:color w:val="auto"/>
              </w:rPr>
            </w:pPr>
            <w:r>
              <w:rPr>
                <w:rFonts w:ascii="Arial" w:cs="Arial" w:eastAsia="Arial" w:hAnsi="Arial"/>
                <w:sz w:val="20"/>
                <w:szCs w:val="20"/>
                <w:color w:val="auto"/>
              </w:rPr>
              <w:t>[Reserved]</w:t>
            </w:r>
          </w:p>
        </w:tc>
      </w:tr>
      <w:tr>
        <w:trPr>
          <w:trHeight w:val="284"/>
        </w:trPr>
        <w:tc>
          <w:tcPr>
            <w:tcW w:w="1740" w:type="dxa"/>
            <w:vAlign w:val="bottom"/>
          </w:tcPr>
          <w:p>
            <w:pPr>
              <w:spacing w:after="0"/>
              <w:rPr>
                <w:sz w:val="20"/>
                <w:szCs w:val="20"/>
                <w:color w:val="auto"/>
              </w:rPr>
            </w:pPr>
            <w:r>
              <w:rPr>
                <w:rFonts w:ascii="Arial" w:cs="Arial" w:eastAsia="Arial" w:hAnsi="Arial"/>
                <w:sz w:val="20"/>
                <w:szCs w:val="20"/>
                <w:color w:val="auto"/>
              </w:rPr>
              <w:t>Exhibit J:</w:t>
            </w:r>
          </w:p>
        </w:tc>
        <w:tc>
          <w:tcPr>
            <w:tcW w:w="8180" w:type="dxa"/>
            <w:vAlign w:val="bottom"/>
          </w:tcPr>
          <w:p>
            <w:pPr>
              <w:ind w:left="220"/>
              <w:spacing w:after="0"/>
              <w:rPr>
                <w:sz w:val="20"/>
                <w:szCs w:val="20"/>
                <w:color w:val="auto"/>
              </w:rPr>
            </w:pPr>
            <w:r>
              <w:rPr>
                <w:rFonts w:ascii="Arial" w:cs="Arial" w:eastAsia="Arial" w:hAnsi="Arial"/>
                <w:sz w:val="20"/>
                <w:szCs w:val="20"/>
                <w:color w:val="auto"/>
              </w:rPr>
              <w:t>Form of Collateral Information Certificate</w:t>
            </w:r>
          </w:p>
        </w:tc>
      </w:tr>
      <w:tr>
        <w:trPr>
          <w:trHeight w:val="283"/>
        </w:trPr>
        <w:tc>
          <w:tcPr>
            <w:tcW w:w="1740" w:type="dxa"/>
            <w:vAlign w:val="bottom"/>
          </w:tcPr>
          <w:p>
            <w:pPr>
              <w:spacing w:after="0"/>
              <w:rPr>
                <w:sz w:val="20"/>
                <w:szCs w:val="20"/>
                <w:color w:val="auto"/>
              </w:rPr>
            </w:pPr>
            <w:r>
              <w:rPr>
                <w:rFonts w:ascii="Arial" w:cs="Arial" w:eastAsia="Arial" w:hAnsi="Arial"/>
                <w:sz w:val="20"/>
                <w:szCs w:val="20"/>
                <w:color w:val="auto"/>
              </w:rPr>
              <w:t>Exhibit K:</w:t>
            </w:r>
          </w:p>
        </w:tc>
        <w:tc>
          <w:tcPr>
            <w:tcW w:w="8180" w:type="dxa"/>
            <w:vAlign w:val="bottom"/>
          </w:tcPr>
          <w:p>
            <w:pPr>
              <w:ind w:left="220"/>
              <w:spacing w:after="0"/>
              <w:rPr>
                <w:sz w:val="20"/>
                <w:szCs w:val="20"/>
                <w:color w:val="auto"/>
              </w:rPr>
            </w:pPr>
            <w:r>
              <w:rPr>
                <w:rFonts w:ascii="Arial" w:cs="Arial" w:eastAsia="Arial" w:hAnsi="Arial"/>
                <w:sz w:val="20"/>
                <w:szCs w:val="20"/>
                <w:color w:val="auto"/>
              </w:rPr>
              <w:t>Form of Notice of Borrowing</w:t>
            </w:r>
          </w:p>
        </w:tc>
      </w:tr>
      <w:tr>
        <w:trPr>
          <w:trHeight w:val="283"/>
        </w:trPr>
        <w:tc>
          <w:tcPr>
            <w:tcW w:w="1740" w:type="dxa"/>
            <w:vAlign w:val="bottom"/>
          </w:tcPr>
          <w:p>
            <w:pPr>
              <w:spacing w:after="0"/>
              <w:rPr>
                <w:sz w:val="20"/>
                <w:szCs w:val="20"/>
                <w:color w:val="auto"/>
              </w:rPr>
            </w:pPr>
            <w:r>
              <w:rPr>
                <w:rFonts w:ascii="Arial" w:cs="Arial" w:eastAsia="Arial" w:hAnsi="Arial"/>
                <w:sz w:val="20"/>
                <w:szCs w:val="20"/>
                <w:color w:val="auto"/>
              </w:rPr>
              <w:t>Exhibit L:</w:t>
            </w:r>
          </w:p>
        </w:tc>
        <w:tc>
          <w:tcPr>
            <w:tcW w:w="8180" w:type="dxa"/>
            <w:vAlign w:val="bottom"/>
          </w:tcPr>
          <w:p>
            <w:pPr>
              <w:ind w:left="220"/>
              <w:spacing w:after="0"/>
              <w:rPr>
                <w:sz w:val="20"/>
                <w:szCs w:val="20"/>
                <w:color w:val="auto"/>
              </w:rPr>
            </w:pPr>
            <w:r>
              <w:rPr>
                <w:rFonts w:ascii="Arial" w:cs="Arial" w:eastAsia="Arial" w:hAnsi="Arial"/>
                <w:sz w:val="20"/>
                <w:szCs w:val="20"/>
                <w:color w:val="auto"/>
              </w:rPr>
              <w:t>Form of Notice of Conversion/Continuation</w:t>
            </w:r>
          </w:p>
        </w:tc>
      </w:tr>
      <w:tr>
        <w:trPr>
          <w:trHeight w:val="945"/>
        </w:trPr>
        <w:tc>
          <w:tcPr>
            <w:tcW w:w="1740" w:type="dxa"/>
            <w:vAlign w:val="bottom"/>
          </w:tcPr>
          <w:p>
            <w:pPr>
              <w:spacing w:after="0"/>
              <w:rPr>
                <w:sz w:val="24"/>
                <w:szCs w:val="24"/>
                <w:color w:val="auto"/>
              </w:rPr>
            </w:pPr>
          </w:p>
        </w:tc>
        <w:tc>
          <w:tcPr>
            <w:tcW w:w="8180" w:type="dxa"/>
            <w:vAlign w:val="bottom"/>
          </w:tcPr>
          <w:p>
            <w:pPr>
              <w:jc w:val="center"/>
              <w:ind w:right="1641"/>
              <w:spacing w:after="0"/>
              <w:rPr>
                <w:sz w:val="20"/>
                <w:szCs w:val="20"/>
                <w:color w:val="auto"/>
              </w:rPr>
            </w:pPr>
            <w:r>
              <w:rPr>
                <w:rFonts w:ascii="Arial" w:cs="Arial" w:eastAsia="Arial" w:hAnsi="Arial"/>
                <w:sz w:val="20"/>
                <w:szCs w:val="20"/>
                <w:color w:val="auto"/>
              </w:rPr>
              <w:t>-v-</w:t>
            </w:r>
          </w:p>
        </w:tc>
      </w:tr>
      <w:tr>
        <w:trPr>
          <w:trHeight w:val="557"/>
        </w:trPr>
        <w:tc>
          <w:tcPr>
            <w:tcW w:w="174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auto"/>
        </w:rPr>
        <w:t>CREDIT AGREEMENT</w:t>
      </w:r>
    </w:p>
    <w:p>
      <w:pPr>
        <w:spacing w:after="0" w:line="21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THIS CREDIT AGREEMENT </w:t>
      </w:r>
      <w:r>
        <w:rPr>
          <w:rFonts w:ascii="Arial" w:cs="Arial" w:eastAsia="Arial" w:hAnsi="Arial"/>
          <w:sz w:val="20"/>
          <w:szCs w:val="20"/>
          <w:color w:val="auto"/>
        </w:rPr>
        <w:t>(this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dated as of July 31, 2020, is entered into by and among</w:t>
      </w:r>
      <w:r>
        <w:rPr>
          <w:rFonts w:ascii="Arial" w:cs="Arial" w:eastAsia="Arial" w:hAnsi="Arial"/>
          <w:sz w:val="20"/>
          <w:szCs w:val="20"/>
          <w:b w:val="1"/>
          <w:bCs w:val="1"/>
          <w:color w:val="auto"/>
        </w:rPr>
        <w:t xml:space="preserve"> AXCELIS TECHNOLOGIES, INC.</w:t>
      </w:r>
      <w:r>
        <w:rPr>
          <w:rFonts w:ascii="Arial" w:cs="Arial" w:eastAsia="Arial" w:hAnsi="Arial"/>
          <w:sz w:val="20"/>
          <w:szCs w:val="20"/>
          <w:color w:val="auto"/>
        </w:rPr>
        <w:t>, a Delaware corporation (the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the several banks and other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institutions or entities from time to time party to this Agreement (each a “</w:t>
      </w:r>
      <w:r>
        <w:rPr>
          <w:rFonts w:ascii="Arial" w:cs="Arial" w:eastAsia="Arial" w:hAnsi="Arial"/>
          <w:sz w:val="20"/>
          <w:szCs w:val="20"/>
          <w:b w:val="1"/>
          <w:bCs w:val="1"/>
          <w:i w:val="1"/>
          <w:iCs w:val="1"/>
          <w:color w:val="auto"/>
        </w:rPr>
        <w:t>Lender</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SILICON VALLEY BANK </w:t>
      </w:r>
      <w:r>
        <w:rPr>
          <w:rFonts w:ascii="Arial" w:cs="Arial" w:eastAsia="Arial" w:hAnsi="Arial"/>
          <w:sz w:val="20"/>
          <w:szCs w:val="20"/>
          <w:color w:val="auto"/>
        </w:rPr>
        <w:t>(“</w:t>
      </w:r>
      <w:r>
        <w:rPr>
          <w:rFonts w:ascii="Arial" w:cs="Arial" w:eastAsia="Arial" w:hAnsi="Arial"/>
          <w:sz w:val="20"/>
          <w:szCs w:val="20"/>
          <w:b w:val="1"/>
          <w:bCs w:val="1"/>
          <w:i w:val="1"/>
          <w:iCs w:val="1"/>
          <w:color w:val="auto"/>
        </w:rPr>
        <w:t>SVB</w:t>
      </w:r>
      <w:r>
        <w:rPr>
          <w:rFonts w:ascii="Arial" w:cs="Arial" w:eastAsia="Arial" w:hAnsi="Arial"/>
          <w:sz w:val="20"/>
          <w:szCs w:val="20"/>
          <w:color w:val="auto"/>
        </w:rPr>
        <w:t>”), as the Issuing Lender and the Swingline Lender, and</w:t>
      </w:r>
      <w:r>
        <w:rPr>
          <w:rFonts w:ascii="Arial" w:cs="Arial" w:eastAsia="Arial" w:hAnsi="Arial"/>
          <w:sz w:val="20"/>
          <w:szCs w:val="20"/>
          <w:b w:val="1"/>
          <w:bCs w:val="1"/>
          <w:color w:val="auto"/>
        </w:rPr>
        <w:t xml:space="preserve"> SVB</w:t>
      </w:r>
      <w:r>
        <w:rPr>
          <w:rFonts w:ascii="Arial" w:cs="Arial" w:eastAsia="Arial" w:hAnsi="Arial"/>
          <w:sz w:val="20"/>
          <w:szCs w:val="20"/>
          <w:color w:val="auto"/>
        </w:rPr>
        <w:t>, as administrative agent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collateral agent for the Lenders (in such capacities, together with any successors and assigns in such capacities, the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Administrative Agent</w:t>
      </w:r>
      <w:r>
        <w:rPr>
          <w:rFonts w:ascii="Arial" w:cs="Arial" w:eastAsia="Arial" w:hAnsi="Arial"/>
          <w:sz w:val="20"/>
          <w:szCs w:val="20"/>
          <w:i w:val="1"/>
          <w:iCs w:val="1"/>
          <w:color w:val="auto"/>
        </w:rPr>
        <w:t>”</w:t>
      </w:r>
      <w:r>
        <w:rPr>
          <w:rFonts w:ascii="Arial" w:cs="Arial" w:eastAsia="Arial" w:hAnsi="Arial"/>
          <w:sz w:val="20"/>
          <w:szCs w:val="20"/>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desires to obtain working capital financing and letter of credit facilities;</w:t>
      </w:r>
    </w:p>
    <w:p>
      <w:pPr>
        <w:spacing w:after="0" w:line="21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Lenders have agreed to extend a revolving credit facility to the Borrower, upon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specified in this Agreement, in an aggregate principal amount not to exceed $40,000,000, including a letter of credit sub-facility in the aggregate availability amount of $7,000,000 (as a sublimit of the revolving loan facility), and a swingline sub-facility in the aggregate availability amount of $10,000,000 (as a sublimit of the revolving loan facility);</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has agreed to secure all of its Obligations by granting to the Administrative Agent,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benefit of the Secured Parties, a first priority lien (subject to Liens permitted by the Loan Documents) on substantially all of its assets; and</w:t>
      </w:r>
    </w:p>
    <w:p>
      <w:pPr>
        <w:spacing w:after="0" w:line="17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Guarantors has agreed to guarantee the Obligations of the Borrower and to secure its</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Obligations in respect of such guarantee by granting to the Administrative Agent, for the benefit of the Secured Parties, a first priority lien (subject to Liens permitted by the Loan Documents) on substantially all of its assets.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the parties hereto hereby agree as follows: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194" w:lineRule="exact"/>
        <w:rPr>
          <w:sz w:val="20"/>
          <w:szCs w:val="20"/>
          <w:color w:val="auto"/>
        </w:rPr>
      </w:pPr>
    </w:p>
    <w:p>
      <w:pPr>
        <w:ind w:left="60" w:right="880" w:firstLine="599"/>
        <w:spacing w:after="0" w:line="267" w:lineRule="auto"/>
        <w:rPr>
          <w:sz w:val="20"/>
          <w:szCs w:val="20"/>
          <w:color w:val="auto"/>
        </w:rPr>
      </w:pPr>
      <w:r>
        <w:rPr>
          <w:rFonts w:ascii="Arial" w:cs="Arial" w:eastAsia="Arial" w:hAnsi="Arial"/>
          <w:sz w:val="20"/>
          <w:szCs w:val="20"/>
          <w:b w:val="1"/>
          <w:bCs w:val="1"/>
          <w:color w:val="auto"/>
        </w:rPr>
        <w:t>1.1 Defined Terms</w:t>
      </w:r>
      <w:r>
        <w:rPr>
          <w:rFonts w:ascii="Arial" w:cs="Arial" w:eastAsia="Arial" w:hAnsi="Arial"/>
          <w:sz w:val="20"/>
          <w:szCs w:val="20"/>
          <w:color w:val="auto"/>
        </w:rPr>
        <w:t>. As used in this Agreement (including the recitals hereof), the terms listed in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shall have the respective meanings set forth in this </w:t>
      </w:r>
      <w:r>
        <w:rPr>
          <w:rFonts w:ascii="Arial" w:cs="Arial" w:eastAsia="Arial" w:hAnsi="Arial"/>
          <w:sz w:val="20"/>
          <w:szCs w:val="20"/>
          <w:u w:val="single" w:color="auto"/>
          <w:color w:val="auto"/>
        </w:rPr>
        <w:t>Section 1.1</w:t>
      </w:r>
      <w:r>
        <w:rPr>
          <w:rFonts w:ascii="Arial" w:cs="Arial" w:eastAsia="Arial" w:hAnsi="Arial"/>
          <w:sz w:val="20"/>
          <w:szCs w:val="20"/>
          <w:color w:val="auto"/>
        </w:rPr>
        <w:t>.</w:t>
      </w:r>
    </w:p>
    <w:p>
      <w:pPr>
        <w:spacing w:after="0" w:line="1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ABR</w:t>
      </w:r>
      <w:r>
        <w:rPr>
          <w:rFonts w:ascii="Arial" w:cs="Arial" w:eastAsia="Arial" w:hAnsi="Arial"/>
          <w:sz w:val="20"/>
          <w:szCs w:val="20"/>
          <w:color w:val="auto"/>
        </w:rPr>
        <w:t>”: for any day, a rate per annum equal to the highest of (a) the Prime Rate in effect on such day, (b) the Federal Funds Effective Rate in effect for such day plus 0.50%, and (c) 2.00%. Any change in the ABR due to a change in any of the Prime Rate, the Federal Funds Effective Rate or the Eurodollar Rate, as the case may be, shall be effective as of the opening of business on the effective day of the change in such rates.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ABR Loans</w:t>
      </w:r>
      <w:r>
        <w:rPr>
          <w:rFonts w:ascii="Arial" w:cs="Arial" w:eastAsia="Arial" w:hAnsi="Arial"/>
          <w:sz w:val="20"/>
          <w:szCs w:val="20"/>
          <w:color w:val="auto"/>
        </w:rPr>
        <w:t>”: Loans, the rate of interest applicable to which is based upon the ABR.</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 Debtor</w:t>
      </w:r>
      <w:r>
        <w:rPr>
          <w:rFonts w:ascii="Arial" w:cs="Arial" w:eastAsia="Arial" w:hAnsi="Arial"/>
          <w:sz w:val="18"/>
          <w:szCs w:val="18"/>
          <w:color w:val="auto"/>
        </w:rPr>
        <w:t>”: any Person who may become obligated to any Person under, with respect to, or on account of, an Account, chattel paper or general intangibles (including a payment intangible). Unless otherwise stated, the term “Account Debtor,” when used herein, shall mean an Account Debtor in respect of an Account of a Group Member.</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Accounts</w:t>
      </w:r>
      <w:r>
        <w:rPr>
          <w:rFonts w:ascii="Arial" w:cs="Arial" w:eastAsia="Arial" w:hAnsi="Arial"/>
          <w:sz w:val="20"/>
          <w:szCs w:val="20"/>
          <w:color w:val="auto"/>
        </w:rPr>
        <w:t>”: all “accounts” (as defined in the UCC) of a Person, including, without limitation, accounts, accounts receivable, monies due or to become due and obligations in any form (whether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41" w:name="page42"/>
    <w:bookmarkEnd w:id="41"/>
    <w:p>
      <w:pPr>
        <w:jc w:val="both"/>
        <w:spacing w:after="0" w:line="278" w:lineRule="auto"/>
        <w:rPr>
          <w:sz w:val="20"/>
          <w:szCs w:val="20"/>
          <w:color w:val="auto"/>
        </w:rPr>
      </w:pPr>
      <w:r>
        <w:rPr>
          <w:rFonts w:ascii="Arial" w:cs="Arial" w:eastAsia="Arial" w:hAnsi="Arial"/>
          <w:sz w:val="18"/>
          <w:szCs w:val="18"/>
          <w:color w:val="auto"/>
        </w:rPr>
        <w:t>in connection with contracts, contract rights, instruments, general intangibles, or chattel paper), in each case whether arising out of goods sold or services rendered or from any other transaction and whether or not earned by performance, now or hereafter in existence, and all documents of title or other documents representing any of the foregoing, and all collateral security and guaranties of any kind, now or hereafter in existence, given by any Person with respect to any of the foregoing. Unless otherwise stated, the term “Account,” when used herein, shall mean an Account of a Group Member.</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SVB, as the administrative agent under this Agreement and the other Loan Documents, together with any of its successors in such capacity.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Affected Lender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with respect to a specified Person, another Person that directly, or indirectly through one or more intermediaries, Controls or is Controlled by or is under common Control with the Person specified; provided that, neither the Administrative Agent nor the Lenders shall be deemed Affiliates of the Loan Parties as a result of the exercise of their rights and remedies under the Loan Documents.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Agent Parties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10.2(c)(ii)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Aggregate Exposure</w:t>
      </w:r>
      <w:r>
        <w:rPr>
          <w:rFonts w:ascii="Arial" w:cs="Arial" w:eastAsia="Arial" w:hAnsi="Arial"/>
          <w:sz w:val="19"/>
          <w:szCs w:val="19"/>
          <w:color w:val="auto"/>
        </w:rPr>
        <w:t>”: with respect to any Lender at any time, an amount equal to the sum of (a) the amount of such Lender’s Revolving Commitment then in effect or, if the Revolving Commitments have been terminated, the amount of such Lender’s Revolving Extensions of Credit then outstanding, and (b) without duplication of clause (a), the L/C Commitment of such Lender then in effect (as a sublimit of the Revolving Commitment of such Lender).</w:t>
      </w:r>
    </w:p>
    <w:p>
      <w:pPr>
        <w:spacing w:after="0" w:line="17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 Exposure Percentage</w:t>
      </w:r>
      <w:r>
        <w:rPr>
          <w:rFonts w:ascii="Arial" w:cs="Arial" w:eastAsia="Arial" w:hAnsi="Arial"/>
          <w:sz w:val="18"/>
          <w:szCs w:val="18"/>
          <w:color w:val="auto"/>
        </w:rPr>
        <w:t>”: with respect to any Lender at any time, the ratio (expressed as a percentage) of such Lender’s Aggregate Exposure at such time to the Aggregate Exposure of all Lenders at such time.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as defined in the preamble hereto.</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Applicable Margin</w:t>
      </w:r>
      <w:r>
        <w:rPr>
          <w:rFonts w:ascii="Arial" w:cs="Arial" w:eastAsia="Arial" w:hAnsi="Arial"/>
          <w:sz w:val="20"/>
          <w:szCs w:val="20"/>
          <w:color w:val="auto"/>
        </w:rPr>
        <w:t>”: (a) with respect to Eurodollar Loans, the rate per annum equal to 2.25%, and (b) with respect to ABR Loans and Swingline Loans, the rate per annum equal to 1.25%.</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Application</w:t>
      </w:r>
      <w:r>
        <w:rPr>
          <w:rFonts w:ascii="Arial" w:cs="Arial" w:eastAsia="Arial" w:hAnsi="Arial"/>
          <w:sz w:val="20"/>
          <w:szCs w:val="20"/>
          <w:color w:val="auto"/>
        </w:rPr>
        <w:t>”: an application, in such form as the Issuing Lender may specify from time to time, requesting the Issuing Lender to issue a Letter of Credit.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Approved Fund</w:t>
      </w:r>
      <w:r>
        <w:rPr>
          <w:rFonts w:ascii="Arial" w:cs="Arial" w:eastAsia="Arial" w:hAnsi="Arial"/>
          <w:sz w:val="20"/>
          <w:szCs w:val="20"/>
          <w:color w:val="auto"/>
        </w:rPr>
        <w:t>”: any Fund that is administered or managed by (a) a Lender, (b) an Affiliate of a Lender, or (c) an entity or an Affiliate of an entity that administers or manages a Lender.</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Assignment and Assumption</w:t>
      </w:r>
      <w:r>
        <w:rPr>
          <w:rFonts w:ascii="Arial" w:cs="Arial" w:eastAsia="Arial" w:hAnsi="Arial"/>
          <w:sz w:val="19"/>
          <w:szCs w:val="19"/>
          <w:color w:val="auto"/>
        </w:rPr>
        <w:t xml:space="preserve">”: an assignment and assumption entered into by a Lender and an Eligible Assignee (with the consent of any party whose consent is required by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and accepted by the Administrative Agent, in substantially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or any other form approved by the Administrative Agent.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Available Revolving Commitment</w:t>
      </w:r>
      <w:r>
        <w:rPr>
          <w:rFonts w:ascii="Arial" w:cs="Arial" w:eastAsia="Arial" w:hAnsi="Arial"/>
          <w:sz w:val="19"/>
          <w:szCs w:val="19"/>
          <w:color w:val="auto"/>
        </w:rPr>
        <w:t xml:space="preserve">”: at any time, an amount equal to (a) the Total Revolving Commitments in effect at such time,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aggregate undrawn amount of all outstanding Letters of Credit at such time,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(c) the aggregate amount of all L/C Disbursements that have not yet been reimbursed or converted into Revolving Loans at such time,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(d) the aggregate principal balance of any Revolving Loans outstanding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2" w:name="page43"/>
    <w:bookmarkEnd w:id="42"/>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Available Revolving Increase Amount</w:t>
      </w:r>
      <w:r>
        <w:rPr>
          <w:rFonts w:ascii="Arial" w:cs="Arial" w:eastAsia="Arial" w:hAnsi="Arial"/>
          <w:sz w:val="20"/>
          <w:szCs w:val="20"/>
          <w:color w:val="auto"/>
        </w:rPr>
        <w:t xml:space="preserve">”: as of any date of determination, an amount equal to the result of (a) $35,000,000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the aggregate principal amount of Increases to the Revolving Commitments previously made pursuant to </w:t>
      </w:r>
      <w:r>
        <w:rPr>
          <w:rFonts w:ascii="Arial" w:cs="Arial" w:eastAsia="Arial" w:hAnsi="Arial"/>
          <w:sz w:val="20"/>
          <w:szCs w:val="20"/>
          <w:u w:val="single" w:color="auto"/>
          <w:color w:val="auto"/>
        </w:rPr>
        <w:t>Section 2.27</w:t>
      </w:r>
      <w:r>
        <w:rPr>
          <w:rFonts w:ascii="Arial" w:cs="Arial" w:eastAsia="Arial" w:hAnsi="Arial"/>
          <w:sz w:val="20"/>
          <w:szCs w:val="20"/>
          <w:color w:val="auto"/>
        </w:rPr>
        <w:t xml:space="preserve"> after the Closing Date.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Bail-In Action</w:t>
      </w:r>
      <w:r>
        <w:rPr>
          <w:rFonts w:ascii="Arial" w:cs="Arial" w:eastAsia="Arial" w:hAnsi="Arial"/>
          <w:sz w:val="20"/>
          <w:szCs w:val="20"/>
          <w:color w:val="auto"/>
        </w:rPr>
        <w:t>”: the exercise of any Write-Down and Conversion Powers by the applicable EEA Resolution Authority in respect of any liability of an EEA Financial Institution.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Bail-In Legislation</w:t>
      </w:r>
      <w:r>
        <w:rPr>
          <w:rFonts w:ascii="Arial" w:cs="Arial" w:eastAsia="Arial" w:hAnsi="Arial"/>
          <w:sz w:val="20"/>
          <w:szCs w:val="20"/>
          <w:color w:val="auto"/>
        </w:rPr>
        <w:t>”: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Bankruptcy Code</w:t>
      </w:r>
      <w:r>
        <w:rPr>
          <w:rFonts w:ascii="Arial" w:cs="Arial" w:eastAsia="Arial" w:hAnsi="Arial"/>
          <w:sz w:val="20"/>
          <w:szCs w:val="20"/>
          <w:color w:val="auto"/>
        </w:rPr>
        <w:t>”: Title 11 of the United States Code entitled “Bankruptcy.”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Benefitted Lender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10.7(a)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Blocked Person</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7.23</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the Board of Governors of the Federal Reserve System of the United States (or any successor).</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as defined in the preamble hereto.</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Borrowing Date</w:t>
      </w:r>
      <w:r>
        <w:rPr>
          <w:rFonts w:ascii="Arial" w:cs="Arial" w:eastAsia="Arial" w:hAnsi="Arial"/>
          <w:sz w:val="20"/>
          <w:szCs w:val="20"/>
          <w:color w:val="auto"/>
        </w:rPr>
        <w:t>”: any Business Day specified by the Borrower in a Notice of Borrowing as a date on which the Borrower requests the relevant Lenders to make Loans hereunder.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Business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4.17(b)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Business Day</w:t>
      </w:r>
      <w:r>
        <w:rPr>
          <w:rFonts w:ascii="Arial" w:cs="Arial" w:eastAsia="Arial" w:hAnsi="Arial"/>
          <w:sz w:val="19"/>
          <w:szCs w:val="19"/>
          <w:color w:val="auto"/>
        </w:rPr>
        <w:t xml:space="preserve">”: a day other than a Saturday, Sunday or other day on which commercial banks in the State of New York or the State of California are authorized or required by law to close;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notices and determinations in connection with, and payments of principal and interest on, Eurodollar Loans, such day is also a day for trading by and between banks in Dollar deposits in the interbank eurodollar market.</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Lease Obligations</w:t>
      </w:r>
      <w:r>
        <w:rPr>
          <w:rFonts w:ascii="Arial" w:cs="Arial" w:eastAsia="Arial" w:hAnsi="Arial"/>
          <w:sz w:val="19"/>
          <w:szCs w:val="19"/>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 provided, that for all purposes hereunder, any obligations of such Person that would have been treated as operating leases in accordance with Accounting Standards Codification 840 (regardless of whether or not then in effect) shall be treated as operating leases for purposes of all financial definitions, calculations and covenants, without giving effect to Accounting Standards Codification 842 requiring operating leases to be recharacterized or treated as capital leases.</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Capital Stock</w:t>
      </w:r>
      <w:r>
        <w:rPr>
          <w:rFonts w:ascii="Arial" w:cs="Arial" w:eastAsia="Arial" w:hAnsi="Arial"/>
          <w:sz w:val="20"/>
          <w:szCs w:val="20"/>
          <w:color w:val="auto"/>
        </w:rPr>
        <w:t>”: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3" w:name="page44"/>
    <w:bookmarkEnd w:id="43"/>
    <w:p>
      <w:pPr>
        <w:jc w:val="both"/>
        <w:ind w:right="20"/>
        <w:spacing w:after="0" w:line="260" w:lineRule="auto"/>
        <w:rPr>
          <w:sz w:val="20"/>
          <w:szCs w:val="20"/>
          <w:color w:val="auto"/>
        </w:rPr>
      </w:pPr>
      <w:r>
        <w:rPr>
          <w:rFonts w:ascii="Arial" w:cs="Arial" w:eastAsia="Arial" w:hAnsi="Arial"/>
          <w:sz w:val="20"/>
          <w:szCs w:val="20"/>
          <w:color w:val="auto"/>
        </w:rPr>
        <w:t>(including partnership, member or trust interests therein), whether voting or nonvoting, and whether or not such shares, warrants, options, rights or other interests are outstanding on any date of determination.</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Cash Collateralize</w:t>
      </w:r>
      <w:r>
        <w:rPr>
          <w:rFonts w:ascii="Arial" w:cs="Arial" w:eastAsia="Arial" w:hAnsi="Arial"/>
          <w:sz w:val="19"/>
          <w:szCs w:val="19"/>
          <w:color w:val="auto"/>
        </w:rPr>
        <w:t>”: to pledge and deposit with or deliver to (a) with respect to Obligations in respect of Letters of Credit, the Administrative Agent, for the benefit of the Issuing Lender and one or more of the Lenders, as applicable, as collateral for L/C Exposure or obligations of the Lenders to fund participations in respect thereof, cash or deposit account balances or, if the Administrative Agent and the Issuing Lender shall agree in their sole discretion, other credit support, in each case pursuant to documentation in form and substance satisfactory to the Administrative Agent and such Issuing Lender; (b) with respect to Obligations arising under any Cash Management Agreement in connection with Cash Management Services, the applicable Cash Management Bank, for its own or any of its applicable Affiliate’s benefit, as provider of such Cash Management Services, cash or deposit account balances or, if the Administrative Agent and the applicable Cash Management Bank shall agree in their sole discretion, other credit support, in each case pursuant to documentation in form and substance satisfactory to the Administrative Agent and such Cash Management Bank; or (c) with respect to Obligations in respect of any Specified Swap Agreements, the applicable Qualified Counterparty, as Collateral for such Obligations, cash or deposit account balances or, if such Qualified Counterparty shall agree in its sole discretion, other credit support, in each case pursuant to documentation in form and substance satisfactory to such Qualified Counterparty. “</w:t>
      </w:r>
      <w:r>
        <w:rPr>
          <w:rFonts w:ascii="Arial" w:cs="Arial" w:eastAsia="Arial" w:hAnsi="Arial"/>
          <w:sz w:val="19"/>
          <w:szCs w:val="19"/>
          <w:b w:val="1"/>
          <w:bCs w:val="1"/>
          <w:i w:val="1"/>
          <w:iCs w:val="1"/>
          <w:color w:val="auto"/>
        </w:rPr>
        <w:t>Cash Collateral</w:t>
      </w:r>
      <w:r>
        <w:rPr>
          <w:rFonts w:ascii="Arial" w:cs="Arial" w:eastAsia="Arial" w:hAnsi="Arial"/>
          <w:sz w:val="19"/>
          <w:szCs w:val="19"/>
          <w:color w:val="auto"/>
        </w:rPr>
        <w:t>” shall have a meaning correlative to the foregoing and shall include the proceeds of such cash collateral and other credit support.</w:t>
      </w:r>
    </w:p>
    <w:p>
      <w:pPr>
        <w:spacing w:after="0" w:line="19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Equivalents</w:t>
      </w:r>
      <w:r>
        <w:rPr>
          <w:rFonts w:ascii="Arial" w:cs="Arial" w:eastAsia="Arial" w:hAnsi="Arial"/>
          <w:sz w:val="18"/>
          <w:szCs w:val="18"/>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one year or less from the date of acquisition issued by any Lender or by any commercial bank organized under the laws of the United States or any state thereof having combined capital and surplus of not less than $250,000,000; (c) commercial paper of an issuer rated at least A-1 by S&amp;P or P-1 by Moody’s, or carrying an equivalent rating by a nationally recognized rating agency, if both of the two named rating agencies cease publishing ratings of commercial paper issuers generally, and maturing within six months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months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(h) money market funds that (i) comply with the criteria set forth in SEC Rule 2a-7 under the Investment Company Act of 1940, as amended, (ii) are rated AAA by S&amp;P and Aaa by Moody’s and (iii) have portfolio assets of at least $5,000,000,000; (i) other short term liquid investments reasonably acceptable to the Administrative Agent; and (j) in the case of any Group Member organized or having its principal place of business outside the United States, investments denominated in the currency of the jurisdiction in which such Group member is organized or has its principal place of business which are similar and of comparable credit quality to the items specified in clauses (b) through (h) above.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 Management Agreement</w:t>
      </w:r>
      <w:r>
        <w:rPr>
          <w:rFonts w:ascii="Arial" w:cs="Arial" w:eastAsia="Arial" w:hAnsi="Arial"/>
          <w:sz w:val="20"/>
          <w:szCs w:val="20"/>
          <w:color w:val="auto"/>
        </w:rPr>
        <w:t>”: as defined in the definition of “Cash Management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4" w:name="page45"/>
    <w:bookmarkEnd w:id="44"/>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 Management Bank</w:t>
      </w:r>
      <w:r>
        <w:rPr>
          <w:rFonts w:ascii="Arial" w:cs="Arial" w:eastAsia="Arial" w:hAnsi="Arial"/>
          <w:sz w:val="20"/>
          <w:szCs w:val="20"/>
          <w:color w:val="auto"/>
        </w:rPr>
        <w:t>”: any Person that, at the time it enters into a Cash Management Agreement, is a Lender or an Affiliate of a Lender, in its capacity as a party to such Cash Management Agreement.</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Cash Management Services</w:t>
      </w:r>
      <w:r>
        <w:rPr>
          <w:rFonts w:ascii="Arial" w:cs="Arial" w:eastAsia="Arial" w:hAnsi="Arial"/>
          <w:sz w:val="19"/>
          <w:szCs w:val="19"/>
          <w:color w:val="auto"/>
        </w:rPr>
        <w:t>”: cash management and other services provided to one or more of the Loan Parties by a Cash Management Bank which may include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merchant services, direct deposit of payroll, business credit card (including so-called "purchase cards", "procurement cards" or "p-cards"), credit card processing services, debit cards, stored value cards, and check cashing services identified in such Cash Management Bank’s various cash management services or other similar agreements (each, a “</w:t>
      </w:r>
      <w:r>
        <w:rPr>
          <w:rFonts w:ascii="Arial" w:cs="Arial" w:eastAsia="Arial" w:hAnsi="Arial"/>
          <w:sz w:val="19"/>
          <w:szCs w:val="19"/>
          <w:b w:val="1"/>
          <w:bCs w:val="1"/>
          <w:i w:val="1"/>
          <w:iCs w:val="1"/>
          <w:color w:val="auto"/>
        </w:rPr>
        <w:t>Cash Management Agreement</w:t>
      </w:r>
      <w:r>
        <w:rPr>
          <w:rFonts w:ascii="Arial" w:cs="Arial" w:eastAsia="Arial" w:hAnsi="Arial"/>
          <w:sz w:val="19"/>
          <w:szCs w:val="19"/>
          <w:color w:val="auto"/>
        </w:rPr>
        <w:t>”).</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Casualty Event</w:t>
      </w:r>
      <w:r>
        <w:rPr>
          <w:rFonts w:ascii="Arial" w:cs="Arial" w:eastAsia="Arial" w:hAnsi="Arial"/>
          <w:sz w:val="20"/>
          <w:szCs w:val="20"/>
          <w:color w:val="auto"/>
        </w:rPr>
        <w:t xml:space="preserve">”: any damage to or any destruction of, or any condemnation or other taking by any Governmental Authority of any property of the Loan Parties;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avoidance of doubt, no loss under a business interruption insurance policy shall constitute a Casualty Event.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Certificated Securities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4.19(a)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xml:space="preserve">”: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35% or more of the ordinary voting power for the election of directors of the Borrower (determined on a fully diluted basis); (b) except as permitted by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at any time, the Borrower shall cease to own and control, of record and beneficially, directly or indirectly, 100% of each class of outstanding Capital Stock of each other Loan Party free and clear of all Liens other than Liens permitted by </w:t>
      </w:r>
      <w:r>
        <w:rPr>
          <w:rFonts w:ascii="Arial" w:cs="Arial" w:eastAsia="Arial" w:hAnsi="Arial"/>
          <w:sz w:val="18"/>
          <w:szCs w:val="18"/>
          <w:u w:val="single" w:color="auto"/>
          <w:color w:val="auto"/>
        </w:rPr>
        <w:t>Section 7.3</w:t>
      </w:r>
      <w:r>
        <w:rPr>
          <w:rFonts w:ascii="Arial" w:cs="Arial" w:eastAsia="Arial" w:hAnsi="Arial"/>
          <w:sz w:val="18"/>
          <w:szCs w:val="18"/>
          <w:color w:val="auto"/>
        </w:rPr>
        <w:t>; or (c) a “change of control” or any comparable term under and as defined in any agreement governing any other Indebtedness of the Group Members in an aggregate principal amount in excess of $5,000,000.</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Date</w:t>
      </w:r>
      <w:r>
        <w:rPr>
          <w:rFonts w:ascii="Arial" w:cs="Arial" w:eastAsia="Arial" w:hAnsi="Arial"/>
          <w:sz w:val="20"/>
          <w:szCs w:val="20"/>
          <w:color w:val="auto"/>
        </w:rPr>
        <w:t xml:space="preserve">”: the date on which all of the conditions precedent set forth in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are satisfied or waived by the Administrative Agent and, as applicable, the Lenders or the Required Lenders.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the Internal Revenue Code of 1986, as amended from time to time.</w:t>
      </w:r>
    </w:p>
    <w:p>
      <w:pPr>
        <w:spacing w:after="0" w:line="216"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 all property of the Loan Parties, now owned or hereafter acquired, upon which a Lien is purported to be created by any Security Document. For the avoidance of doubt, no Excluded Asset shall constitute “Collateral.”</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Collateral Information Certificate</w:t>
      </w:r>
      <w:r>
        <w:rPr>
          <w:rFonts w:ascii="Arial" w:cs="Arial" w:eastAsia="Arial" w:hAnsi="Arial"/>
          <w:sz w:val="20"/>
          <w:szCs w:val="20"/>
          <w:color w:val="auto"/>
        </w:rPr>
        <w:t xml:space="preserve">”: the Collateral Information Certificate to be executed and delivered by the Borrower pursuant to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substantially in the form of </w:t>
      </w:r>
      <w:r>
        <w:rPr>
          <w:rFonts w:ascii="Arial" w:cs="Arial" w:eastAsia="Arial" w:hAnsi="Arial"/>
          <w:sz w:val="20"/>
          <w:szCs w:val="20"/>
          <w:u w:val="single" w:color="auto"/>
          <w:color w:val="auto"/>
        </w:rPr>
        <w:t>Exhibit J</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Collateral-Related Expenses</w:t>
      </w:r>
      <w:r>
        <w:rPr>
          <w:rFonts w:ascii="Arial" w:cs="Arial" w:eastAsia="Arial" w:hAnsi="Arial"/>
          <w:sz w:val="18"/>
          <w:szCs w:val="18"/>
          <w:color w:val="auto"/>
        </w:rPr>
        <w:t>”: all reasonable and documented out-of-pocket costs and expenses of the Administrative Agent paid or incurred in connection with any sale, collection or other realization on the Collateral, including reasonable and documented compensation to the Administrative Agent and its agents and counsel, and reimbursement for all other reasonable and documented out-of-pocket costs, expenses and liabilities and advances made or incurred by the Administrative Agent in connection therewith (including as described in Section 6.6 of the Guarantee and Collateral Agreement), and all amounts for which the Administrative Agent is entitled to indemnification under the Security Documents and all advances made by the Administrative Agent under the Security Documents for the account of any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5" w:name="page46"/>
    <w:bookmarkEnd w:id="45"/>
    <w:p>
      <w:pPr>
        <w:spacing w:after="0"/>
        <w:rPr>
          <w:sz w:val="20"/>
          <w:szCs w:val="20"/>
          <w:color w:val="auto"/>
        </w:rPr>
      </w:pPr>
      <w:r>
        <w:rPr>
          <w:rFonts w:ascii="Arial" w:cs="Arial" w:eastAsia="Arial" w:hAnsi="Arial"/>
          <w:sz w:val="20"/>
          <w:szCs w:val="20"/>
          <w:color w:val="auto"/>
        </w:rPr>
        <w:t>Party.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Commitment</w:t>
      </w:r>
      <w:r>
        <w:rPr>
          <w:rFonts w:ascii="Arial" w:cs="Arial" w:eastAsia="Arial" w:hAnsi="Arial"/>
          <w:sz w:val="20"/>
          <w:szCs w:val="20"/>
          <w:color w:val="auto"/>
        </w:rPr>
        <w:t>”: as to any Lender, its Revolving Commitment.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Commitment Fee Rate</w:t>
      </w:r>
      <w:r>
        <w:rPr>
          <w:rFonts w:ascii="Arial" w:cs="Arial" w:eastAsia="Arial" w:hAnsi="Arial"/>
          <w:sz w:val="20"/>
          <w:szCs w:val="20"/>
          <w:color w:val="auto"/>
        </w:rPr>
        <w:t>”: 0.30% per annum.</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Commodity Exchange Act</w:t>
      </w:r>
      <w:r>
        <w:rPr>
          <w:rFonts w:ascii="Arial" w:cs="Arial" w:eastAsia="Arial" w:hAnsi="Arial"/>
          <w:sz w:val="20"/>
          <w:szCs w:val="20"/>
          <w:color w:val="auto"/>
        </w:rPr>
        <w:t xml:space="preserve">”: the Commodity Exchange Act (7 U.S.C. Section 1 </w:t>
      </w:r>
      <w:r>
        <w:rPr>
          <w:rFonts w:ascii="Arial" w:cs="Arial" w:eastAsia="Arial" w:hAnsi="Arial"/>
          <w:sz w:val="20"/>
          <w:szCs w:val="20"/>
          <w:i w:val="1"/>
          <w:iCs w:val="1"/>
          <w:color w:val="auto"/>
        </w:rPr>
        <w:t>et seq.</w:t>
      </w:r>
      <w:r>
        <w:rPr>
          <w:rFonts w:ascii="Arial" w:cs="Arial" w:eastAsia="Arial" w:hAnsi="Arial"/>
          <w:sz w:val="20"/>
          <w:szCs w:val="20"/>
          <w:color w:val="auto"/>
        </w:rPr>
        <w:t>), as amended from time to time, and any successor statute.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Communications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10.2(c)(ii)</w:t>
      </w:r>
      <w:r>
        <w:rPr>
          <w:rFonts w:ascii="Arial" w:cs="Arial" w:eastAsia="Arial" w:hAnsi="Arial"/>
          <w:sz w:val="20"/>
          <w:szCs w:val="20"/>
          <w:color w:val="auto"/>
        </w:rPr>
        <w:t>.</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Compliance Certificate</w:t>
      </w:r>
      <w:r>
        <w:rPr>
          <w:rFonts w:ascii="Arial" w:cs="Arial" w:eastAsia="Arial" w:hAnsi="Arial"/>
          <w:sz w:val="20"/>
          <w:szCs w:val="20"/>
          <w:color w:val="auto"/>
        </w:rPr>
        <w:t xml:space="preserve">”: a certificate duly executed by a Responsible Officer of the Borrower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7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Connection Income Taxes</w:t>
      </w:r>
      <w:r>
        <w:rPr>
          <w:rFonts w:ascii="Arial" w:cs="Arial" w:eastAsia="Arial" w:hAnsi="Arial"/>
          <w:sz w:val="20"/>
          <w:szCs w:val="20"/>
          <w:color w:val="auto"/>
        </w:rPr>
        <w:t>”: Other Connection Taxes that are imposed on or measured by net income (however denominated) or that are franchise Taxes or branch profits Taxes.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Adjusted EBITDA</w:t>
      </w:r>
      <w:r>
        <w:rPr>
          <w:rFonts w:ascii="Arial" w:cs="Arial" w:eastAsia="Arial" w:hAnsi="Arial"/>
          <w:sz w:val="20"/>
          <w:szCs w:val="20"/>
          <w:color w:val="auto"/>
        </w:rPr>
        <w:t>”: with respect to the Group Members for any period,</w:t>
      </w:r>
    </w:p>
    <w:p>
      <w:pPr>
        <w:spacing w:after="0" w:line="216" w:lineRule="exact"/>
        <w:rPr>
          <w:sz w:val="20"/>
          <w:szCs w:val="20"/>
          <w:color w:val="auto"/>
        </w:rPr>
      </w:pPr>
    </w:p>
    <w:p>
      <w:pPr>
        <w:ind w:left="920" w:hanging="264"/>
        <w:spacing w:after="0"/>
        <w:tabs>
          <w:tab w:leader="none" w:pos="9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Consolidated Net Income for such period, </w:t>
      </w:r>
      <w:r>
        <w:rPr>
          <w:rFonts w:ascii="Arial" w:cs="Arial" w:eastAsia="Arial" w:hAnsi="Arial"/>
          <w:sz w:val="20"/>
          <w:szCs w:val="20"/>
          <w:u w:val="single" w:color="auto"/>
          <w:color w:val="auto"/>
        </w:rPr>
        <w:t>plus</w:t>
      </w:r>
    </w:p>
    <w:p>
      <w:pPr>
        <w:spacing w:after="0" w:line="215" w:lineRule="exact"/>
        <w:rPr>
          <w:rFonts w:ascii="Arial" w:cs="Arial" w:eastAsia="Arial" w:hAnsi="Arial"/>
          <w:sz w:val="20"/>
          <w:szCs w:val="20"/>
          <w:color w:val="auto"/>
        </w:rPr>
      </w:pPr>
    </w:p>
    <w:p>
      <w:pPr>
        <w:ind w:firstLine="656"/>
        <w:spacing w:after="0" w:line="260" w:lineRule="auto"/>
        <w:tabs>
          <w:tab w:leader="none" w:pos="9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to the extent deducted in calculating Consolidated Net Income, the sum, without duplication, of the following amounts for such period:</w:t>
      </w:r>
    </w:p>
    <w:p>
      <w:pPr>
        <w:spacing w:after="0" w:line="176" w:lineRule="exact"/>
        <w:rPr>
          <w:rFonts w:ascii="Arial" w:cs="Arial" w:eastAsia="Arial" w:hAnsi="Arial"/>
          <w:sz w:val="20"/>
          <w:szCs w:val="20"/>
          <w:color w:val="auto"/>
        </w:rPr>
      </w:pPr>
    </w:p>
    <w:p>
      <w:pPr>
        <w:ind w:left="1540" w:hanging="236"/>
        <w:spacing w:after="0"/>
        <w:tabs>
          <w:tab w:leader="none" w:pos="1540" w:val="left"/>
        </w:tabs>
        <w:numPr>
          <w:ilvl w:val="1"/>
          <w:numId w:val="10"/>
        </w:numPr>
        <w:rPr>
          <w:rFonts w:ascii="Arial" w:cs="Arial" w:eastAsia="Arial" w:hAnsi="Arial"/>
          <w:sz w:val="20"/>
          <w:szCs w:val="20"/>
          <w:color w:val="auto"/>
        </w:rPr>
      </w:pPr>
      <w:r>
        <w:rPr>
          <w:rFonts w:ascii="Arial" w:cs="Arial" w:eastAsia="Arial" w:hAnsi="Arial"/>
          <w:sz w:val="20"/>
          <w:szCs w:val="20"/>
          <w:color w:val="auto"/>
        </w:rPr>
        <w:t xml:space="preserve">Consolidated Interest Expense, </w:t>
      </w:r>
      <w:r>
        <w:rPr>
          <w:rFonts w:ascii="Arial" w:cs="Arial" w:eastAsia="Arial" w:hAnsi="Arial"/>
          <w:sz w:val="20"/>
          <w:szCs w:val="20"/>
          <w:u w:val="single" w:color="auto"/>
          <w:color w:val="auto"/>
        </w:rPr>
        <w:t>plus</w:t>
      </w:r>
    </w:p>
    <w:p>
      <w:pPr>
        <w:spacing w:after="0" w:line="215" w:lineRule="exact"/>
        <w:rPr>
          <w:rFonts w:ascii="Arial" w:cs="Arial" w:eastAsia="Arial" w:hAnsi="Arial"/>
          <w:sz w:val="20"/>
          <w:szCs w:val="20"/>
          <w:color w:val="auto"/>
        </w:rPr>
      </w:pPr>
    </w:p>
    <w:p>
      <w:pPr>
        <w:ind w:left="1600" w:hanging="296"/>
        <w:spacing w:after="0"/>
        <w:tabs>
          <w:tab w:leader="none" w:pos="1600" w:val="left"/>
        </w:tabs>
        <w:numPr>
          <w:ilvl w:val="1"/>
          <w:numId w:val="10"/>
        </w:numPr>
        <w:rPr>
          <w:rFonts w:ascii="Arial" w:cs="Arial" w:eastAsia="Arial" w:hAnsi="Arial"/>
          <w:sz w:val="20"/>
          <w:szCs w:val="20"/>
          <w:color w:val="auto"/>
        </w:rPr>
      </w:pPr>
      <w:r>
        <w:rPr>
          <w:rFonts w:ascii="Arial" w:cs="Arial" w:eastAsia="Arial" w:hAnsi="Arial"/>
          <w:sz w:val="20"/>
          <w:szCs w:val="20"/>
          <w:color w:val="auto"/>
        </w:rPr>
        <w:t xml:space="preserve">provisions for taxes based on income, </w:t>
      </w:r>
      <w:r>
        <w:rPr>
          <w:rFonts w:ascii="Arial" w:cs="Arial" w:eastAsia="Arial" w:hAnsi="Arial"/>
          <w:sz w:val="20"/>
          <w:szCs w:val="20"/>
          <w:u w:val="single" w:color="auto"/>
          <w:color w:val="auto"/>
        </w:rPr>
        <w:t>plus</w:t>
      </w:r>
    </w:p>
    <w:p>
      <w:pPr>
        <w:spacing w:after="0" w:line="215" w:lineRule="exact"/>
        <w:rPr>
          <w:rFonts w:ascii="Arial" w:cs="Arial" w:eastAsia="Arial" w:hAnsi="Arial"/>
          <w:sz w:val="20"/>
          <w:szCs w:val="20"/>
          <w:color w:val="auto"/>
        </w:rPr>
      </w:pPr>
    </w:p>
    <w:p>
      <w:pPr>
        <w:ind w:left="1660" w:hanging="356"/>
        <w:spacing w:after="0"/>
        <w:tabs>
          <w:tab w:leader="none" w:pos="1660" w:val="left"/>
        </w:tabs>
        <w:numPr>
          <w:ilvl w:val="1"/>
          <w:numId w:val="10"/>
        </w:numPr>
        <w:rPr>
          <w:rFonts w:ascii="Arial" w:cs="Arial" w:eastAsia="Arial" w:hAnsi="Arial"/>
          <w:sz w:val="20"/>
          <w:szCs w:val="20"/>
          <w:color w:val="auto"/>
        </w:rPr>
      </w:pPr>
      <w:r>
        <w:rPr>
          <w:rFonts w:ascii="Arial" w:cs="Arial" w:eastAsia="Arial" w:hAnsi="Arial"/>
          <w:sz w:val="20"/>
          <w:szCs w:val="20"/>
          <w:color w:val="auto"/>
        </w:rPr>
        <w:t>total depreciation expense, plus</w:t>
      </w:r>
    </w:p>
    <w:p>
      <w:pPr>
        <w:spacing w:after="0" w:line="215" w:lineRule="exact"/>
        <w:rPr>
          <w:rFonts w:ascii="Arial" w:cs="Arial" w:eastAsia="Arial" w:hAnsi="Arial"/>
          <w:sz w:val="20"/>
          <w:szCs w:val="20"/>
          <w:color w:val="auto"/>
        </w:rPr>
      </w:pPr>
    </w:p>
    <w:p>
      <w:pPr>
        <w:ind w:left="1640" w:hanging="336"/>
        <w:spacing w:after="0"/>
        <w:tabs>
          <w:tab w:leader="none" w:pos="1640" w:val="left"/>
        </w:tabs>
        <w:numPr>
          <w:ilvl w:val="1"/>
          <w:numId w:val="10"/>
        </w:numPr>
        <w:rPr>
          <w:rFonts w:ascii="Arial" w:cs="Arial" w:eastAsia="Arial" w:hAnsi="Arial"/>
          <w:sz w:val="20"/>
          <w:szCs w:val="20"/>
          <w:color w:val="auto"/>
        </w:rPr>
      </w:pPr>
      <w:r>
        <w:rPr>
          <w:rFonts w:ascii="Arial" w:cs="Arial" w:eastAsia="Arial" w:hAnsi="Arial"/>
          <w:sz w:val="20"/>
          <w:szCs w:val="20"/>
          <w:color w:val="auto"/>
        </w:rPr>
        <w:t xml:space="preserve">total amortization expense, </w:t>
      </w:r>
      <w:r>
        <w:rPr>
          <w:rFonts w:ascii="Arial" w:cs="Arial" w:eastAsia="Arial" w:hAnsi="Arial"/>
          <w:sz w:val="20"/>
          <w:szCs w:val="20"/>
          <w:u w:val="single" w:color="auto"/>
          <w:color w:val="auto"/>
        </w:rPr>
        <w:t>plus</w:t>
      </w:r>
    </w:p>
    <w:p>
      <w:pPr>
        <w:spacing w:after="0" w:line="215" w:lineRule="exact"/>
        <w:rPr>
          <w:rFonts w:ascii="Arial" w:cs="Arial" w:eastAsia="Arial" w:hAnsi="Arial"/>
          <w:sz w:val="20"/>
          <w:szCs w:val="20"/>
          <w:color w:val="auto"/>
        </w:rPr>
      </w:pPr>
    </w:p>
    <w:p>
      <w:pPr>
        <w:ind w:left="1580" w:hanging="276"/>
        <w:spacing w:after="0"/>
        <w:tabs>
          <w:tab w:leader="none" w:pos="1580" w:val="left"/>
        </w:tabs>
        <w:numPr>
          <w:ilvl w:val="1"/>
          <w:numId w:val="10"/>
        </w:numPr>
        <w:rPr>
          <w:rFonts w:ascii="Arial" w:cs="Arial" w:eastAsia="Arial" w:hAnsi="Arial"/>
          <w:sz w:val="20"/>
          <w:szCs w:val="20"/>
          <w:color w:val="auto"/>
        </w:rPr>
      </w:pPr>
      <w:r>
        <w:rPr>
          <w:rFonts w:ascii="Arial" w:cs="Arial" w:eastAsia="Arial" w:hAnsi="Arial"/>
          <w:sz w:val="20"/>
          <w:szCs w:val="20"/>
          <w:color w:val="auto"/>
        </w:rPr>
        <w:t xml:space="preserve">non-cash stock-based compensation, </w:t>
      </w:r>
      <w:r>
        <w:rPr>
          <w:rFonts w:ascii="Arial" w:cs="Arial" w:eastAsia="Arial" w:hAnsi="Arial"/>
          <w:sz w:val="20"/>
          <w:szCs w:val="20"/>
          <w:u w:val="single" w:color="auto"/>
          <w:color w:val="auto"/>
        </w:rPr>
        <w:t>plus</w:t>
      </w:r>
    </w:p>
    <w:p>
      <w:pPr>
        <w:spacing w:after="0" w:line="215" w:lineRule="exact"/>
        <w:rPr>
          <w:rFonts w:ascii="Arial" w:cs="Arial" w:eastAsia="Arial" w:hAnsi="Arial"/>
          <w:sz w:val="20"/>
          <w:szCs w:val="20"/>
          <w:color w:val="auto"/>
        </w:rPr>
      </w:pPr>
    </w:p>
    <w:p>
      <w:pPr>
        <w:ind w:left="660" w:firstLine="644"/>
        <w:spacing w:after="0" w:line="260" w:lineRule="auto"/>
        <w:tabs>
          <w:tab w:leader="none" w:pos="1692" w:val="left"/>
        </w:tabs>
        <w:numPr>
          <w:ilvl w:val="1"/>
          <w:numId w:val="10"/>
        </w:numPr>
        <w:rPr>
          <w:rFonts w:ascii="Arial" w:cs="Arial" w:eastAsia="Arial" w:hAnsi="Arial"/>
          <w:sz w:val="20"/>
          <w:szCs w:val="20"/>
          <w:color w:val="auto"/>
        </w:rPr>
      </w:pPr>
      <w:r>
        <w:rPr>
          <w:rFonts w:ascii="Arial" w:cs="Arial" w:eastAsia="Arial" w:hAnsi="Arial"/>
          <w:sz w:val="20"/>
          <w:szCs w:val="20"/>
          <w:color w:val="auto"/>
        </w:rPr>
        <w:t xml:space="preserve">non-cash foreign exchange translation adjustments or other realized non-cash losses from foreign currency exchange, </w:t>
      </w:r>
      <w:r>
        <w:rPr>
          <w:rFonts w:ascii="Arial" w:cs="Arial" w:eastAsia="Arial" w:hAnsi="Arial"/>
          <w:sz w:val="20"/>
          <w:szCs w:val="20"/>
          <w:u w:val="single" w:color="auto"/>
          <w:color w:val="auto"/>
        </w:rPr>
        <w:t>plus</w:t>
      </w:r>
    </w:p>
    <w:p>
      <w:pPr>
        <w:spacing w:after="0" w:line="176" w:lineRule="exact"/>
        <w:rPr>
          <w:rFonts w:ascii="Arial" w:cs="Arial" w:eastAsia="Arial" w:hAnsi="Arial"/>
          <w:sz w:val="20"/>
          <w:szCs w:val="20"/>
          <w:color w:val="auto"/>
        </w:rPr>
      </w:pPr>
    </w:p>
    <w:p>
      <w:pPr>
        <w:jc w:val="both"/>
        <w:ind w:left="660" w:firstLine="644"/>
        <w:spacing w:after="0" w:line="246" w:lineRule="auto"/>
        <w:tabs>
          <w:tab w:leader="none" w:pos="1725" w:val="left"/>
        </w:tabs>
        <w:numPr>
          <w:ilvl w:val="1"/>
          <w:numId w:val="10"/>
        </w:numPr>
        <w:rPr>
          <w:rFonts w:ascii="Arial" w:cs="Arial" w:eastAsia="Arial" w:hAnsi="Arial"/>
          <w:sz w:val="20"/>
          <w:szCs w:val="20"/>
          <w:color w:val="auto"/>
        </w:rPr>
      </w:pPr>
      <w:r>
        <w:rPr>
          <w:rFonts w:ascii="Arial" w:cs="Arial" w:eastAsia="Arial" w:hAnsi="Arial"/>
          <w:sz w:val="20"/>
          <w:szCs w:val="20"/>
          <w:color w:val="auto"/>
        </w:rPr>
        <w:t xml:space="preserve">any transaction, advisory, management and deal fees and expenses, including fees and expenses in connection with refinancing of Indebtedness (with respect to all such fees and expenses, to the extent such transaction is permitted under the Loan Documents, but whether or not such transaction is consummated), subject to the Addback Cap, </w:t>
      </w:r>
      <w:r>
        <w:rPr>
          <w:rFonts w:ascii="Arial" w:cs="Arial" w:eastAsia="Arial" w:hAnsi="Arial"/>
          <w:sz w:val="20"/>
          <w:szCs w:val="20"/>
          <w:u w:val="single" w:color="auto"/>
          <w:color w:val="auto"/>
        </w:rPr>
        <w:t>plus</w:t>
      </w:r>
    </w:p>
    <w:p>
      <w:pPr>
        <w:spacing w:after="0" w:line="191" w:lineRule="exact"/>
        <w:rPr>
          <w:rFonts w:ascii="Arial" w:cs="Arial" w:eastAsia="Arial" w:hAnsi="Arial"/>
          <w:sz w:val="20"/>
          <w:szCs w:val="20"/>
          <w:color w:val="auto"/>
        </w:rPr>
      </w:pPr>
    </w:p>
    <w:p>
      <w:pPr>
        <w:ind w:left="660" w:firstLine="644"/>
        <w:spacing w:after="0" w:line="260" w:lineRule="auto"/>
        <w:tabs>
          <w:tab w:leader="none" w:pos="1753" w:val="left"/>
        </w:tabs>
        <w:numPr>
          <w:ilvl w:val="1"/>
          <w:numId w:val="10"/>
        </w:numPr>
        <w:rPr>
          <w:rFonts w:ascii="Arial" w:cs="Arial" w:eastAsia="Arial" w:hAnsi="Arial"/>
          <w:sz w:val="20"/>
          <w:szCs w:val="20"/>
          <w:color w:val="auto"/>
        </w:rPr>
      </w:pPr>
      <w:r>
        <w:rPr>
          <w:rFonts w:ascii="Arial" w:cs="Arial" w:eastAsia="Arial" w:hAnsi="Arial"/>
          <w:sz w:val="20"/>
          <w:szCs w:val="20"/>
          <w:color w:val="auto"/>
        </w:rPr>
        <w:t xml:space="preserve">fees, costs and expenses incurred in connection with litigation, legal disputes, settlement of claims, and other related costs, subject to the Addback Cap, </w:t>
      </w:r>
      <w:r>
        <w:rPr>
          <w:rFonts w:ascii="Arial" w:cs="Arial" w:eastAsia="Arial" w:hAnsi="Arial"/>
          <w:sz w:val="20"/>
          <w:szCs w:val="20"/>
          <w:u w:val="single" w:color="auto"/>
          <w:color w:val="auto"/>
        </w:rPr>
        <w:t>plus</w:t>
      </w:r>
    </w:p>
    <w:p>
      <w:pPr>
        <w:spacing w:after="0" w:line="176" w:lineRule="exact"/>
        <w:rPr>
          <w:rFonts w:ascii="Arial" w:cs="Arial" w:eastAsia="Arial" w:hAnsi="Arial"/>
          <w:sz w:val="20"/>
          <w:szCs w:val="20"/>
          <w:color w:val="auto"/>
        </w:rPr>
      </w:pPr>
    </w:p>
    <w:p>
      <w:pPr>
        <w:ind w:left="1640" w:hanging="336"/>
        <w:spacing w:after="0"/>
        <w:tabs>
          <w:tab w:leader="none" w:pos="1640" w:val="left"/>
        </w:tabs>
        <w:numPr>
          <w:ilvl w:val="1"/>
          <w:numId w:val="10"/>
        </w:numPr>
        <w:rPr>
          <w:rFonts w:ascii="Arial" w:cs="Arial" w:eastAsia="Arial" w:hAnsi="Arial"/>
          <w:sz w:val="20"/>
          <w:szCs w:val="20"/>
          <w:color w:val="auto"/>
        </w:rPr>
      </w:pPr>
      <w:r>
        <w:rPr>
          <w:rFonts w:ascii="Arial" w:cs="Arial" w:eastAsia="Arial" w:hAnsi="Arial"/>
          <w:sz w:val="20"/>
          <w:szCs w:val="20"/>
          <w:color w:val="auto"/>
        </w:rPr>
        <w:t xml:space="preserve">costs and expenses to the extent actually reimbursed by third parties in such period, </w:t>
      </w:r>
      <w:r>
        <w:rPr>
          <w:rFonts w:ascii="Arial" w:cs="Arial" w:eastAsia="Arial" w:hAnsi="Arial"/>
          <w:sz w:val="20"/>
          <w:szCs w:val="20"/>
          <w:u w:val="single" w:color="auto"/>
          <w:color w:val="auto"/>
        </w:rPr>
        <w:t>plus</w:t>
      </w:r>
    </w:p>
    <w:p>
      <w:pPr>
        <w:spacing w:after="0" w:line="215" w:lineRule="exact"/>
        <w:rPr>
          <w:rFonts w:ascii="Arial" w:cs="Arial" w:eastAsia="Arial" w:hAnsi="Arial"/>
          <w:sz w:val="20"/>
          <w:szCs w:val="20"/>
          <w:color w:val="auto"/>
        </w:rPr>
      </w:pPr>
    </w:p>
    <w:p>
      <w:pPr>
        <w:jc w:val="both"/>
        <w:ind w:left="660" w:firstLine="644"/>
        <w:spacing w:after="0" w:line="246" w:lineRule="auto"/>
        <w:tabs>
          <w:tab w:leader="none" w:pos="1602" w:val="left"/>
        </w:tabs>
        <w:numPr>
          <w:ilvl w:val="1"/>
          <w:numId w:val="10"/>
        </w:numPr>
        <w:rPr>
          <w:rFonts w:ascii="Arial" w:cs="Arial" w:eastAsia="Arial" w:hAnsi="Arial"/>
          <w:sz w:val="20"/>
          <w:szCs w:val="20"/>
          <w:color w:val="auto"/>
        </w:rPr>
      </w:pPr>
      <w:r>
        <w:rPr>
          <w:rFonts w:ascii="Arial" w:cs="Arial" w:eastAsia="Arial" w:hAnsi="Arial"/>
          <w:sz w:val="20"/>
          <w:szCs w:val="20"/>
          <w:color w:val="auto"/>
        </w:rPr>
        <w:t>the amount of “run-rate” net cost savings, operating improvements, operating expense reductions and cost synergies (net of continuing associated expenses) (1) projected by the Borrower in good faith to be realized as a result of specified actions taken or committed to be taken during such period in connection with a Permitted Acquisition, any other Investment permitted pursuant</w:t>
      </w:r>
    </w:p>
    <w:p>
      <w:pPr>
        <w:sectPr>
          <w:pgSz w:w="11900" w:h="16838" w:orient="portrait"/>
          <w:cols w:equalWidth="0" w:num="1">
            <w:col w:w="9920"/>
          </w:cols>
          <w:pgMar w:left="980" w:top="110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382270</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type w:val="continuous"/>
        </w:sectPr>
      </w:pPr>
    </w:p>
    <w:bookmarkStart w:id="46" w:name="page47"/>
    <w:bookmarkEnd w:id="46"/>
    <w:p>
      <w:pPr>
        <w:jc w:val="both"/>
        <w:ind w:left="660"/>
        <w:spacing w:after="0" w:line="269" w:lineRule="auto"/>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any Disposition permitted pursuant to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or any operational change (calculated on a pro forma basis as though such items had been realized on the first day of such period), net of the amount of actual benefits realized during such period from such actions or (2) determined on a basis consistent with Article 11 of Regulation S-X of the Securities Act, as amended, as interpreted by the SEC;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cost savings, operating improvements, operating expense reductions and cost synergies are (x) reasonably identifiable, reasonably attributable to the actions specified and reasonably anticipated to result from such actions and (y) set forth in a certificate signed by a Responsible Officer of the Borrower in form and detail reasonably acceptable to the Administrative Agent stating (A) the amount of such adjustment or adjustments and (B) that such adjustment or adjustments are reasonably expected and factually supportable in the good faith judgment of the Borrower, (II) such actions are to be taken within 12 months after the consummation of such Permitted Acquisition, Investment, Disposition permitted pursuant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or operational change, which is expected to result in such cost savings, operating improvements, expense reductions and cost synergies, (III) no cost savings, operating improvements, operating expense reductions or cost synergies shall be added pursuant to this clause to the extent duplicative of any expenses or charges otherwise added to Consolidated Adjusted EBITDA, whether through a pro forma adjustment or otherwise, for such period, and (IV) the aggregate amount added back pursuant to this clause shall be subject to the Addback Cap and shall only be added back to the extent that the Administrative Agent approves such add-back in writing, </w:t>
      </w:r>
      <w:r>
        <w:rPr>
          <w:rFonts w:ascii="Arial" w:cs="Arial" w:eastAsia="Arial" w:hAnsi="Arial"/>
          <w:sz w:val="18"/>
          <w:szCs w:val="18"/>
          <w:u w:val="single" w:color="auto"/>
          <w:color w:val="auto"/>
        </w:rPr>
        <w:t>plus</w:t>
      </w:r>
    </w:p>
    <w:p>
      <w:pPr>
        <w:spacing w:after="0" w:line="174" w:lineRule="exact"/>
        <w:rPr>
          <w:sz w:val="20"/>
          <w:szCs w:val="20"/>
          <w:color w:val="auto"/>
        </w:rPr>
      </w:pPr>
    </w:p>
    <w:p>
      <w:pPr>
        <w:ind w:left="1680" w:hanging="376"/>
        <w:spacing w:after="0"/>
        <w:tabs>
          <w:tab w:leader="none" w:pos="1680" w:val="left"/>
        </w:tabs>
        <w:numPr>
          <w:ilvl w:val="1"/>
          <w:numId w:val="11"/>
        </w:numPr>
        <w:rPr>
          <w:rFonts w:ascii="Arial" w:cs="Arial" w:eastAsia="Arial" w:hAnsi="Arial"/>
          <w:sz w:val="19"/>
          <w:szCs w:val="19"/>
          <w:color w:val="auto"/>
        </w:rPr>
      </w:pPr>
      <w:r>
        <w:rPr>
          <w:rFonts w:ascii="Arial" w:cs="Arial" w:eastAsia="Arial" w:hAnsi="Arial"/>
          <w:sz w:val="19"/>
          <w:szCs w:val="19"/>
          <w:color w:val="auto"/>
        </w:rPr>
        <w:t>other non-cash items reducing Consolidated Net Income approved by the Administrative Agent in</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 xml:space="preserve">writing, </w:t>
      </w:r>
      <w:r>
        <w:rPr>
          <w:rFonts w:ascii="Arial" w:cs="Arial" w:eastAsia="Arial" w:hAnsi="Arial"/>
          <w:sz w:val="20"/>
          <w:szCs w:val="20"/>
          <w:u w:val="single" w:color="auto"/>
          <w:color w:val="auto"/>
        </w:rPr>
        <w:t>plus</w:t>
      </w:r>
    </w:p>
    <w:p>
      <w:pPr>
        <w:spacing w:after="0" w:line="199" w:lineRule="exact"/>
        <w:rPr>
          <w:rFonts w:ascii="Arial" w:cs="Arial" w:eastAsia="Arial" w:hAnsi="Arial"/>
          <w:sz w:val="19"/>
          <w:szCs w:val="19"/>
          <w:color w:val="auto"/>
        </w:rPr>
      </w:pPr>
    </w:p>
    <w:p>
      <w:pPr>
        <w:ind w:left="660" w:firstLine="644"/>
        <w:spacing w:after="0" w:line="260" w:lineRule="auto"/>
        <w:tabs>
          <w:tab w:leader="none" w:pos="1707" w:val="left"/>
        </w:tabs>
        <w:numPr>
          <w:ilvl w:val="1"/>
          <w:numId w:val="11"/>
        </w:numPr>
        <w:rPr>
          <w:rFonts w:ascii="Arial" w:cs="Arial" w:eastAsia="Arial" w:hAnsi="Arial"/>
          <w:sz w:val="20"/>
          <w:szCs w:val="20"/>
          <w:color w:val="auto"/>
        </w:rPr>
      </w:pPr>
      <w:r>
        <w:rPr>
          <w:rFonts w:ascii="Arial" w:cs="Arial" w:eastAsia="Arial" w:hAnsi="Arial"/>
          <w:sz w:val="20"/>
          <w:szCs w:val="20"/>
          <w:color w:val="auto"/>
        </w:rPr>
        <w:t xml:space="preserve">other extraordinary or nonrecurring losses, expenses or charges approved by the Administrative Agent in writing and subject to the Addback Cap; </w:t>
      </w:r>
      <w:r>
        <w:rPr>
          <w:rFonts w:ascii="Arial" w:cs="Arial" w:eastAsia="Arial" w:hAnsi="Arial"/>
          <w:sz w:val="20"/>
          <w:szCs w:val="20"/>
          <w:u w:val="single" w:color="auto"/>
          <w:color w:val="auto"/>
        </w:rPr>
        <w:t>minus</w:t>
      </w:r>
    </w:p>
    <w:p>
      <w:pPr>
        <w:spacing w:after="0" w:line="176" w:lineRule="exact"/>
        <w:rPr>
          <w:rFonts w:ascii="Arial" w:cs="Arial" w:eastAsia="Arial" w:hAnsi="Arial"/>
          <w:sz w:val="20"/>
          <w:szCs w:val="20"/>
          <w:color w:val="auto"/>
        </w:rPr>
      </w:pPr>
    </w:p>
    <w:p>
      <w:pPr>
        <w:ind w:firstLine="656"/>
        <w:spacing w:after="0" w:line="260" w:lineRule="auto"/>
        <w:tabs>
          <w:tab w:leader="none" w:pos="938" w:val="left"/>
        </w:tabs>
        <w:numPr>
          <w:ilvl w:val="0"/>
          <w:numId w:val="12"/>
        </w:numPr>
        <w:rPr>
          <w:rFonts w:ascii="Arial" w:cs="Arial" w:eastAsia="Arial" w:hAnsi="Arial"/>
          <w:sz w:val="20"/>
          <w:szCs w:val="20"/>
          <w:color w:val="auto"/>
        </w:rPr>
      </w:pPr>
      <w:r>
        <w:rPr>
          <w:rFonts w:ascii="Arial" w:cs="Arial" w:eastAsia="Arial" w:hAnsi="Arial"/>
          <w:sz w:val="20"/>
          <w:szCs w:val="20"/>
          <w:color w:val="auto"/>
        </w:rPr>
        <w:t>to the extent increasing Consolidated Net Income, the sum, without duplication, of the following amounts for such period:</w:t>
      </w:r>
    </w:p>
    <w:p>
      <w:pPr>
        <w:spacing w:after="0" w:line="177" w:lineRule="exact"/>
        <w:rPr>
          <w:sz w:val="20"/>
          <w:szCs w:val="20"/>
          <w:color w:val="auto"/>
        </w:rPr>
      </w:pPr>
    </w:p>
    <w:p>
      <w:pPr>
        <w:ind w:left="900" w:hanging="244"/>
        <w:spacing w:after="0"/>
        <w:tabs>
          <w:tab w:leader="none" w:pos="9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non-cash items increasing Consolidated Net Income for such period, </w:t>
      </w:r>
      <w:r>
        <w:rPr>
          <w:rFonts w:ascii="Arial" w:cs="Arial" w:eastAsia="Arial" w:hAnsi="Arial"/>
          <w:sz w:val="20"/>
          <w:szCs w:val="20"/>
          <w:u w:val="single" w:color="auto"/>
          <w:color w:val="auto"/>
        </w:rPr>
        <w:t>plus</w:t>
      </w:r>
    </w:p>
    <w:p>
      <w:pPr>
        <w:spacing w:after="0" w:line="215" w:lineRule="exact"/>
        <w:rPr>
          <w:rFonts w:ascii="Arial" w:cs="Arial" w:eastAsia="Arial" w:hAnsi="Arial"/>
          <w:sz w:val="20"/>
          <w:szCs w:val="20"/>
          <w:color w:val="auto"/>
        </w:rPr>
      </w:pPr>
    </w:p>
    <w:p>
      <w:pPr>
        <w:ind w:left="940" w:hanging="284"/>
        <w:spacing w:after="0"/>
        <w:tabs>
          <w:tab w:leader="none" w:pos="9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interest income, </w:t>
      </w:r>
      <w:r>
        <w:rPr>
          <w:rFonts w:ascii="Arial" w:cs="Arial" w:eastAsia="Arial" w:hAnsi="Arial"/>
          <w:sz w:val="20"/>
          <w:szCs w:val="20"/>
          <w:u w:val="single" w:color="auto"/>
          <w:color w:val="auto"/>
        </w:rPr>
        <w:t>plus</w:t>
      </w:r>
    </w:p>
    <w:p>
      <w:pPr>
        <w:spacing w:after="0" w:line="215" w:lineRule="exact"/>
        <w:rPr>
          <w:rFonts w:ascii="Arial" w:cs="Arial" w:eastAsia="Arial" w:hAnsi="Arial"/>
          <w:sz w:val="20"/>
          <w:szCs w:val="20"/>
          <w:color w:val="auto"/>
        </w:rPr>
      </w:pPr>
    </w:p>
    <w:p>
      <w:pPr>
        <w:ind w:left="1000" w:hanging="344"/>
        <w:spacing w:after="0"/>
        <w:tabs>
          <w:tab w:leader="none" w:pos="10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extraordinary gains from the Disposition of assets outside of the ordinary course of business, </w:t>
      </w:r>
      <w:r>
        <w:rPr>
          <w:rFonts w:ascii="Arial" w:cs="Arial" w:eastAsia="Arial" w:hAnsi="Arial"/>
          <w:sz w:val="20"/>
          <w:szCs w:val="20"/>
          <w:u w:val="single" w:color="auto"/>
          <w:color w:val="auto"/>
        </w:rPr>
        <w:t>plus</w:t>
      </w:r>
    </w:p>
    <w:p>
      <w:pPr>
        <w:spacing w:after="0" w:line="215" w:lineRule="exact"/>
        <w:rPr>
          <w:rFonts w:ascii="Arial" w:cs="Arial" w:eastAsia="Arial" w:hAnsi="Arial"/>
          <w:sz w:val="20"/>
          <w:szCs w:val="20"/>
          <w:color w:val="auto"/>
        </w:rPr>
      </w:pPr>
    </w:p>
    <w:p>
      <w:pPr>
        <w:ind w:left="1000" w:hanging="344"/>
        <w:spacing w:after="0"/>
        <w:tabs>
          <w:tab w:leader="none" w:pos="10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provisions for income tax benefit on losses.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Notwithstanding the foregoing, the aggregate amount of all addbacks pursuant to clauses (vii), (viii), (x) and (xii) in any period shall not exceed 25% of Consolidated Adjusted EBITDA (calculated prior to giving effect to the addbacks described in this sentence) (the “</w:t>
      </w:r>
      <w:r>
        <w:rPr>
          <w:rFonts w:ascii="Arial" w:cs="Arial" w:eastAsia="Arial" w:hAnsi="Arial"/>
          <w:sz w:val="20"/>
          <w:szCs w:val="20"/>
          <w:b w:val="1"/>
          <w:bCs w:val="1"/>
          <w:i w:val="1"/>
          <w:iCs w:val="1"/>
          <w:color w:val="auto"/>
        </w:rPr>
        <w:t>Addback Cap</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Capital Expenditures</w:t>
      </w:r>
      <w:r>
        <w:rPr>
          <w:rFonts w:ascii="Arial" w:cs="Arial" w:eastAsia="Arial" w:hAnsi="Arial"/>
          <w:sz w:val="18"/>
          <w:szCs w:val="18"/>
          <w:color w:val="auto"/>
        </w:rPr>
        <w:t xml:space="preserve">”: for any period, with respect to the Group Members, the aggregate of all expenditures (whether paid in cash or other consideration or accrued as a liability and including that portion of Capital Lease Obligations which is capitalized on the consolidated balance sheet of the Group Members) by such Group Members during such period for the acquisition or leasing (pursuant to a capital lease) of fixed or capital assets or additions to equipment (including replacements, capitalized repairs and improvements during such period) that, in conformity with GAAP, are included in “additions to property, plant or equipment” or comparable items reflected in the consolidated statement of cash flows of the Group Members;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b w:val="1"/>
          <w:bCs w:val="1"/>
          <w:i w:val="1"/>
          <w:iCs w:val="1"/>
          <w:color w:val="auto"/>
        </w:rPr>
        <w:t>Consolidated Capital Expenditures</w:t>
      </w:r>
      <w:r>
        <w:rPr>
          <w:rFonts w:ascii="Arial" w:cs="Arial" w:eastAsia="Arial" w:hAnsi="Arial"/>
          <w:sz w:val="18"/>
          <w:szCs w:val="18"/>
          <w:color w:val="auto"/>
        </w:rPr>
        <w:t>” shall not include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7" w:name="page48"/>
    <w:bookmarkEnd w:id="47"/>
    <w:p>
      <w:pPr>
        <w:jc w:val="both"/>
        <w:spacing w:after="0" w:line="303" w:lineRule="auto"/>
        <w:rPr>
          <w:sz w:val="20"/>
          <w:szCs w:val="20"/>
          <w:color w:val="auto"/>
        </w:rPr>
      </w:pPr>
      <w:r>
        <w:rPr>
          <w:rFonts w:ascii="Arial" w:cs="Arial" w:eastAsia="Arial" w:hAnsi="Arial"/>
          <w:sz w:val="16"/>
          <w:szCs w:val="16"/>
          <w:color w:val="auto"/>
        </w:rPr>
        <w:t>expenditures in respect of normal replacements and maintenance which are properly charged to current operations, (b) expenditures made in connection with the replacement, substitution or restoration of assets to the extent financed (i) from insurance proceeds paid on account of the loss of or damage to the assets being replaced or restored or (ii) with awards of compensation arising from the taking by eminent domain or condemnation of the assets being replaced, (c) expenditures made as a tenant as leasehold improvements during such period to the extent reimbursed by the landlord during such period,</w:t>
      </w:r>
    </w:p>
    <w:p>
      <w:pPr>
        <w:spacing w:after="0" w:line="2" w:lineRule="exact"/>
        <w:rPr>
          <w:sz w:val="20"/>
          <w:szCs w:val="20"/>
          <w:color w:val="auto"/>
        </w:rPr>
      </w:pPr>
    </w:p>
    <w:p>
      <w:pPr>
        <w:jc w:val="both"/>
        <w:ind w:firstLine="8"/>
        <w:spacing w:after="0" w:line="241" w:lineRule="auto"/>
        <w:tabs>
          <w:tab w:leader="none" w:pos="283"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trade in of equipment or (e) expenditures to the extent such expenditures are reimbursed or subject to reimbursement, by Persons other than the Group Members (provided that such reimbursement has been received, or if not received, Administrative Agent is reasonably satisfied that such reimbursements are reasonably likely to be received during such period).</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Fixed Charge Coverage Ratio</w:t>
      </w:r>
      <w:r>
        <w:rPr>
          <w:rFonts w:ascii="Arial" w:cs="Arial" w:eastAsia="Arial" w:hAnsi="Arial"/>
          <w:sz w:val="20"/>
          <w:szCs w:val="20"/>
          <w:color w:val="auto"/>
        </w:rPr>
        <w:t xml:space="preserve">”: with respect to the Group Members as of the last day of any 12-month period, the ratio of (a) Consolidated Adjusted EBITDA for such period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Consolidated Capital Expenditures made in cash other than from the proceeds of long-term Indebtedness </w:t>
      </w:r>
      <w:r>
        <w:rPr>
          <w:rFonts w:ascii="Arial" w:cs="Arial" w:eastAsia="Arial" w:hAnsi="Arial"/>
          <w:sz w:val="20"/>
          <w:szCs w:val="20"/>
          <w:u w:val="single" w:color="auto"/>
          <w:color w:val="auto"/>
        </w:rPr>
        <w:t>minus</w:t>
      </w:r>
      <w:r>
        <w:rPr>
          <w:rFonts w:ascii="Arial" w:cs="Arial" w:eastAsia="Arial" w:hAnsi="Arial"/>
          <w:sz w:val="20"/>
          <w:szCs w:val="20"/>
          <w:color w:val="auto"/>
        </w:rPr>
        <w:t>, taxes actually paid in cash during such period, to (b) Consolidated Fixed Charges for such period.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Fixed Charges</w:t>
      </w:r>
      <w:r>
        <w:rPr>
          <w:rFonts w:ascii="Arial" w:cs="Arial" w:eastAsia="Arial" w:hAnsi="Arial"/>
          <w:sz w:val="18"/>
          <w:szCs w:val="18"/>
          <w:color w:val="auto"/>
        </w:rPr>
        <w:t>”: with respect to the Group Members for any period, the sum (without duplication)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of:</w:t>
      </w:r>
    </w:p>
    <w:p>
      <w:pPr>
        <w:spacing w:after="0" w:line="197"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22"/>
          <w:szCs w:val="22"/>
          <w:color w:val="auto"/>
        </w:rPr>
      </w:pPr>
      <w:r>
        <w:rPr>
          <w:rFonts w:ascii="Arial" w:cs="Arial" w:eastAsia="Arial" w:hAnsi="Arial"/>
          <w:sz w:val="20"/>
          <w:szCs w:val="20"/>
          <w:color w:val="auto"/>
        </w:rPr>
        <w:t xml:space="preserve">Consolidated Interest Expense, </w:t>
      </w:r>
      <w:r>
        <w:rPr>
          <w:rFonts w:ascii="Arial" w:cs="Arial" w:eastAsia="Arial" w:hAnsi="Arial"/>
          <w:sz w:val="20"/>
          <w:szCs w:val="20"/>
          <w:u w:val="single" w:color="auto"/>
          <w:color w:val="auto"/>
        </w:rPr>
        <w:t>plus</w:t>
      </w:r>
    </w:p>
    <w:p>
      <w:pPr>
        <w:spacing w:after="0" w:line="208" w:lineRule="exact"/>
        <w:rPr>
          <w:rFonts w:ascii="Arial" w:cs="Arial" w:eastAsia="Arial" w:hAnsi="Arial"/>
          <w:sz w:val="22"/>
          <w:szCs w:val="22"/>
          <w:color w:val="auto"/>
        </w:rPr>
      </w:pPr>
    </w:p>
    <w:p>
      <w:pPr>
        <w:jc w:val="both"/>
        <w:ind w:left="1300" w:hanging="644"/>
        <w:spacing w:after="0" w:line="238" w:lineRule="auto"/>
        <w:tabs>
          <w:tab w:leader="none" w:pos="1300" w:val="left"/>
        </w:tabs>
        <w:numPr>
          <w:ilvl w:val="0"/>
          <w:numId w:val="15"/>
        </w:numPr>
        <w:rPr>
          <w:rFonts w:ascii="Arial" w:cs="Arial" w:eastAsia="Arial" w:hAnsi="Arial"/>
          <w:sz w:val="22"/>
          <w:szCs w:val="22"/>
          <w:color w:val="auto"/>
        </w:rPr>
      </w:pPr>
      <w:r>
        <w:rPr>
          <w:rFonts w:ascii="Arial" w:cs="Arial" w:eastAsia="Arial" w:hAnsi="Arial"/>
          <w:sz w:val="20"/>
          <w:szCs w:val="20"/>
          <w:color w:val="auto"/>
        </w:rPr>
        <w:t>scheduled payments made in cash during such period on account of earn-out obligations and other Indebtedness, plus scheduled Finance Lease Obligation payments (but excluding any payments on account of operating leases).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Interest Expense</w:t>
      </w:r>
      <w:r>
        <w:rPr>
          <w:rFonts w:ascii="Arial" w:cs="Arial" w:eastAsia="Arial" w:hAnsi="Arial"/>
          <w:sz w:val="18"/>
          <w:szCs w:val="18"/>
          <w:color w:val="auto"/>
        </w:rPr>
        <w:t>”: for any period, total cash interest expense (including that attributable to Capital Lease Obligations) of the Group Members for such period with respect to all outstanding Indebtedness of such Persons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but excluding, however, (a) (i) any upfront fees paid pursuant to the Fee Letter on or prior to the Closing Date and (ii) any fees and/or expenses paid in connection with any Permitted Acquisition or other Investments or in connection with any amendment, consent or waiver with respect to any outstanding Indebtedness (including under the Loan Documents) or any expenses and upfront, underwriting or similar fees (including any original issue discount) incurred in connection with any Indebtedness (including under the Loan Documents), (b) any expenses payable in connection with any Swap Agreement and (c) the accretion or accrual of discounted liabilities during such period.</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Net Income</w:t>
      </w:r>
      <w:r>
        <w:rPr>
          <w:rFonts w:ascii="Arial" w:cs="Arial" w:eastAsia="Arial" w:hAnsi="Arial"/>
          <w:sz w:val="18"/>
          <w:szCs w:val="18"/>
          <w:color w:val="auto"/>
        </w:rPr>
        <w:t xml:space="preserve">”: for any period, the consolidated net income (or loss) of the Group Members, determined on a consolidated basis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from the calculation of “Consolidated Net Income” (a) the income (or deficit) of any such Person accrued prior to the date it becomes a Subsidiary of the Borrower or is merged into or consolidated with a Group Member, (b) the income (or deficit) of any such Person (other than a Subsidiary of the Borrower) in which a Group Member has an ownership interest, except to the extent that any such income is actually received by a Group Member in the form of dividends or similar distributions, and (c) the undistributed earnings of any Subsidiary of the Borrower that is not a Group Member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Senior Leverage Ratio</w:t>
      </w:r>
      <w:r>
        <w:rPr>
          <w:rFonts w:ascii="Arial" w:cs="Arial" w:eastAsia="Arial" w:hAnsi="Arial"/>
          <w:sz w:val="20"/>
          <w:szCs w:val="20"/>
          <w:color w:val="auto"/>
        </w:rPr>
        <w:t xml:space="preserve">”: as at the last day of any period, the </w:t>
      </w:r>
      <w:r>
        <w:rPr>
          <w:rFonts w:ascii="Arial" w:cs="Arial" w:eastAsia="Arial" w:hAnsi="Arial"/>
          <w:sz w:val="20"/>
          <w:szCs w:val="20"/>
          <w:u w:val="single" w:color="auto"/>
          <w:color w:val="auto"/>
        </w:rPr>
        <w:t>ratio</w:t>
      </w:r>
      <w:r>
        <w:rPr>
          <w:rFonts w:ascii="Arial" w:cs="Arial" w:eastAsia="Arial" w:hAnsi="Arial"/>
          <w:sz w:val="20"/>
          <w:szCs w:val="20"/>
          <w:color w:val="auto"/>
        </w:rPr>
        <w:t xml:space="preserve"> of (a) the sum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19"/>
          <w:szCs w:val="19"/>
          <w:color w:val="auto"/>
        </w:rPr>
        <w:t xml:space="preserve">(without duplication) of the Obligations then outstanding (but excluding (x) Letters of Credit securing Finance Lease Obligations and (y) any Letters of Credit to the extent that such Letters of Credit are cash collateralized),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Finance Lease Obligations,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funded earn-out obligations and other Indebtedness (excluding Subordinated Indebtedness) </w:t>
      </w:r>
      <w:r>
        <w:rPr>
          <w:rFonts w:ascii="Arial" w:cs="Arial" w:eastAsia="Arial" w:hAnsi="Arial"/>
          <w:sz w:val="19"/>
          <w:szCs w:val="19"/>
          <w:u w:val="single" w:color="auto"/>
          <w:color w:val="auto"/>
        </w:rPr>
        <w:t>divided</w:t>
      </w:r>
      <w:r>
        <w:rPr>
          <w:rFonts w:ascii="Arial" w:cs="Arial" w:eastAsia="Arial" w:hAnsi="Arial"/>
          <w:sz w:val="19"/>
          <w:szCs w:val="19"/>
          <w:color w:val="auto"/>
        </w:rPr>
        <w:t xml:space="preserve"> by (b) Consolidated Adjusted EBITDA, calculated on a trailing twelve month basis.</w:t>
      </w:r>
    </w:p>
    <w:p>
      <w:pPr>
        <w:spacing w:after="0" w:line="17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Contractual Obligation</w:t>
      </w:r>
      <w:r>
        <w:rPr>
          <w:rFonts w:ascii="Arial" w:cs="Arial" w:eastAsia="Arial" w:hAnsi="Arial"/>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Control</w:t>
      </w:r>
      <w:r>
        <w:rPr>
          <w:rFonts w:ascii="Arial" w:cs="Arial" w:eastAsia="Arial" w:hAnsi="Arial"/>
          <w:sz w:val="20"/>
          <w:szCs w:val="20"/>
          <w:color w:val="auto"/>
        </w:rPr>
        <w:t>”: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b w:val="1"/>
          <w:bCs w:val="1"/>
          <w:i w:val="1"/>
          <w:iCs w:val="1"/>
          <w:color w:val="auto"/>
        </w:rPr>
        <w:t>Controlling</w:t>
      </w:r>
      <w:r>
        <w:rPr>
          <w:rFonts w:ascii="Arial" w:cs="Arial" w:eastAsia="Arial" w:hAnsi="Arial"/>
          <w:sz w:val="20"/>
          <w:szCs w:val="20"/>
          <w:color w:val="auto"/>
        </w:rPr>
        <w:t>” and “</w:t>
      </w:r>
      <w:r>
        <w:rPr>
          <w:rFonts w:ascii="Arial" w:cs="Arial" w:eastAsia="Arial" w:hAnsi="Arial"/>
          <w:sz w:val="20"/>
          <w:szCs w:val="20"/>
          <w:b w:val="1"/>
          <w:bCs w:val="1"/>
          <w:i w:val="1"/>
          <w:iCs w:val="1"/>
          <w:color w:val="auto"/>
        </w:rPr>
        <w:t>Controlled</w:t>
      </w:r>
      <w:r>
        <w:rPr>
          <w:rFonts w:ascii="Arial" w:cs="Arial" w:eastAsia="Arial" w:hAnsi="Arial"/>
          <w:sz w:val="20"/>
          <w:szCs w:val="20"/>
          <w:color w:val="auto"/>
        </w:rPr>
        <w:t>” have meanings correlative thereto.</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Control Agreement</w:t>
      </w:r>
      <w:r>
        <w:rPr>
          <w:rFonts w:ascii="Arial" w:cs="Arial" w:eastAsia="Arial" w:hAnsi="Arial"/>
          <w:sz w:val="20"/>
          <w:szCs w:val="20"/>
          <w:color w:val="auto"/>
        </w:rPr>
        <w:t>”: any account control agreement in form and substance reasonably satisfactory to the Administrative Agent entered into among the depository institution at which a Loan Party maintains a Deposit Account or the securities intermediary at which a Loan Party maintains a Securities Account, such Loan Party, and the Administrative Agent pursuant to which the Administrative Agent obtains control (within the meaning of the UCC or any other applicable law) over such Deposit Account or Securities Account.</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Debtor Relief Laws</w:t>
      </w:r>
      <w:r>
        <w:rPr>
          <w:rFonts w:ascii="Arial" w:cs="Arial" w:eastAsia="Arial" w:hAnsi="Arial"/>
          <w:sz w:val="20"/>
          <w:szCs w:val="20"/>
          <w:color w:val="auto"/>
        </w:rPr>
        <w:t>”: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w:t>
      </w:r>
      <w:r>
        <w:rPr>
          <w:rFonts w:ascii="Arial" w:cs="Arial" w:eastAsia="Arial" w:hAnsi="Arial"/>
          <w:sz w:val="20"/>
          <w:szCs w:val="20"/>
          <w:color w:val="auto"/>
        </w:rPr>
        <w:t xml:space="preserve">”: any of the events specified in </w:t>
      </w:r>
      <w:r>
        <w:rPr>
          <w:rFonts w:ascii="Arial" w:cs="Arial" w:eastAsia="Arial" w:hAnsi="Arial"/>
          <w:sz w:val="20"/>
          <w:szCs w:val="20"/>
          <w:u w:val="single" w:color="auto"/>
          <w:color w:val="auto"/>
        </w:rPr>
        <w:t>Section 8.1</w:t>
      </w:r>
      <w:r>
        <w:rPr>
          <w:rFonts w:ascii="Arial" w:cs="Arial" w:eastAsia="Arial" w:hAnsi="Arial"/>
          <w:sz w:val="20"/>
          <w:szCs w:val="20"/>
          <w:color w:val="auto"/>
        </w:rPr>
        <w:t>, whether or not any requirement for the giving of notice, the lapse of time, or both, has been satisfied.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 Rate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2.15(c)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Defaulting Lender</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2.24(b)</w:t>
      </w:r>
      <w:r>
        <w:rPr>
          <w:rFonts w:ascii="Arial" w:cs="Arial" w:eastAsia="Arial" w:hAnsi="Arial"/>
          <w:sz w:val="18"/>
          <w:szCs w:val="18"/>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the Issuing Lender,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the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receipt of such written confirmation by the Administrative Agent and the Borrower), or (d) has, or has a direct or indirect parent company that has,</w:t>
      </w:r>
    </w:p>
    <w:p>
      <w:pPr>
        <w:spacing w:after="0" w:line="4" w:lineRule="exact"/>
        <w:rPr>
          <w:sz w:val="20"/>
          <w:szCs w:val="20"/>
          <w:color w:val="auto"/>
        </w:rPr>
      </w:pPr>
    </w:p>
    <w:p>
      <w:pPr>
        <w:ind w:right="20" w:firstLine="8"/>
        <w:spacing w:after="0" w:line="244" w:lineRule="auto"/>
        <w:tabs>
          <w:tab w:leader="none" w:pos="244" w:val="left"/>
        </w:tabs>
        <w:numPr>
          <w:ilvl w:val="0"/>
          <w:numId w:val="16"/>
        </w:numPr>
        <w:rPr>
          <w:rFonts w:ascii="Arial" w:cs="Arial" w:eastAsia="Arial" w:hAnsi="Arial"/>
          <w:sz w:val="20"/>
          <w:szCs w:val="20"/>
          <w:color w:val="auto"/>
        </w:rPr>
      </w:pPr>
      <w:r>
        <w:rPr>
          <w:rFonts w:ascii="Arial" w:cs="Arial" w:eastAsia="Arial" w:hAnsi="Arial"/>
          <w:sz w:val="20"/>
          <w:szCs w:val="20"/>
          <w:color w:val="auto"/>
        </w:rPr>
        <w:t>become the subject of a proceeding under any Debtor Relief Law, (ii) become the subject of a Bail-In Action or (iii) had appointed for it a receiver,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9" w:name="page50"/>
    <w:bookmarkEnd w:id="49"/>
    <w:p>
      <w:pPr>
        <w:jc w:val="both"/>
        <w:spacing w:after="0" w:line="271" w:lineRule="auto"/>
        <w:rPr>
          <w:sz w:val="20"/>
          <w:szCs w:val="20"/>
          <w:color w:val="auto"/>
        </w:rPr>
      </w:pPr>
      <w:r>
        <w:rPr>
          <w:rFonts w:ascii="Arial" w:cs="Arial" w:eastAsia="Arial" w:hAnsi="Arial"/>
          <w:sz w:val="18"/>
          <w:szCs w:val="18"/>
          <w:color w:val="auto"/>
        </w:rPr>
        <w:t xml:space="preserve">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8"/>
          <w:szCs w:val="18"/>
          <w:u w:val="single" w:color="auto"/>
          <w:color w:val="auto"/>
        </w:rPr>
        <w:t>Section 2.24(b)</w:t>
      </w:r>
      <w:r>
        <w:rPr>
          <w:rFonts w:ascii="Arial" w:cs="Arial" w:eastAsia="Arial" w:hAnsi="Arial"/>
          <w:sz w:val="18"/>
          <w:szCs w:val="18"/>
          <w:color w:val="auto"/>
        </w:rPr>
        <w:t>) upon delivery of written notice of such determination to the Borrower, the Issuing Lender, the Swingline Lender and each Lender.</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Deposit Account</w:t>
      </w:r>
      <w:r>
        <w:rPr>
          <w:rFonts w:ascii="Arial" w:cs="Arial" w:eastAsia="Arial" w:hAnsi="Arial"/>
          <w:sz w:val="20"/>
          <w:szCs w:val="20"/>
          <w:color w:val="auto"/>
        </w:rPr>
        <w:t>”: any “deposit account” as defined in the UCC with such additions to such term as may hereafter be made.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Deposit Account Control Agreement</w:t>
      </w:r>
      <w:r>
        <w:rPr>
          <w:rFonts w:ascii="Arial" w:cs="Arial" w:eastAsia="Arial" w:hAnsi="Arial"/>
          <w:sz w:val="20"/>
          <w:szCs w:val="20"/>
          <w:color w:val="auto"/>
        </w:rPr>
        <w:t>”: any Control Agreement entered into by the Administrative Agent, a Loan Party and a financial institution holding a Deposit Account of such Loan Party pursuant to which the Administrative Agent is granted “control” (for purposes of the UCC) over such Deposit Account.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Designated Jurisdiction</w:t>
      </w:r>
      <w:r>
        <w:rPr>
          <w:rFonts w:ascii="Arial" w:cs="Arial" w:eastAsia="Arial" w:hAnsi="Arial"/>
          <w:sz w:val="20"/>
          <w:szCs w:val="20"/>
          <w:color w:val="auto"/>
        </w:rPr>
        <w:t>”: any country or territory to the extent that such country or territory itself is the subject of any Sanction.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 as defined in the definition of “Pro Forma Basis”.</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Discharge of Obligations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10.8</w:t>
      </w:r>
      <w:r>
        <w:rPr>
          <w:rFonts w:ascii="Arial" w:cs="Arial" w:eastAsia="Arial" w:hAnsi="Arial"/>
          <w:sz w:val="18"/>
          <w:szCs w:val="18"/>
          <w:color w:val="auto"/>
        </w:rPr>
        <w:t>, the satisfaction of the Obligations (including all such Obligations relating to Cash Management Services) by the payment in full, in cash (or, as applicable, Cash Collateralization in accordance with the terms hereof) of the principal of and interest on or other liabilities relating to each Loan and any previously provided Cash Management Services, all fees and all other expenses or amounts payable under any Loan Document (other than inchoate indemnification obligations and any other obligations which pursuant to the terms of any Loan Document specifically survive repayment of the Loans for which no claim has been made), and other Obligations under or in respect of Specified Swap Agreements and Cash Management Services, to the extent (a) no default or termination event shall have occurred and be continuing thereunder, (b) any such Obligations in respect of Specified Swap Agreements have, if required by any applicable Qualified Counterparties, been Cash Collateralized, (c) no Letter of Credit shall be outstanding (or, as applicable, each outstanding and undrawn Letter of Credit has been Cash Collateralized in accordance with the terms hereof), (d) no Obligations in respect of any Cash Management Services are outstanding (or, as applicable, all such outstanding Obligations in respect of Cash Management Services have been Cash Collateralized in accordance with the terms hereof), and (e) the aggregate Commitments of the Lenders are terminated.</w:t>
      </w:r>
    </w:p>
    <w:p>
      <w:pPr>
        <w:spacing w:after="0" w:line="17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Disclosure Letter</w:t>
      </w:r>
      <w:r>
        <w:rPr>
          <w:rFonts w:ascii="Arial" w:cs="Arial" w:eastAsia="Arial" w:hAnsi="Arial"/>
          <w:sz w:val="20"/>
          <w:szCs w:val="20"/>
          <w:color w:val="auto"/>
        </w:rPr>
        <w:t>”: the disclosure letter, dated as of the date hereof, delivered by each Loan Party to Administrative Agent for the benefit of the Lenders.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Disposition</w:t>
      </w:r>
      <w:r>
        <w:rPr>
          <w:rFonts w:ascii="Arial" w:cs="Arial" w:eastAsia="Arial" w:hAnsi="Arial"/>
          <w:sz w:val="19"/>
          <w:szCs w:val="19"/>
          <w:color w:val="auto"/>
        </w:rPr>
        <w:t>”: with respect to any property (including, without limitation, Capital Stock of any Subsidiary), any sale, lease, Sale Leaseback Transaction, assignment, conveyance, transfer or other disposition thereof (in one transaction or in a series of transactions and whether effected pursuant to a Division or otherwise) and any issuance of Capital Stock of any Subsidiary. The terms “</w:t>
      </w:r>
      <w:r>
        <w:rPr>
          <w:rFonts w:ascii="Arial" w:cs="Arial" w:eastAsia="Arial" w:hAnsi="Arial"/>
          <w:sz w:val="19"/>
          <w:szCs w:val="19"/>
          <w:b w:val="1"/>
          <w:bCs w:val="1"/>
          <w:i w:val="1"/>
          <w:iCs w:val="1"/>
          <w:color w:val="auto"/>
        </w:rPr>
        <w:t>Dispose</w:t>
      </w:r>
      <w:r>
        <w:rPr>
          <w:rFonts w:ascii="Arial" w:cs="Arial" w:eastAsia="Arial" w:hAnsi="Arial"/>
          <w:sz w:val="19"/>
          <w:szCs w:val="19"/>
          <w:color w:val="auto"/>
        </w:rPr>
        <w:t>” and “</w:t>
      </w:r>
      <w:r>
        <w:rPr>
          <w:rFonts w:ascii="Arial" w:cs="Arial" w:eastAsia="Arial" w:hAnsi="Arial"/>
          <w:sz w:val="19"/>
          <w:szCs w:val="19"/>
          <w:b w:val="1"/>
          <w:bCs w:val="1"/>
          <w:i w:val="1"/>
          <w:iCs w:val="1"/>
          <w:color w:val="auto"/>
        </w:rPr>
        <w:t>Disposed of</w:t>
      </w:r>
      <w:r>
        <w:rPr>
          <w:rFonts w:ascii="Arial" w:cs="Arial" w:eastAsia="Arial" w:hAnsi="Arial"/>
          <w:sz w:val="19"/>
          <w:szCs w:val="19"/>
          <w:color w:val="auto"/>
        </w:rPr>
        <w:t>” shall have correlative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50" w:name="page51"/>
    <w:bookmarkEnd w:id="50"/>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Disqualified Stock</w:t>
      </w:r>
      <w:r>
        <w:rPr>
          <w:rFonts w:ascii="Arial" w:cs="Arial" w:eastAsia="Arial" w:hAnsi="Arial"/>
          <w:sz w:val="18"/>
          <w:szCs w:val="18"/>
          <w:color w:val="auto"/>
        </w:rPr>
        <w:t>”: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ninety-one (91) days after the date on which the Loans mature, in each case, except as a result of a Change of Control. The amount of Disqualified Stock deemed to be outstanding at any time for purposes of this Agreement will be the maximum amount that the Group Members may become obligated to pay upon maturity of, or pursuant to any mandatory redemption provisions of, such Disqualified Stock or portion thereof, plus accrued dividends. Notwithstanding the preceding sentence, any Capital Stock that would constitute Disqualified Stock solely because the holders of the Capital Stock have the right to be paid upon liquidation, dissolution, winding up or pursuant to such other applicable statutory or regulatory obligations of the issuer of such Capital Stock will not constitute Disqualified Stock if the terms of such Capital Stock provide that such payments may not be made with respect to such Capital Stock unless such payments are made after the Discharge of Obligations.</w:t>
      </w:r>
    </w:p>
    <w:p>
      <w:pPr>
        <w:spacing w:after="0" w:line="1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Division</w:t>
      </w:r>
      <w:r>
        <w:rPr>
          <w:rFonts w:ascii="Arial" w:cs="Arial" w:eastAsia="Arial" w:hAnsi="Arial"/>
          <w:sz w:val="20"/>
          <w:szCs w:val="20"/>
          <w:color w:val="auto"/>
        </w:rPr>
        <w:t>”: in reference to any Person which is an entity, the division of such Person into two (2) or more separate Persons, with the dividing Person either continuing or terminating its existence as part of such division, including as contemplated under Section 18-217 of the Delaware Limited Liability Company Act, or any analogous action taken pursuant to any other applicable Requirements of Law.</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Dollars</w:t>
      </w:r>
      <w:r>
        <w:rPr>
          <w:rFonts w:ascii="Arial" w:cs="Arial" w:eastAsia="Arial" w:hAnsi="Arial"/>
          <w:sz w:val="20"/>
          <w:szCs w:val="20"/>
          <w:color w:val="auto"/>
        </w:rPr>
        <w:t>” and “</w:t>
      </w:r>
      <w:r>
        <w:rPr>
          <w:rFonts w:ascii="Arial" w:cs="Arial" w:eastAsia="Arial" w:hAnsi="Arial"/>
          <w:sz w:val="20"/>
          <w:szCs w:val="20"/>
          <w:b w:val="1"/>
          <w:bCs w:val="1"/>
          <w:i w:val="1"/>
          <w:iCs w:val="1"/>
          <w:color w:val="auto"/>
        </w:rPr>
        <w:t>$</w:t>
      </w:r>
      <w:r>
        <w:rPr>
          <w:rFonts w:ascii="Arial" w:cs="Arial" w:eastAsia="Arial" w:hAnsi="Arial"/>
          <w:sz w:val="20"/>
          <w:szCs w:val="20"/>
          <w:color w:val="auto"/>
        </w:rPr>
        <w:t>”: dollars in lawful currency of the United States.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Domestic Subsidiary</w:t>
      </w:r>
      <w:r>
        <w:rPr>
          <w:rFonts w:ascii="Arial" w:cs="Arial" w:eastAsia="Arial" w:hAnsi="Arial"/>
          <w:sz w:val="20"/>
          <w:szCs w:val="20"/>
          <w:color w:val="auto"/>
        </w:rPr>
        <w:t>”: any Subsidiary of the Borrower organized under the laws of any jurisdiction within the United States.</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EEA Financial Institution</w:t>
      </w:r>
      <w:r>
        <w:rPr>
          <w:rFonts w:ascii="Arial" w:cs="Arial" w:eastAsia="Arial" w:hAnsi="Arial"/>
          <w:sz w:val="20"/>
          <w:szCs w:val="20"/>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EEA Member Country</w:t>
      </w:r>
      <w:r>
        <w:rPr>
          <w:rFonts w:ascii="Arial" w:cs="Arial" w:eastAsia="Arial" w:hAnsi="Arial"/>
          <w:sz w:val="18"/>
          <w:szCs w:val="18"/>
          <w:color w:val="auto"/>
        </w:rPr>
        <w:t>”: any of the member states of the European Union, Iceland, Liechtenstein, and Norway.</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EEA Resolution Authority</w:t>
      </w:r>
      <w:r>
        <w:rPr>
          <w:rFonts w:ascii="Arial" w:cs="Arial" w:eastAsia="Arial" w:hAnsi="Arial"/>
          <w:sz w:val="20"/>
          <w:szCs w:val="20"/>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Assignee</w:t>
      </w:r>
      <w:r>
        <w:rPr>
          <w:rFonts w:ascii="Arial" w:cs="Arial" w:eastAsia="Arial" w:hAnsi="Arial"/>
          <w:sz w:val="18"/>
          <w:szCs w:val="18"/>
          <w:color w:val="auto"/>
        </w:rPr>
        <w:t xml:space="preserve">”:  any Person that meets the requirements to be an assignee under </w:t>
      </w:r>
      <w:r>
        <w:rPr>
          <w:rFonts w:ascii="Arial" w:cs="Arial" w:eastAsia="Arial" w:hAnsi="Arial"/>
          <w:sz w:val="18"/>
          <w:szCs w:val="18"/>
          <w:u w:val="single" w:color="auto"/>
          <w:color w:val="auto"/>
        </w:rPr>
        <w:t>Section 10.6(b)(iii)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w:t>
      </w:r>
    </w:p>
    <w:p>
      <w:pPr>
        <w:spacing w:after="0" w:line="3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0"/>
          <w:szCs w:val="20"/>
          <w:u w:val="single" w:color="auto"/>
          <w:color w:val="auto"/>
        </w:rPr>
      </w:pPr>
      <w:r>
        <w:rPr>
          <w:rFonts w:ascii="Arial" w:cs="Arial" w:eastAsia="Arial" w:hAnsi="Arial"/>
          <w:sz w:val="20"/>
          <w:szCs w:val="20"/>
          <w:color w:val="auto"/>
        </w:rPr>
        <w:t xml:space="preserve">(subject to such consents, if any, as may be required under </w:t>
      </w:r>
      <w:r>
        <w:rPr>
          <w:rFonts w:ascii="Arial" w:cs="Arial" w:eastAsia="Arial" w:hAnsi="Arial"/>
          <w:sz w:val="20"/>
          <w:szCs w:val="20"/>
          <w:u w:val="single" w:color="auto"/>
          <w:color w:val="auto"/>
        </w:rPr>
        <w:t>Section 10.6(b)(iii)</w:t>
      </w:r>
      <w:r>
        <w:rPr>
          <w:rFonts w:ascii="Arial" w:cs="Arial" w:eastAsia="Arial" w:hAnsi="Arial"/>
          <w:sz w:val="20"/>
          <w:szCs w:val="20"/>
          <w:color w:val="auto"/>
        </w:rPr>
        <w:t>).</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Environmental Laws</w:t>
      </w:r>
      <w:r>
        <w:rPr>
          <w:rFonts w:ascii="Arial" w:cs="Arial" w:eastAsia="Arial" w:hAnsi="Arial"/>
          <w:sz w:val="20"/>
          <w:szCs w:val="20"/>
          <w:color w:val="auto"/>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Environmental Liability</w:t>
      </w:r>
      <w:r>
        <w:rPr>
          <w:rFonts w:ascii="Arial" w:cs="Arial" w:eastAsia="Arial" w:hAnsi="Arial"/>
          <w:sz w:val="20"/>
          <w:szCs w:val="20"/>
          <w:color w:val="auto"/>
        </w:rPr>
        <w:t>”: any liability, contingent or otherwise (including any liability for damages, costs of environmental remediation, fines, penalties or indemnities), of any Group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51" w:name="page52"/>
    <w:bookmarkEnd w:id="51"/>
    <w:p>
      <w:pPr>
        <w:jc w:val="both"/>
        <w:spacing w:after="0" w:line="244" w:lineRule="auto"/>
        <w:rPr>
          <w:sz w:val="20"/>
          <w:szCs w:val="20"/>
          <w:color w:val="auto"/>
        </w:rPr>
      </w:pPr>
      <w:r>
        <w:rPr>
          <w:rFonts w:ascii="Arial" w:cs="Arial" w:eastAsia="Arial" w:hAnsi="Arial"/>
          <w:sz w:val="20"/>
          <w:szCs w:val="20"/>
          <w:color w:val="auto"/>
        </w:rPr>
        <w:t>directly or indirectly resulting from or based upon (a) a violation of an Environmental Law, (b) the generation, use, handling, transportation, storage, treatment or disposal of any Materials of Environmental Concern, (c) exposure to any Materials of Environmental Concern, (d) the release or threatened release of any Materials of Environmental Concern into the environment, or (e) any contract, agreement or other consensual arrangement pursuant to which liability is assumed or imposed with respect to any of the foregoing.</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w:t>
      </w:r>
      <w:r>
        <w:rPr>
          <w:rFonts w:ascii="Arial" w:cs="Arial" w:eastAsia="Arial" w:hAnsi="Arial"/>
          <w:sz w:val="20"/>
          <w:szCs w:val="20"/>
          <w:color w:val="auto"/>
        </w:rPr>
        <w:t>”: the Employee Retirement Income Security Act of 1974, as amended, including (unless the context otherwise requires) any rules or regulations promulgated thereunder.</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 Affiliate</w:t>
      </w:r>
      <w:r>
        <w:rPr>
          <w:rFonts w:ascii="Arial" w:cs="Arial" w:eastAsia="Arial" w:hAnsi="Arial"/>
          <w:sz w:val="20"/>
          <w:szCs w:val="20"/>
          <w:color w:val="auto"/>
        </w:rPr>
        <w:t>”: each business or entity which is, or within the last six years was, a member of a “controlled group of corporations,” under “common control” or an “affiliated service group” with any Loan Party within the meaning of Section 414(b), (c), (m) or (n) of the Code, required to be aggregated with any Loan Party under Section 414(o) of the Code, or is, or within the last six years was, under “common control” with any Loan Party, within the meaning of Section 4001(a) (14) of ERISA.</w:t>
      </w:r>
    </w:p>
    <w:p>
      <w:pPr>
        <w:spacing w:after="0" w:line="19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Event</w:t>
      </w:r>
      <w:r>
        <w:rPr>
          <w:rFonts w:ascii="Arial" w:cs="Arial" w:eastAsia="Arial" w:hAnsi="Arial"/>
          <w:sz w:val="18"/>
          <w:szCs w:val="18"/>
          <w:color w:val="auto"/>
        </w:rPr>
        <w:t>”: any of (a) a reportable event as defined in Section 4043 of ERISA with respect to a Pension Plan, excluding, however, such events as to which the PBGC by regulation has waived the requirement of Section 4043(a) of ERISA that it be notified within 30 days of the occurrence of such event; (b) the applicability of the requirements of Section 4043(b) of ERISA with respect to a contributing sponsor, as defined in Section 4001(a)(13) of ERISA, to any Pension Plan where an event described in paragraph (9), (10), (11), (12) or (13) of Section 4043(c) of ERISA is reasonably expected to occur with respect to such plan within the following 30 days; (c) a withdrawal by any Loan Party or any ERISA Affiliate thereof from a Pension Plan or the termination of any Pension Plan resulting in liability under Sections 4063 or 4064 of ERISA; (d) the withdrawal of any Loan Party or any ERISA Affiliate thereof in a complete or partial withdrawal (within the meaning of Section 4203 and 4205 of ERISA) from any Multiemployer Plan if there is any potential liability therefor, or the receipt by any Loan Party or any ERISA Affiliate thereof of notice from any Multiemployer Plan that it is in reorganization or insolvency pursuant to Section 4241 or 4245 of ERISA; (e) the filing of a notice of intent to terminate, the treatment of a plan amendment as a termination under Section 4041 or 4041A of ERISA, or the commencement of proceedings by the PBGC to terminate a Pension Plan or Multiemployer Plan; (f) the imposition of liability on any Loan Party or any ERISA Affiliate thereof pursuant to Sections 4062(e) or 4069 of ERISA or by reason of the application of Section 4212(c) of ERISA; (g) the failure by any Loan Party or any ERISA Affiliate thereof to make any required contribution to a Pension Plan, or the failure to meet the minimum funding standard of Section 412 of the Code with respect to any Pension Plan (whether or not waived in accordance with Section 412(c) of the Code) or the failure to make by its due date a required installment under Section 430 of the Code with respect to any Pension Plan or the failure to make any required contribution to a Multiemployer Plan; (h) the determination that any Pension Plan is considered an at-risk plan or a plan in endangered to critical status within the meaning of Sections 430, 431 and 432 of the Code or Sections 303, 304 and 305 of ERISA; (i) an event or condition which might reasonably be expected to constitute grounds under Section 4042 of ERISA for the termination of, or the appointment of a trustee to administer, any Pension Plan or Multiemployer Plan; (j) the imposition of any liability under Title I or Title IV of ERISA, other than PBGC premiums due but not delinquent under Section 4007 of ERISA, upon any Loan Party or any ERISA Affiliate thereof; (k) an application for a funding waiver under Section 303 of ERISA or an extension of any amortization period pursuant to Section 412 of the Code with respect to any Pension Plan; (l) the occurrence of a non-exempt prohibited transaction under Sections 406 or 407 of ERISA for which any Group Member may be directly or indirectly liable; (m) a violation of the applicable requirements of Section 404 or 405 of ERISA or the exclusive benefit rule under Section 401(a) of the Code by any fiduciary or disqualified person for which any Loan Party or any ERISA Affiliate thereof may be directly or indirectly liable; (n) the occurrence of an act or omission which could give rise to the imposition on any Loan Party or any ERISA Affiliate thereof of fines, penalties, taxes or related charges under Chapter 43 of the Code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52" w:name="page53"/>
    <w:bookmarkEnd w:id="52"/>
    <w:p>
      <w:pPr>
        <w:jc w:val="both"/>
        <w:spacing w:after="0" w:line="272" w:lineRule="auto"/>
        <w:rPr>
          <w:sz w:val="20"/>
          <w:szCs w:val="20"/>
          <w:color w:val="auto"/>
        </w:rPr>
      </w:pPr>
      <w:r>
        <w:rPr>
          <w:rFonts w:ascii="Arial" w:cs="Arial" w:eastAsia="Arial" w:hAnsi="Arial"/>
          <w:sz w:val="18"/>
          <w:szCs w:val="18"/>
          <w:color w:val="auto"/>
        </w:rPr>
        <w:t>under Sections 409, 502(c), (i) or (1) or 4071 of ERISA; (o) the assertion of a material claim (other than routine claims for benefits) against any Plan or the assets thereof, or against any Group Member in connection with any such Plan; (p) receipt from the IRS of notice of the failure of any Qualified Plan to qualify under Section 401(a) of the Code, or the failure of any trust forming part of any Qualified Plan to qualify for exemption from taxation under Section 501(a) of the Code; (q) the imposition of any lien (or the fulfillment of the conditions for the imposition of any lien) on any of the rights, properties or assets of any Loan Party or any ERISA Affiliate thereof, in either case pursuant to Title I or IV of ERISA, including Section 302(f) or 303(k) of ERISA or to Section 401(a)(29) or 430(k) of the Code; or (r) the establishment or amendment by any Group Member of any “welfare plan” as such term is defined in Section 3(1) of ERISA, that provides post-employment welfare benefits in a manner that could be reasonably likely to result in material liability of any Loan Party.</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 Funding Rules</w:t>
      </w:r>
      <w:r>
        <w:rPr>
          <w:rFonts w:ascii="Arial" w:cs="Arial" w:eastAsia="Arial" w:hAnsi="Arial"/>
          <w:sz w:val="20"/>
          <w:szCs w:val="20"/>
          <w:color w:val="auto"/>
        </w:rPr>
        <w:t>”: the rules regarding minimum required contributions (including any installment payment thereof) to Pension Plans, as set forth in Section 412 of the Code and Section 302 of ERISA, with respect to Plan years ending prior to the effective date of the Pension Protection Act of 2006, and thereafter, as set forth in Sections 412, 430, 431, 432 and 436 of the Code and Sections 302, 303, 304 and 305 of ERISA.</w:t>
      </w:r>
    </w:p>
    <w:p>
      <w:pPr>
        <w:spacing w:after="0" w:line="19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 Bail-In Legislation Schedule</w:t>
      </w:r>
      <w:r>
        <w:rPr>
          <w:rFonts w:ascii="Arial" w:cs="Arial" w:eastAsia="Arial" w:hAnsi="Arial"/>
          <w:sz w:val="20"/>
          <w:szCs w:val="20"/>
          <w:color w:val="auto"/>
        </w:rPr>
        <w:t>”: the EU Bail-In Legislation Schedule published by the Loan Market Association (or any successor Person), as in effect from time to time.</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Eurocurrency Reserve Requirements</w:t>
      </w:r>
      <w:r>
        <w:rPr>
          <w:rFonts w:ascii="Arial" w:cs="Arial" w:eastAsia="Arial" w:hAnsi="Arial"/>
          <w:sz w:val="20"/>
          <w:szCs w:val="20"/>
          <w:color w:val="auto"/>
        </w:rPr>
        <w:t>”: for any day as applied to a Eurodollar Loan, the aggregate (without duplication) of the maximum rates (expressed as a decimal fraction) of reserve requirements in effect on such day (including basic, supplemental, marginal and emergency reserves) under any regulations of the Board or other Governmental Authority having jurisdiction with respect thereto dealing with reserve requirements prescribed for eurocurrency funding (currently referred to as “Eurocurrency Liabilities” in Regulation D of the Board) maintained by a member bank of the Federal Reserve System.</w:t>
      </w:r>
    </w:p>
    <w:p>
      <w:pPr>
        <w:spacing w:after="0" w:line="19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Eurodollar Base Rate</w:t>
      </w:r>
      <w:r>
        <w:rPr>
          <w:rFonts w:ascii="Arial" w:cs="Arial" w:eastAsia="Arial" w:hAnsi="Arial"/>
          <w:sz w:val="18"/>
          <w:szCs w:val="18"/>
          <w:color w:val="auto"/>
        </w:rPr>
        <w:t>”: with respect to each day during each Interest Period pertaining to a Eurodollar Loan, the rate per annum determined by the Administrative Agent by reference to the ICE Benchmark Administration London Interbank Offered Rate (“</w:t>
      </w:r>
      <w:r>
        <w:rPr>
          <w:rFonts w:ascii="Arial" w:cs="Arial" w:eastAsia="Arial" w:hAnsi="Arial"/>
          <w:sz w:val="18"/>
          <w:szCs w:val="18"/>
          <w:b w:val="1"/>
          <w:bCs w:val="1"/>
          <w:i w:val="1"/>
          <w:iCs w:val="1"/>
          <w:color w:val="auto"/>
        </w:rPr>
        <w:t>LIBOR</w:t>
      </w:r>
      <w:r>
        <w:rPr>
          <w:rFonts w:ascii="Arial" w:cs="Arial" w:eastAsia="Arial" w:hAnsi="Arial"/>
          <w:sz w:val="18"/>
          <w:szCs w:val="18"/>
          <w:color w:val="auto"/>
        </w:rPr>
        <w:t>”) (or any successor thereto if the ICE Benchmark Administration is no longer making LIBOR available) for deposits (for delivery on the first day of such Interest Period) with a term equivalent to such Interest Period in Dollars, determined as of approximately 11:00 A.M. (London, England time) two (2) Business Days prior to the beginning of such Interest Period (as set forth by Bloomberg Information Service or any successor thereto or any other commercially available service selected by the Administrative Agent which provides quotations of LIBOR). In the event that the Administrative Agent determines that LIBOR is not available, the “Eurodollar Base Rate” shall be determined by reference to the rate per annum equal to the offered quotation rate to first class banks in the London interbank market by SVB for deposits (for delivery on the first day of the relevant Interest Period) in Dollars of amounts in same day funds comparable to the principal amount of the applicable Loan of the Administrative Agent, in its capacity as a Lender, for which the Eurodollar Base Rate is then being determined with maturities comparable to such period as of approximately 11:00 A.M. (London, England time) two (2) Business Days prior to the beginning of such Interest Period.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Eurodollar Loans</w:t>
      </w:r>
      <w:r>
        <w:rPr>
          <w:rFonts w:ascii="Arial" w:cs="Arial" w:eastAsia="Arial" w:hAnsi="Arial"/>
          <w:sz w:val="20"/>
          <w:szCs w:val="20"/>
          <w:color w:val="auto"/>
        </w:rPr>
        <w:t>”: Loans the rate of interest applicable to which is based upon the Eurodollar Rate.</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Eurodollar Rate</w:t>
      </w:r>
      <w:r>
        <w:rPr>
          <w:rFonts w:ascii="Arial" w:cs="Arial" w:eastAsia="Arial" w:hAnsi="Arial"/>
          <w:sz w:val="20"/>
          <w:szCs w:val="20"/>
          <w:color w:val="auto"/>
        </w:rPr>
        <w:t>”: with respect to each day during each Interest Period pertaining to a Eurodollar Loan, a rate per annum determined for such day in accordance with the following formula: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10160</wp:posOffset>
            </wp:positionV>
            <wp:extent cx="50317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1.00 - Eurocurrency Reserve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53" w:name="page54"/>
    <w:bookmarkEnd w:id="53"/>
    <w:p>
      <w:pPr>
        <w:jc w:val="both"/>
        <w:ind w:right="20" w:firstLine="648"/>
        <w:spacing w:after="0" w:line="260" w:lineRule="auto"/>
        <w:rPr>
          <w:sz w:val="20"/>
          <w:szCs w:val="20"/>
          <w:color w:val="auto"/>
        </w:rPr>
      </w:pPr>
      <w:r>
        <w:rPr>
          <w:rFonts w:ascii="Arial" w:cs="Arial" w:eastAsia="Arial" w:hAnsi="Arial"/>
          <w:sz w:val="20"/>
          <w:szCs w:val="20"/>
          <w:color w:val="auto"/>
        </w:rPr>
        <w:t>The Eurodollar Rate shall be adjusted automatically as of the effective date of any change in the Eurocurrency Reserve Requirements; provided that the Eurodollar Rate shall not be less than 1.0%.</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Eurodollar Tranche</w:t>
      </w:r>
      <w:r>
        <w:rPr>
          <w:rFonts w:ascii="Arial" w:cs="Arial" w:eastAsia="Arial" w:hAnsi="Arial"/>
          <w:sz w:val="20"/>
          <w:szCs w:val="20"/>
          <w:color w:val="auto"/>
        </w:rPr>
        <w:t>”: the collective reference to Eurodollar Loans under a particular Facility (other than the L/C Facility), the then current Interest Periods with respect to all of which begin on the same date and end on the same later date (whether or not such Loans shall originally have been made on the same day).</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Event of Default</w:t>
      </w:r>
      <w:r>
        <w:rPr>
          <w:rFonts w:ascii="Arial" w:cs="Arial" w:eastAsia="Arial" w:hAnsi="Arial"/>
          <w:sz w:val="20"/>
          <w:szCs w:val="20"/>
          <w:color w:val="auto"/>
        </w:rPr>
        <w:t xml:space="preserve">”: any of the events specified in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requirement for the giving of notice, the lapse of time, or both, has been satisfied.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the Securities Exchange Act of 1934, as amended from time to time and any successor statute.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Excluded Assets</w:t>
      </w:r>
      <w:r>
        <w:rPr>
          <w:rFonts w:ascii="Arial" w:cs="Arial" w:eastAsia="Arial" w:hAnsi="Arial"/>
          <w:sz w:val="20"/>
          <w:szCs w:val="20"/>
          <w:color w:val="auto"/>
        </w:rPr>
        <w:t>”: as defined in the Guarantee and Collateral Agreement.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Excluded Subsidiary</w:t>
      </w:r>
      <w:r>
        <w:rPr>
          <w:rFonts w:ascii="Arial" w:cs="Arial" w:eastAsia="Arial" w:hAnsi="Arial"/>
          <w:sz w:val="19"/>
          <w:szCs w:val="19"/>
          <w:color w:val="auto"/>
        </w:rPr>
        <w:t>”: any Subsidiary that is (a) not a Domestic Subsidiary of the Borrower or another Loan Party, (b) a Foreign Subsidiary Holding Company, (c) an Immaterial Subsidiary, (d) formed or acquired after the Closing Date that is prohibited by Law or other regulation from providing a guarantee or that would require the consent, approval, license or authorization of a Governmental Authority in order to provide a guarantee, or (e) prohibited by existing Contractual Obligations (so long as such prohibition is not incurred in contemplation of such acquisition or the obligations hereunder) or Requirements of Law from providing a guarantee at the time such Subsidiary becomes a Subsidiary (and not entered into specifically in contemplation thereof) or would require consent, approval, license or authorization unless such consent, approval, license or authorization has been received.</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Excluded Swap Obligations</w:t>
      </w:r>
      <w:r>
        <w:rPr>
          <w:rFonts w:ascii="Arial" w:cs="Arial" w:eastAsia="Arial" w:hAnsi="Arial"/>
          <w:sz w:val="19"/>
          <w:szCs w:val="19"/>
          <w:color w:val="auto"/>
        </w:rPr>
        <w:t>”: with respect to any Guarantor, any Swap Obligation if, and to the extent that, all or a portion of the Guarantee Obligation of such Guarantor with respect to, or the grant by such Guarantor of a Lien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such Guarantee Obligation of such Guarantor, or the grant by such Guarantor of such Lien, becomes effective with respect to such Swap Obligation. If such a Swap Obligation arises under a master agreement governing more than one swap, such exclusion shall apply only to the portion of such Swap Obligation that is attributable to swaps for which such Guarantee Obligation or Lien is or becomes excluded in accordance with the first sentence of this definition.</w:t>
      </w:r>
    </w:p>
    <w:p>
      <w:pPr>
        <w:spacing w:after="0" w:line="19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Taxes</w:t>
      </w:r>
      <w:r>
        <w:rPr>
          <w:rFonts w:ascii="Arial" w:cs="Arial" w:eastAsia="Arial" w:hAnsi="Arial"/>
          <w:sz w:val="18"/>
          <w:szCs w:val="18"/>
          <w:color w:val="auto"/>
        </w:rPr>
        <w:t xml:space="preserve">”: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8"/>
          <w:szCs w:val="18"/>
          <w:u w:val="single" w:color="auto"/>
          <w:color w:val="auto"/>
        </w:rPr>
        <w:t>Section 2.23</w:t>
      </w:r>
      <w:r>
        <w:rPr>
          <w:rFonts w:ascii="Arial" w:cs="Arial" w:eastAsia="Arial" w:hAnsi="Arial"/>
          <w:sz w:val="18"/>
          <w:szCs w:val="18"/>
          <w:color w:val="auto"/>
        </w:rPr>
        <w:t>) or</w:t>
      </w:r>
    </w:p>
    <w:p>
      <w:pPr>
        <w:spacing w:after="0" w:line="3" w:lineRule="exact"/>
        <w:rPr>
          <w:sz w:val="20"/>
          <w:szCs w:val="20"/>
          <w:color w:val="auto"/>
        </w:rPr>
      </w:pPr>
    </w:p>
    <w:p>
      <w:pPr>
        <w:ind w:right="20" w:firstLine="8"/>
        <w:spacing w:after="0" w:line="244" w:lineRule="auto"/>
        <w:tabs>
          <w:tab w:leader="none" w:pos="310"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such Lender changes its lending office, except in each case to the extent that, pursuant to </w:t>
      </w:r>
      <w:r>
        <w:rPr>
          <w:rFonts w:ascii="Arial" w:cs="Arial" w:eastAsia="Arial" w:hAnsi="Arial"/>
          <w:sz w:val="20"/>
          <w:szCs w:val="20"/>
          <w:u w:val="single" w:color="auto"/>
          <w:color w:val="auto"/>
        </w:rPr>
        <w:t>Section 2.20</w:t>
      </w:r>
      <w:r>
        <w:rPr>
          <w:rFonts w:ascii="Arial" w:cs="Arial" w:eastAsia="Arial" w:hAnsi="Arial"/>
          <w:sz w:val="20"/>
          <w:szCs w:val="20"/>
          <w:color w:val="auto"/>
        </w:rPr>
        <w:t>, amounts with respect to such Taxes were payable either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5" w:right="999" w:bottom="1440" w:gutter="0" w:footer="0" w:header="0"/>
        </w:sectPr>
      </w:pPr>
    </w:p>
    <w:bookmarkStart w:id="54" w:name="page55"/>
    <w:bookmarkEnd w:id="54"/>
    <w:p>
      <w:pPr>
        <w:jc w:val="both"/>
        <w:spacing w:after="0" w:line="250" w:lineRule="auto"/>
        <w:rPr>
          <w:sz w:val="20"/>
          <w:szCs w:val="20"/>
          <w:color w:val="auto"/>
        </w:rPr>
      </w:pPr>
      <w:r>
        <w:rPr>
          <w:rFonts w:ascii="Arial" w:cs="Arial" w:eastAsia="Arial" w:hAnsi="Arial"/>
          <w:sz w:val="20"/>
          <w:szCs w:val="20"/>
          <w:color w:val="auto"/>
        </w:rPr>
        <w:t xml:space="preserve">Lender's assignor immediately before such Lender became a party hereto or to such Lender immediately before it changed its lending office, (c) Taxes attributable to such Recipient’s failure to comply with </w:t>
      </w:r>
      <w:r>
        <w:rPr>
          <w:rFonts w:ascii="Arial" w:cs="Arial" w:eastAsia="Arial" w:hAnsi="Arial"/>
          <w:sz w:val="20"/>
          <w:szCs w:val="20"/>
          <w:u w:val="single" w:color="auto"/>
          <w:color w:val="auto"/>
        </w:rPr>
        <w:t>Section 2.20(f)</w:t>
      </w:r>
      <w:r>
        <w:rPr>
          <w:rFonts w:ascii="Arial" w:cs="Arial" w:eastAsia="Arial" w:hAnsi="Arial"/>
          <w:sz w:val="20"/>
          <w:szCs w:val="20"/>
          <w:color w:val="auto"/>
        </w:rPr>
        <w:t xml:space="preserve"> and (d) any withholding Taxes imposed under FATCA.</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Existing Letters of Credit</w:t>
      </w:r>
      <w:r>
        <w:rPr>
          <w:rFonts w:ascii="Arial" w:cs="Arial" w:eastAsia="Arial" w:hAnsi="Arial"/>
          <w:sz w:val="20"/>
          <w:szCs w:val="20"/>
          <w:color w:val="auto"/>
        </w:rPr>
        <w:t xml:space="preserve">”: the letters of credit described on </w:t>
      </w:r>
      <w:r>
        <w:rPr>
          <w:rFonts w:ascii="Arial" w:cs="Arial" w:eastAsia="Arial" w:hAnsi="Arial"/>
          <w:sz w:val="20"/>
          <w:szCs w:val="20"/>
          <w:u w:val="single" w:color="auto"/>
          <w:color w:val="auto"/>
        </w:rPr>
        <w:t>Schedule 1.1B</w:t>
      </w:r>
      <w:r>
        <w:rPr>
          <w:rFonts w:ascii="Arial" w:cs="Arial" w:eastAsia="Arial" w:hAnsi="Arial"/>
          <w:sz w:val="20"/>
          <w:szCs w:val="20"/>
          <w:color w:val="auto"/>
        </w:rPr>
        <w:t xml:space="preserve"> to the Disclosure Letter.</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Facility</w:t>
      </w:r>
      <w:r>
        <w:rPr>
          <w:rFonts w:ascii="Arial" w:cs="Arial" w:eastAsia="Arial" w:hAnsi="Arial"/>
          <w:sz w:val="20"/>
          <w:szCs w:val="20"/>
          <w:color w:val="auto"/>
        </w:rPr>
        <w:t>”: each of (a) the L/C Facility (which is a sub-facility of the Revolving Facility), (b) the Revolving Facility and (c) the Swingline Facility (which is a sub-facility of the Revolving Facility).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FATCA</w:t>
      </w:r>
      <w:r>
        <w:rPr>
          <w:rFonts w:ascii="Arial" w:cs="Arial" w:eastAsia="Arial" w:hAnsi="Arial"/>
          <w:sz w:val="19"/>
          <w:szCs w:val="19"/>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Federal Funds Effective Rate</w:t>
      </w:r>
      <w:r>
        <w:rPr>
          <w:rFonts w:ascii="Arial" w:cs="Arial" w:eastAsia="Arial" w:hAnsi="Arial"/>
          <w:sz w:val="20"/>
          <w:szCs w:val="20"/>
          <w:color w:val="auto"/>
        </w:rPr>
        <w:t>”: for any day,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the day of such transactions received by SVB from three federal funds brokers of recognized standing selected by it.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Fee Letter</w:t>
      </w:r>
      <w:r>
        <w:rPr>
          <w:rFonts w:ascii="Arial" w:cs="Arial" w:eastAsia="Arial" w:hAnsi="Arial"/>
          <w:sz w:val="19"/>
          <w:szCs w:val="19"/>
          <w:color w:val="auto"/>
        </w:rPr>
        <w:t>”: the letter agreement dated June 19, 2020, between the Borrower and the Administrative Agent.</w:t>
      </w:r>
    </w:p>
    <w:p>
      <w:pPr>
        <w:spacing w:after="0" w:line="22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Finance Lease Obligations</w:t>
      </w:r>
      <w:r>
        <w:rPr>
          <w:rFonts w:ascii="Arial" w:cs="Arial" w:eastAsia="Arial" w:hAnsi="Arial"/>
          <w:sz w:val="18"/>
          <w:szCs w:val="18"/>
          <w:color w:val="auto"/>
        </w:rPr>
        <w:t>”: without duplication for the Group Members, (x) Capital Lease Obligations and (y) the obligations of the Borrower to pay rent or other amounts pursuant to that certain Lease Agreement dated as of January 30, 2015 by and between Beverly Property Owner LLC and the Borrower (as may be amended, restated, amended and restated, supplemented, extended or otherwise modified pursuant to the terms hereof or thereof from time to time).</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Flood Laws</w:t>
      </w:r>
      <w:r>
        <w:rPr>
          <w:rFonts w:ascii="Arial" w:cs="Arial" w:eastAsia="Arial" w:hAnsi="Arial"/>
          <w:sz w:val="20"/>
          <w:szCs w:val="20"/>
          <w:color w:val="auto"/>
        </w:rPr>
        <w:t>”: the National Flood Insurance Reform Act of 1994 and related legislation (including the regulations of the Board of Governors of the Federal Reserve System).</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Foreclosed Borrowers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2.25</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Lender</w:t>
      </w:r>
      <w:r>
        <w:rPr>
          <w:rFonts w:ascii="Arial" w:cs="Arial" w:eastAsia="Arial" w:hAnsi="Arial"/>
          <w:sz w:val="20"/>
          <w:szCs w:val="20"/>
          <w:color w:val="auto"/>
        </w:rPr>
        <w:t>”: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Subsidiary</w:t>
      </w:r>
      <w:r>
        <w:rPr>
          <w:rFonts w:ascii="Arial" w:cs="Arial" w:eastAsia="Arial" w:hAnsi="Arial"/>
          <w:sz w:val="20"/>
          <w:szCs w:val="20"/>
          <w:color w:val="auto"/>
        </w:rPr>
        <w:t>”: any Subsidiary of the Borrower that is not a Domestic Subsidiary.</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Subsidiary Holding Company</w:t>
      </w:r>
      <w:r>
        <w:rPr>
          <w:rFonts w:ascii="Arial" w:cs="Arial" w:eastAsia="Arial" w:hAnsi="Arial"/>
          <w:sz w:val="18"/>
          <w:szCs w:val="18"/>
          <w:color w:val="auto"/>
        </w:rPr>
        <w:t>”: any direct or indirect Domestic Subsidiary of the Borrower, substantially all of the assets of which consist of the Capital Stock (or Capital Stock and other securities) of one or more controlled foreign corporations (within the meaning of Section 957 of the Code) or other Foreign Subsidiary Holding Companies.</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Fronting Exposure</w:t>
      </w:r>
      <w:r>
        <w:rPr>
          <w:rFonts w:ascii="Arial" w:cs="Arial" w:eastAsia="Arial" w:hAnsi="Arial"/>
          <w:sz w:val="20"/>
          <w:szCs w:val="20"/>
          <w:color w:val="auto"/>
        </w:rPr>
        <w:t>”: at any time there is a Defaulting Lender, as applicable, (a) with respect to the Issuing Lender, such Defaulting Lender’s L/C Percentage of the outstanding L/C Exposure other than L/C Exposure as to which such Defaulting Lender’s participation obligation has been reallocated to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55" w:name="page56"/>
    <w:bookmarkEnd w:id="55"/>
    <w:p>
      <w:pPr>
        <w:jc w:val="both"/>
        <w:spacing w:after="0" w:line="291" w:lineRule="auto"/>
        <w:rPr>
          <w:sz w:val="20"/>
          <w:szCs w:val="20"/>
          <w:color w:val="auto"/>
        </w:rPr>
      </w:pPr>
      <w:r>
        <w:rPr>
          <w:rFonts w:ascii="Arial" w:cs="Arial" w:eastAsia="Arial" w:hAnsi="Arial"/>
          <w:sz w:val="18"/>
          <w:szCs w:val="18"/>
          <w:color w:val="auto"/>
        </w:rPr>
        <w:t>Lenders or Cash Collateralized in accordance with the terms hereof, and (b) with respect to the Swingline Lender, such Defaulting Lender’s Revolving Percentage of outstanding Swingline Loans made by the Swingline Lender other than Swingline Loans as to which such Defaulting Lender’s participation obligation has been reallocated to other Lenders.</w:t>
      </w:r>
    </w:p>
    <w:p>
      <w:pPr>
        <w:spacing w:after="0" w:line="1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Fund</w:t>
      </w:r>
      <w:r>
        <w:rPr>
          <w:rFonts w:ascii="Arial" w:cs="Arial" w:eastAsia="Arial" w:hAnsi="Arial"/>
          <w:sz w:val="19"/>
          <w:szCs w:val="19"/>
          <w:color w:val="auto"/>
        </w:rPr>
        <w:t>”: any Person (other than a natural Person) that is (or will be) engaged in making, purchasing, holding or otherwise investing in commercial loans, bonds and similar extensions of credit in the ordinary course of its activities.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Funding Office</w:t>
      </w:r>
      <w:r>
        <w:rPr>
          <w:rFonts w:ascii="Arial" w:cs="Arial" w:eastAsia="Arial" w:hAnsi="Arial"/>
          <w:sz w:val="20"/>
          <w:szCs w:val="20"/>
          <w:color w:val="auto"/>
        </w:rPr>
        <w:t>”: the Revolving Loan Funding Office.</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xml:space="preserve">”: generally accepted accounting principles in the United States as in effect from time to time, except that for purposes of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GAAP shall be determined on the basis of such principles in effect on the date hereof and consistent with those used in the preparation of the most recent audited financial statements referred to in </w:t>
      </w:r>
      <w:r>
        <w:rPr>
          <w:rFonts w:ascii="Arial" w:cs="Arial" w:eastAsia="Arial" w:hAnsi="Arial"/>
          <w:sz w:val="18"/>
          <w:szCs w:val="18"/>
          <w:u w:val="single" w:color="auto"/>
          <w:color w:val="auto"/>
        </w:rPr>
        <w:t>Section 4.1(b)</w:t>
      </w:r>
      <w:r>
        <w:rPr>
          <w:rFonts w:ascii="Arial" w:cs="Arial" w:eastAsia="Arial" w:hAnsi="Arial"/>
          <w:sz w:val="18"/>
          <w:szCs w:val="18"/>
          <w:color w:val="auto"/>
        </w:rPr>
        <w:t>. In the event that any “</w:t>
      </w:r>
      <w:r>
        <w:rPr>
          <w:rFonts w:ascii="Arial" w:cs="Arial" w:eastAsia="Arial" w:hAnsi="Arial"/>
          <w:sz w:val="18"/>
          <w:szCs w:val="18"/>
          <w:b w:val="1"/>
          <w:bCs w:val="1"/>
          <w:i w:val="1"/>
          <w:iCs w:val="1"/>
          <w:color w:val="auto"/>
        </w:rPr>
        <w:t>Accounting Change</w:t>
      </w:r>
      <w:r>
        <w:rPr>
          <w:rFonts w:ascii="Arial" w:cs="Arial" w:eastAsia="Arial" w:hAnsi="Arial"/>
          <w:sz w:val="18"/>
          <w:szCs w:val="18"/>
          <w:color w:val="auto"/>
        </w:rPr>
        <w:t>” (as defined below) shall occur and such change results in a change in the method of calculation of financial covenants, standards or terms in this Agreement, then the Borrower and the Administrative Agent agree to enter into negotiations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w:t>
      </w:r>
      <w:r>
        <w:rPr>
          <w:rFonts w:ascii="Arial" w:cs="Arial" w:eastAsia="Arial" w:hAnsi="Arial"/>
          <w:sz w:val="18"/>
          <w:szCs w:val="18"/>
          <w:b w:val="1"/>
          <w:bCs w:val="1"/>
          <w:i w:val="1"/>
          <w:iCs w:val="1"/>
          <w:color w:val="auto"/>
        </w:rPr>
        <w:t>Accounting Changes</w:t>
      </w:r>
      <w:r>
        <w:rPr>
          <w:rFonts w:ascii="Arial" w:cs="Arial" w:eastAsia="Arial" w:hAnsi="Arial"/>
          <w:sz w:val="18"/>
          <w:szCs w:val="18"/>
          <w:color w:val="auto"/>
        </w:rPr>
        <w:t>” refers to changes in accounting principles required by the promulgation of any rule, regulation, pronouncement or opinion by the Financial Accounting Standards Board of the American Institute of Certified Public Accountants or, if applicable, the SEC, or the adoption of IFRS.</w:t>
      </w:r>
    </w:p>
    <w:p>
      <w:pPr>
        <w:spacing w:after="0" w:line="17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Governmental Approval</w:t>
      </w:r>
      <w:r>
        <w:rPr>
          <w:rFonts w:ascii="Arial" w:cs="Arial" w:eastAsia="Arial" w:hAnsi="Arial"/>
          <w:sz w:val="20"/>
          <w:szCs w:val="20"/>
          <w:color w:val="auto"/>
        </w:rPr>
        <w:t>”: any consent, authorization, approval, order, license, franchise, permit, certificate, accreditation, registration, filing or notice, of, issued by, from or to, or other act by or in respect of, any Governmental Authority.</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Governmental Authority</w:t>
      </w:r>
      <w:r>
        <w:rPr>
          <w:rFonts w:ascii="Arial" w:cs="Arial" w:eastAsia="Arial" w:hAnsi="Arial"/>
          <w:sz w:val="19"/>
          <w:szCs w:val="19"/>
          <w:color w:val="auto"/>
        </w:rPr>
        <w:t>”: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accounting or regulatory capital rules or standards (including the Financial Standards Board, the Bank for International Settlements, the Basel Committee on Banking Supervision and any successor or similar authority to any of the foregoing).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Group Members</w:t>
      </w:r>
      <w:r>
        <w:rPr>
          <w:rFonts w:ascii="Arial" w:cs="Arial" w:eastAsia="Arial" w:hAnsi="Arial"/>
          <w:sz w:val="20"/>
          <w:szCs w:val="20"/>
          <w:color w:val="auto"/>
        </w:rPr>
        <w:t>”: the collective reference to the Borrower and its Subsidiaries.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Guarantee and Collateral Agreement</w:t>
      </w:r>
      <w:r>
        <w:rPr>
          <w:rFonts w:ascii="Arial" w:cs="Arial" w:eastAsia="Arial" w:hAnsi="Arial"/>
          <w:sz w:val="20"/>
          <w:szCs w:val="20"/>
          <w:color w:val="auto"/>
        </w:rPr>
        <w:t xml:space="preserve">”: the Guarantee and Collateral Agreement to be executed as of the date hereof and delivered by the Loan Parties,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as amended, restated, amended and restated, supplemented or otherwise modified from time to time.</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Guarantee Obligation</w:t>
      </w:r>
      <w:r>
        <w:rPr>
          <w:rFonts w:ascii="Arial" w:cs="Arial" w:eastAsia="Arial" w:hAnsi="Arial"/>
          <w:sz w:val="20"/>
          <w:szCs w:val="20"/>
          <w:color w:val="auto"/>
        </w:rPr>
        <w:t>”: as to any Person (the “</w:t>
      </w:r>
      <w:r>
        <w:rPr>
          <w:rFonts w:ascii="Arial" w:cs="Arial" w:eastAsia="Arial" w:hAnsi="Arial"/>
          <w:sz w:val="20"/>
          <w:szCs w:val="20"/>
          <w:b w:val="1"/>
          <w:bCs w:val="1"/>
          <w:i w:val="1"/>
          <w:iCs w:val="1"/>
          <w:color w:val="auto"/>
        </w:rPr>
        <w:t>guaranteeing person</w:t>
      </w:r>
      <w:r>
        <w:rPr>
          <w:rFonts w:ascii="Arial" w:cs="Arial" w:eastAsia="Arial" w:hAnsi="Arial"/>
          <w:sz w:val="20"/>
          <w:szCs w:val="20"/>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w:t>
      </w:r>
      <w:r>
        <w:rPr>
          <w:rFonts w:ascii="Arial" w:cs="Arial" w:eastAsia="Arial" w:hAnsi="Arial"/>
          <w:sz w:val="20"/>
          <w:szCs w:val="20"/>
          <w:b w:val="1"/>
          <w:bCs w:val="1"/>
          <w:i w:val="1"/>
          <w:iCs w:val="1"/>
          <w:color w:val="auto"/>
        </w:rPr>
        <w:t>primary obligations</w:t>
      </w:r>
      <w:r>
        <w:rPr>
          <w:rFonts w:ascii="Arial" w:cs="Arial" w:eastAsia="Arial" w:hAnsi="Arial"/>
          <w:sz w:val="20"/>
          <w:szCs w:val="20"/>
          <w:color w:val="auto"/>
        </w:rPr>
        <w:t>”) of any other third Person (the “</w:t>
      </w:r>
      <w:r>
        <w:rPr>
          <w:rFonts w:ascii="Arial" w:cs="Arial" w:eastAsia="Arial" w:hAnsi="Arial"/>
          <w:sz w:val="20"/>
          <w:szCs w:val="20"/>
          <w:b w:val="1"/>
          <w:bCs w:val="1"/>
          <w:i w:val="1"/>
          <w:iCs w:val="1"/>
          <w:color w:val="auto"/>
        </w:rPr>
        <w:t>primary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56" w:name="page57"/>
    <w:bookmarkEnd w:id="56"/>
    <w:p>
      <w:pPr>
        <w:jc w:val="both"/>
        <w:spacing w:after="0" w:line="269" w:lineRule="auto"/>
        <w:rPr>
          <w:sz w:val="20"/>
          <w:szCs w:val="20"/>
          <w:color w:val="auto"/>
        </w:rPr>
      </w:pPr>
      <w:r>
        <w:rPr>
          <w:rFonts w:ascii="Arial" w:cs="Arial" w:eastAsia="Arial" w:hAnsi="Arial"/>
          <w:sz w:val="18"/>
          <w:szCs w:val="18"/>
          <w:b w:val="1"/>
          <w:bCs w:val="1"/>
          <w:i w:val="1"/>
          <w:iCs w:val="1"/>
          <w:color w:val="auto"/>
        </w:rPr>
        <w:t>obligor</w:t>
      </w:r>
      <w:r>
        <w:rPr>
          <w:rFonts w:ascii="Arial" w:cs="Arial" w:eastAsia="Arial" w:hAnsi="Arial"/>
          <w:sz w:val="18"/>
          <w:szCs w:val="18"/>
          <w:color w:val="auto"/>
        </w:rPr>
        <w:t>”) in any manner, whether directly or indirectly, including any obligation of the guaranteeing person, whether or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Guarantors</w:t>
      </w:r>
      <w:r>
        <w:rPr>
          <w:rFonts w:ascii="Arial" w:cs="Arial" w:eastAsia="Arial" w:hAnsi="Arial"/>
          <w:sz w:val="18"/>
          <w:szCs w:val="18"/>
          <w:color w:val="auto"/>
        </w:rPr>
        <w:t xml:space="preserve">”: a collective reference to each Subsidiary of the Borrower which has become a Guarantor pursuant to the requirements of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hereof and the Guarantee and Collateral Agreement. Notwithstanding the foregoing or any contrary provision herein or in any other Loan Document, no Excluded Subsidiary shall be required to be a Guarantor.</w:t>
      </w:r>
    </w:p>
    <w:p>
      <w:pPr>
        <w:spacing w:after="0" w:line="15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IFRS</w:t>
      </w:r>
      <w:r>
        <w:rPr>
          <w:rFonts w:ascii="Arial" w:cs="Arial" w:eastAsia="Arial" w:hAnsi="Arial"/>
          <w:sz w:val="20"/>
          <w:szCs w:val="20"/>
          <w:color w:val="auto"/>
        </w:rPr>
        <w:t>”: international accounting standards within the meaning of IAS Regulation 1606/2002 to the extent applicable to the relevant financial statements delivered under or referred to herein.</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Immaterial Subsidiary</w:t>
      </w:r>
      <w:r>
        <w:rPr>
          <w:rFonts w:ascii="Arial" w:cs="Arial" w:eastAsia="Arial" w:hAnsi="Arial"/>
          <w:sz w:val="19"/>
          <w:szCs w:val="19"/>
          <w:color w:val="auto"/>
        </w:rPr>
        <w:t xml:space="preserve">”: at any date of determination, any Subsidiary of any Loan Party designated as such by such Loan Party in writing and which as of such date (a) holds assets representing 5% or less of the Group Members’ consolidated total assets as of such date (determined in accordance with GAAP), (b) which has generated less than 5% of the Group Members’ consolidated total revenues determined in accordance with GAAP for the four fiscal quarter period ending on the last day of the most recent period for which financial statements have been delivered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Subsidiaries that are individually </w:t>
      </w:r>
      <w:r>
        <w:rPr>
          <w:rFonts w:ascii="Arial" w:cs="Arial" w:eastAsia="Arial" w:hAnsi="Arial"/>
          <w:sz w:val="19"/>
          <w:szCs w:val="19"/>
          <w:b w:val="1"/>
          <w:bCs w:val="1"/>
          <w:i w:val="1"/>
          <w:iCs w:val="1"/>
          <w:color w:val="auto"/>
        </w:rPr>
        <w:t>“Immaterial Subsidiaries”</w:t>
      </w:r>
      <w:r>
        <w:rPr>
          <w:rFonts w:ascii="Arial" w:cs="Arial" w:eastAsia="Arial" w:hAnsi="Arial"/>
          <w:sz w:val="19"/>
          <w:szCs w:val="19"/>
          <w:color w:val="auto"/>
        </w:rPr>
        <w:t xml:space="preserve"> shall not have aggregate consolidated total assets that would represent 7.5% or more of the Borrower’s consolidated total assets as of such date or have generated 7.5% or more of the Borrower’s consolidated total revenues for such four fiscal quarter period, in each case determined in accordance with GAAP, (c) owns no Capital Stock of any Subsidiary that is not an Immaterial Subsidiary and (d) owns no material Intellectual Property.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Increase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2.27</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Increase Joinder</w:t>
      </w:r>
      <w:r>
        <w:rPr>
          <w:rFonts w:ascii="Arial" w:cs="Arial" w:eastAsia="Arial" w:hAnsi="Arial"/>
          <w:sz w:val="20"/>
          <w:szCs w:val="20"/>
          <w:color w:val="auto"/>
        </w:rPr>
        <w:t xml:space="preserve">”: an instrument, in form and substance reasonably satisfactory to the Administrative Agent, by which a Lender becomes a party to this Agreement pursuant to </w:t>
      </w:r>
      <w:r>
        <w:rPr>
          <w:rFonts w:ascii="Arial" w:cs="Arial" w:eastAsia="Arial" w:hAnsi="Arial"/>
          <w:sz w:val="20"/>
          <w:szCs w:val="20"/>
          <w:u w:val="single" w:color="auto"/>
          <w:color w:val="auto"/>
        </w:rPr>
        <w:t>Section 2.27</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Incurred</w:t>
      </w:r>
      <w:r>
        <w:rPr>
          <w:rFonts w:ascii="Arial" w:cs="Arial" w:eastAsia="Arial" w:hAnsi="Arial"/>
          <w:sz w:val="20"/>
          <w:szCs w:val="20"/>
          <w:color w:val="auto"/>
        </w:rPr>
        <w:t>”: as defined in the definition of “Pro Forma Basis”.</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Indebtedness</w:t>
      </w:r>
      <w:r>
        <w:rPr>
          <w:rFonts w:ascii="Arial" w:cs="Arial" w:eastAsia="Arial" w:hAnsi="Arial"/>
          <w:sz w:val="20"/>
          <w:szCs w:val="20"/>
          <w:color w:val="auto"/>
        </w:rPr>
        <w:t>”: of any Person at any date, without duplication, (a) all indebtedness of such Person for borrowed money, (b) all obligations of such Person for the deferred purchase price of property or services (other than (i) current trade payables incurred in the ordinary course of such Person’s business, (ii) any earn-out obligation if such obligation is not paid after becoming due and payable or such obligation is reflected on the balance sheet in accordance with GAAP and (iii) accruals for payroll and other liabilities, including deferred compensation arrangements, in each case, accrued in the ordinary course of business), (c) all obligations of such Person evidenced by notes, bonds, debentures or other similar instruments, (d)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57" w:name="page58"/>
    <w:bookmarkEnd w:id="57"/>
    <w:p>
      <w:pPr>
        <w:jc w:val="both"/>
        <w:spacing w:after="0" w:line="302" w:lineRule="auto"/>
        <w:rPr>
          <w:sz w:val="20"/>
          <w:szCs w:val="20"/>
          <w:color w:val="auto"/>
        </w:rPr>
      </w:pPr>
      <w:r>
        <w:rPr>
          <w:rFonts w:ascii="Arial" w:cs="Arial" w:eastAsia="Arial" w:hAnsi="Arial"/>
          <w:sz w:val="16"/>
          <w:szCs w:val="16"/>
          <w:color w:val="auto"/>
        </w:rPr>
        <w:t>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and all Synthetic Lease Obligations of such Person, (f) all obligations of such Person, contingent or otherwise, as an account party or applicant under or in respect of acceptances, letters of credit, surety bonds or similar arrangements, (g) all obligations of such Person with respect to Disqualified Stock, (h) all Guarantee Obligations of such Person in respect of obligations of the kind referred to in clauses</w:t>
      </w:r>
    </w:p>
    <w:p>
      <w:pPr>
        <w:spacing w:after="0" w:line="4" w:lineRule="exact"/>
        <w:rPr>
          <w:sz w:val="20"/>
          <w:szCs w:val="20"/>
          <w:color w:val="auto"/>
        </w:rPr>
      </w:pPr>
    </w:p>
    <w:p>
      <w:pPr>
        <w:jc w:val="both"/>
        <w:ind w:firstLine="8"/>
        <w:spacing w:after="0" w:line="254" w:lineRule="auto"/>
        <w:tabs>
          <w:tab w:leader="none" w:pos="274"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(j) the net obligations of such Person in respect of Swap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Indebtedness shall not include (i) guarantees of real estate leases, accrued but not past due expenses, deferred but not past due rent, deferred but not past due taxes, in each case of this proviso clause (i), in the ordinary course of business and (ii) any operating lease.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Indemnified Taxes</w:t>
      </w:r>
      <w:r>
        <w:rPr>
          <w:rFonts w:ascii="Arial" w:cs="Arial" w:eastAsia="Arial" w:hAnsi="Arial"/>
          <w:sz w:val="20"/>
          <w:szCs w:val="20"/>
          <w:color w:val="auto"/>
        </w:rPr>
        <w:t>”: (a) Taxes, other than Excluded Taxes, imposed on or with respect to any payment made by or on account of any obligation of any Loan Party under any Loan Document and (b) to the extent not otherwise described in clause (a), Other Taxes.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Indemnitee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10.5(b)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Insolvency Proceeding</w:t>
      </w:r>
      <w:r>
        <w:rPr>
          <w:rFonts w:ascii="Arial" w:cs="Arial" w:eastAsia="Arial" w:hAnsi="Arial"/>
          <w:sz w:val="18"/>
          <w:szCs w:val="18"/>
          <w:color w:val="auto"/>
        </w:rPr>
        <w:t>”: (a) any case, action or proceeding before any court or other Governmental Authority relating to bankruptcy, reorganization, insolvency, liquidation, receivership, dissolution, winding-up or relief of debtors, or</w:t>
      </w:r>
    </w:p>
    <w:p>
      <w:pPr>
        <w:spacing w:after="0" w:line="1" w:lineRule="exact"/>
        <w:rPr>
          <w:sz w:val="20"/>
          <w:szCs w:val="20"/>
          <w:color w:val="auto"/>
        </w:rPr>
      </w:pPr>
    </w:p>
    <w:p>
      <w:pPr>
        <w:jc w:val="both"/>
        <w:ind w:firstLine="8"/>
        <w:spacing w:after="0" w:line="241" w:lineRule="auto"/>
        <w:tabs>
          <w:tab w:leader="none" w:pos="305" w:val="left"/>
        </w:tabs>
        <w:numPr>
          <w:ilvl w:val="0"/>
          <w:numId w:val="20"/>
        </w:numPr>
        <w:rPr>
          <w:rFonts w:ascii="Arial" w:cs="Arial" w:eastAsia="Arial" w:hAnsi="Arial"/>
          <w:sz w:val="20"/>
          <w:szCs w:val="20"/>
          <w:color w:val="auto"/>
        </w:rPr>
      </w:pPr>
      <w:r>
        <w:rPr>
          <w:rFonts w:ascii="Arial" w:cs="Arial" w:eastAsia="Arial" w:hAnsi="Arial"/>
          <w:sz w:val="20"/>
          <w:szCs w:val="20"/>
          <w:color w:val="auto"/>
        </w:rPr>
        <w:t>any general assignment for the benefit of creditors, composition, marshalling of assets for creditors, or other, similar arrangement in respect of any Person’s creditors generally or any substantial portion of such Person’s creditors, in each case undertaken under U.S. federal, state or foreign law, including any Debtor Relief Law.</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Intellectual Property</w:t>
      </w:r>
      <w:r>
        <w:rPr>
          <w:rFonts w:ascii="Arial" w:cs="Arial" w:eastAsia="Arial" w:hAnsi="Arial"/>
          <w:sz w:val="20"/>
          <w:szCs w:val="20"/>
          <w:color w:val="auto"/>
        </w:rPr>
        <w:t>”: the collective reference to all rights, priorities and privileges relating to intellectual property, whether arising under United States, multinational or foreign laws or otherwise,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Intellectual Property Security Agreement</w:t>
      </w:r>
      <w:r>
        <w:rPr>
          <w:rFonts w:ascii="Arial" w:cs="Arial" w:eastAsia="Arial" w:hAnsi="Arial"/>
          <w:sz w:val="20"/>
          <w:szCs w:val="20"/>
          <w:color w:val="auto"/>
        </w:rPr>
        <w:t xml:space="preserve">”: an intellectual property security agreement entered into between a Loan Party and the Administrative Agent pursuant to the terms of the Guarantee and Collateral Agreement in form and substance reasonably satisfactory to the Administrative Agent, together with each other intellectual property security agreement and supplement thereto delivered pursuant to </w:t>
      </w:r>
      <w:r>
        <w:rPr>
          <w:rFonts w:ascii="Arial" w:cs="Arial" w:eastAsia="Arial" w:hAnsi="Arial"/>
          <w:sz w:val="20"/>
          <w:szCs w:val="20"/>
          <w:u w:val="single" w:color="auto"/>
          <w:color w:val="auto"/>
        </w:rPr>
        <w:t>Section 6.12</w:t>
      </w:r>
      <w:r>
        <w:rPr>
          <w:rFonts w:ascii="Arial" w:cs="Arial" w:eastAsia="Arial" w:hAnsi="Arial"/>
          <w:sz w:val="20"/>
          <w:szCs w:val="20"/>
          <w:color w:val="auto"/>
        </w:rPr>
        <w:t>, in each case as amended, restated, amended and restated, supplemented or otherwise modified from time to time.</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Interest Payment Date</w:t>
      </w:r>
      <w:r>
        <w:rPr>
          <w:rFonts w:ascii="Arial" w:cs="Arial" w:eastAsia="Arial" w:hAnsi="Arial"/>
          <w:sz w:val="20"/>
          <w:szCs w:val="20"/>
          <w:color w:val="auto"/>
        </w:rPr>
        <w:t>”: (a) as to any ABR Loan (including any Swingline Loan), the first Business Day of each fiscal quarter to occur while such Loan is outstanding and the final maturity date of such Loan, (b) as to any Eurodollar Loan having an Interest Period of three (3) months or less, the last Business Day of such Interest Period, (c) as to any Eurodollar Loan having an Interest Period longer than three (3) months, each day that is three (3) months (or, if such date is not a Business Day, the Business Day next succeeding such date) after the first day of such Interest Period and the last Business Day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58" w:name="page59"/>
    <w:bookmarkEnd w:id="58"/>
    <w:p>
      <w:pPr>
        <w:jc w:val="both"/>
        <w:ind w:right="20"/>
        <w:spacing w:after="0" w:line="260" w:lineRule="auto"/>
        <w:rPr>
          <w:sz w:val="20"/>
          <w:szCs w:val="20"/>
          <w:color w:val="auto"/>
        </w:rPr>
      </w:pPr>
      <w:r>
        <w:rPr>
          <w:rFonts w:ascii="Arial" w:cs="Arial" w:eastAsia="Arial" w:hAnsi="Arial"/>
          <w:sz w:val="20"/>
          <w:szCs w:val="20"/>
          <w:color w:val="auto"/>
        </w:rPr>
        <w:t>Interest Period, and (d) as to any Loan (other than any Revolving Loan that is an ABR Loan and any Swingline Loan), the date of any repayment or prepayment made in respect thereof.</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Period</w:t>
      </w:r>
      <w:r>
        <w:rPr>
          <w:rFonts w:ascii="Arial" w:cs="Arial" w:eastAsia="Arial" w:hAnsi="Arial"/>
          <w:sz w:val="18"/>
          <w:szCs w:val="18"/>
          <w:color w:val="auto"/>
        </w:rPr>
        <w:t xml:space="preserve">”: as to any Eurodollar Loan, (a) initially, the period commencing on the borrowing or conversion date, as the case may be, with respect to such Eurodollar Loan and ending one (1), three (3) or six (6) months thereafter, as selected by the Borrower in its Notice of Borrowing or Notice of Conversion/Continuation, as the case may be, given with respect thereto; and (b) thereafter, each period commencing on the last day of the next preceding Interest Period applicable to such Eurodollar Loan and ending one (1), three (3) or six (6) months thereafter, as selected by the Borrower by irrevocable notice to the Administrative Agent in a Notice of Conversion/Continuation not later than 12:00 P.M. noon (New York City time) on the date that is three (3) Business Days prior to the last day of the then current Interest Period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of the foregoing provisions relating to Interest Periods are subject to the following:</w:t>
      </w:r>
    </w:p>
    <w:p>
      <w:pPr>
        <w:spacing w:after="0" w:line="168" w:lineRule="exact"/>
        <w:rPr>
          <w:sz w:val="20"/>
          <w:szCs w:val="20"/>
          <w:color w:val="auto"/>
        </w:rPr>
      </w:pPr>
    </w:p>
    <w:p>
      <w:pPr>
        <w:jc w:val="both"/>
        <w:ind w:firstLine="1952"/>
        <w:spacing w:after="0" w:line="246" w:lineRule="auto"/>
        <w:tabs>
          <w:tab w:leader="none" w:pos="2592" w:val="left"/>
        </w:tabs>
        <w:numPr>
          <w:ilvl w:val="0"/>
          <w:numId w:val="21"/>
        </w:numPr>
        <w:rPr>
          <w:rFonts w:ascii="Arial" w:cs="Arial" w:eastAsia="Arial" w:hAnsi="Arial"/>
          <w:sz w:val="20"/>
          <w:szCs w:val="20"/>
          <w:color w:val="auto"/>
        </w:rPr>
      </w:pPr>
      <w:r>
        <w:rPr>
          <w:rFonts w:ascii="Arial" w:cs="Arial" w:eastAsia="Arial" w:hAnsi="Arial"/>
          <w:sz w:val="20"/>
          <w:szCs w:val="20"/>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91" w:lineRule="exact"/>
        <w:rPr>
          <w:rFonts w:ascii="Arial" w:cs="Arial" w:eastAsia="Arial" w:hAnsi="Arial"/>
          <w:sz w:val="20"/>
          <w:szCs w:val="20"/>
          <w:color w:val="auto"/>
        </w:rPr>
      </w:pPr>
    </w:p>
    <w:p>
      <w:pPr>
        <w:ind w:firstLine="1952"/>
        <w:spacing w:after="0" w:line="260" w:lineRule="auto"/>
        <w:tabs>
          <w:tab w:leader="none" w:pos="2592"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Borrower may not select an Interest Period under a particular Facility that would extend beyond the Revolving Termination Date;</w:t>
      </w:r>
    </w:p>
    <w:p>
      <w:pPr>
        <w:spacing w:after="0" w:line="176" w:lineRule="exact"/>
        <w:rPr>
          <w:rFonts w:ascii="Arial" w:cs="Arial" w:eastAsia="Arial" w:hAnsi="Arial"/>
          <w:sz w:val="20"/>
          <w:szCs w:val="20"/>
          <w:color w:val="auto"/>
        </w:rPr>
      </w:pPr>
    </w:p>
    <w:p>
      <w:pPr>
        <w:jc w:val="both"/>
        <w:ind w:firstLine="1952"/>
        <w:spacing w:after="0" w:line="250" w:lineRule="auto"/>
        <w:tabs>
          <w:tab w:leader="none" w:pos="2592"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a calendar month; and</w:t>
      </w:r>
    </w:p>
    <w:p>
      <w:pPr>
        <w:spacing w:after="0" w:line="185" w:lineRule="exact"/>
        <w:rPr>
          <w:rFonts w:ascii="Arial" w:cs="Arial" w:eastAsia="Arial" w:hAnsi="Arial"/>
          <w:sz w:val="20"/>
          <w:szCs w:val="20"/>
          <w:color w:val="auto"/>
        </w:rPr>
      </w:pPr>
    </w:p>
    <w:p>
      <w:pPr>
        <w:ind w:right="20" w:firstLine="1952"/>
        <w:spacing w:after="0" w:line="260" w:lineRule="auto"/>
        <w:tabs>
          <w:tab w:leader="none" w:pos="2592"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Borrower shall select Interest Periods so as not to require a payment or prepayment of any Eurodollar Loan during an Interest Period for such Loan.</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Rate Agreement</w:t>
      </w:r>
      <w:r>
        <w:rPr>
          <w:rFonts w:ascii="Arial" w:cs="Arial" w:eastAsia="Arial" w:hAnsi="Arial"/>
          <w:sz w:val="18"/>
          <w:szCs w:val="18"/>
          <w:color w:val="auto"/>
        </w:rPr>
        <w:t>”: any interest rate swap agreement, interest rate cap agreement, interest rate collar agreement, interest rate hedging agreement or other similar agreement or arrangement, each of which is (a) for the purpose of hedging the interest rate exposure associated with the Group Members’ operations, and (b) not for speculative purposes.</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Inventory</w:t>
      </w:r>
      <w:r>
        <w:rPr>
          <w:rFonts w:ascii="Arial" w:cs="Arial" w:eastAsia="Arial" w:hAnsi="Arial"/>
          <w:sz w:val="19"/>
          <w:szCs w:val="19"/>
          <w:color w:val="auto"/>
        </w:rPr>
        <w:t>”: all “inventory,” as such term is defined in the UCC, now owned or hereafter acquired by any Loan Party, wherever located, and in any event including inventory, merchandise, goods and other personal property that are held by or on behalf of any Loan Party for sale or lease or are furnished or are to be furnished under a contract of service, or that constitutes raw materials, work in process, finished goods, returned goods, or materials or supplies of any kind used or consumed or to be used or consumed in such Loan Party’s business or in the processing, production, packaging, promotion, delivery or shipping of the same, including all supplies and embedded software.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Investments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7.8</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IRS</w:t>
      </w:r>
      <w:r>
        <w:rPr>
          <w:rFonts w:ascii="Arial" w:cs="Arial" w:eastAsia="Arial" w:hAnsi="Arial"/>
          <w:sz w:val="20"/>
          <w:szCs w:val="20"/>
          <w:color w:val="auto"/>
        </w:rPr>
        <w:t>”: the Internal Revenue Service, or any successor thereto.</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ISP</w:t>
      </w:r>
      <w:r>
        <w:rPr>
          <w:rFonts w:ascii="Arial" w:cs="Arial" w:eastAsia="Arial" w:hAnsi="Arial"/>
          <w:sz w:val="19"/>
          <w:szCs w:val="19"/>
          <w:color w:val="auto"/>
        </w:rPr>
        <w:t>”: with respect to any Letter of Credit, the “International Standby Practices 1998” published by the Institute of International Banking Law &amp; Practice (or such later version thereof as may be in effect at the time of issuance).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Issuing Lender</w:t>
      </w:r>
      <w:r>
        <w:rPr>
          <w:rFonts w:ascii="Arial" w:cs="Arial" w:eastAsia="Arial" w:hAnsi="Arial"/>
          <w:sz w:val="20"/>
          <w:szCs w:val="20"/>
          <w:color w:val="auto"/>
        </w:rPr>
        <w:t>”: as the context may require, (a) SVB or any Affiliate thereof, in its capacity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59" w:name="page60"/>
    <w:bookmarkEnd w:id="59"/>
    <w:p>
      <w:pPr>
        <w:jc w:val="both"/>
        <w:spacing w:after="0" w:line="243" w:lineRule="auto"/>
        <w:rPr>
          <w:sz w:val="20"/>
          <w:szCs w:val="20"/>
          <w:color w:val="auto"/>
        </w:rPr>
      </w:pPr>
      <w:r>
        <w:rPr>
          <w:rFonts w:ascii="Arial" w:cs="Arial" w:eastAsia="Arial" w:hAnsi="Arial"/>
          <w:sz w:val="20"/>
          <w:szCs w:val="20"/>
          <w:color w:val="auto"/>
        </w:rPr>
        <w:t xml:space="preserve">issuer of any Letter of Credit (including, without limitation, each Existing Letter of Credit), and (b) any other Lender or an Affiliate thereof that may become an Issuing Lender pursuant to </w:t>
      </w:r>
      <w:r>
        <w:rPr>
          <w:rFonts w:ascii="Arial" w:cs="Arial" w:eastAsia="Arial" w:hAnsi="Arial"/>
          <w:sz w:val="20"/>
          <w:szCs w:val="20"/>
          <w:u w:val="single" w:color="auto"/>
          <w:color w:val="auto"/>
        </w:rPr>
        <w:t>Section 3.11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3.12</w:t>
      </w:r>
      <w:r>
        <w:rPr>
          <w:rFonts w:ascii="Arial" w:cs="Arial" w:eastAsia="Arial" w:hAnsi="Arial"/>
          <w:sz w:val="20"/>
          <w:szCs w:val="20"/>
          <w:color w:val="auto"/>
        </w:rPr>
        <w:t>, with respect to Letters of Credit issued by such Lender or its Affiliate. The Issuing Lender may, in its discretion, arrange for one or more Letters of Credit to be issued by Affiliates of the Issuing Lender or other financial institutions, in which case the term “Issuing Lender” shall include any such Affiliate or other financial institution with respect to Letters of Credit issued by such Affiliate or other financial institution.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Issuing Lender Fees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Advance</w:t>
      </w:r>
      <w:r>
        <w:rPr>
          <w:rFonts w:ascii="Arial" w:cs="Arial" w:eastAsia="Arial" w:hAnsi="Arial"/>
          <w:sz w:val="20"/>
          <w:szCs w:val="20"/>
          <w:color w:val="auto"/>
        </w:rPr>
        <w:t>”: each L/C Lender’s funding of its participation in any L/C Disbursement in accordance with its L/C Percentage of the L/C Commitment. All L/C Advances shall be denominated in Dollars.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Commitment</w:t>
      </w:r>
      <w:r>
        <w:rPr>
          <w:rFonts w:ascii="Arial" w:cs="Arial" w:eastAsia="Arial" w:hAnsi="Arial"/>
          <w:sz w:val="19"/>
          <w:szCs w:val="19"/>
          <w:color w:val="auto"/>
        </w:rPr>
        <w:t xml:space="preserve">”: as to any L/C Lender, the obligation of such L/C Lender, if any, to purchase an undivided interest in the Issuing Lenders’ obligations and rights under and in respect of each Letter of Credit (including to make payments with respect to draws made under any Letter of Credit pursuant to </w:t>
      </w:r>
      <w:r>
        <w:rPr>
          <w:rFonts w:ascii="Arial" w:cs="Arial" w:eastAsia="Arial" w:hAnsi="Arial"/>
          <w:sz w:val="19"/>
          <w:szCs w:val="19"/>
          <w:u w:val="single" w:color="auto"/>
          <w:color w:val="auto"/>
        </w:rPr>
        <w:t>Section 3.5(b)</w:t>
      </w:r>
      <w:r>
        <w:rPr>
          <w:rFonts w:ascii="Arial" w:cs="Arial" w:eastAsia="Arial" w:hAnsi="Arial"/>
          <w:sz w:val="19"/>
          <w:szCs w:val="19"/>
          <w:color w:val="auto"/>
        </w:rPr>
        <w:t xml:space="preserve">) in an aggregate principal amount not to exceed the amount set forth under the heading “L/C Commitment” opposite such L/C Lender’s name on </w:t>
      </w:r>
      <w:r>
        <w:rPr>
          <w:rFonts w:ascii="Arial" w:cs="Arial" w:eastAsia="Arial" w:hAnsi="Arial"/>
          <w:sz w:val="19"/>
          <w:szCs w:val="19"/>
          <w:u w:val="single" w:color="auto"/>
          <w:color w:val="auto"/>
        </w:rPr>
        <w:t>Schedule 1.1A</w:t>
      </w:r>
      <w:r>
        <w:rPr>
          <w:rFonts w:ascii="Arial" w:cs="Arial" w:eastAsia="Arial" w:hAnsi="Arial"/>
          <w:sz w:val="19"/>
          <w:szCs w:val="19"/>
          <w:color w:val="auto"/>
        </w:rPr>
        <w:t xml:space="preserve"> or in the Assignment and Assumption or Increase Joinder pursuant to which such L/C Lender becomes a party hereto, as the same may be changed from time to time pursuant to the terms hereof. The L/C Commitment is a sublimit of the Revolving Commitment and the aggregate amount of the L/C Commitments shall not exceed the amount of the Total L/C Commitments at any time.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Disbursements</w:t>
      </w:r>
      <w:r>
        <w:rPr>
          <w:rFonts w:ascii="Arial" w:cs="Arial" w:eastAsia="Arial" w:hAnsi="Arial"/>
          <w:sz w:val="19"/>
          <w:szCs w:val="19"/>
          <w:color w:val="auto"/>
        </w:rPr>
        <w:t>”: a payment or disbursement made by the Issuing Lender pursuant to a Letter of Credit.</w:t>
      </w:r>
    </w:p>
    <w:p>
      <w:pPr>
        <w:spacing w:after="0" w:line="22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Exposure</w:t>
      </w:r>
      <w:r>
        <w:rPr>
          <w:rFonts w:ascii="Arial" w:cs="Arial" w:eastAsia="Arial" w:hAnsi="Arial"/>
          <w:sz w:val="20"/>
          <w:szCs w:val="20"/>
          <w:color w:val="auto"/>
        </w:rPr>
        <w:t>”: at any time, the sum of (a) the aggregate undrawn amount of all outstanding Letters of Credit at such time, and (b) the aggregate amount of all L/C Disbursements that have not yet been reimbursed or converted into Revolving Loans at such time. The L/C Exposure of any L/C Lender at any time shall equal its L/C Percentage of the aggregate L/C Exposure at such time.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Facility</w:t>
      </w:r>
      <w:r>
        <w:rPr>
          <w:rFonts w:ascii="Arial" w:cs="Arial" w:eastAsia="Arial" w:hAnsi="Arial"/>
          <w:sz w:val="20"/>
          <w:szCs w:val="20"/>
          <w:color w:val="auto"/>
        </w:rPr>
        <w:t>”: the L/C Commitments and the extensions of credit made thereunder.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Fee Payment Date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Lender</w:t>
      </w:r>
      <w:r>
        <w:rPr>
          <w:rFonts w:ascii="Arial" w:cs="Arial" w:eastAsia="Arial" w:hAnsi="Arial"/>
          <w:sz w:val="20"/>
          <w:szCs w:val="20"/>
          <w:color w:val="auto"/>
        </w:rPr>
        <w:t>”: a Lender with an L/C Commitment.</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 Percentage</w:t>
      </w:r>
      <w:r>
        <w:rPr>
          <w:rFonts w:ascii="Arial" w:cs="Arial" w:eastAsia="Arial" w:hAnsi="Arial"/>
          <w:sz w:val="18"/>
          <w:szCs w:val="18"/>
          <w:color w:val="auto"/>
        </w:rPr>
        <w:t xml:space="preserve">”: as to any L/C Lender at any time, the percentage of the Total L/C Commitments represented by such L/C Lender’s L/C Commitment, as such percentage may be adjusted as provided in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LCA Election</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1.4.</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LCA Test Date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1.4.</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L/C-Related Documents</w:t>
      </w:r>
      <w:r>
        <w:rPr>
          <w:rFonts w:ascii="Arial" w:cs="Arial" w:eastAsia="Arial" w:hAnsi="Arial"/>
          <w:sz w:val="20"/>
          <w:szCs w:val="20"/>
          <w:color w:val="auto"/>
        </w:rPr>
        <w:t>”: collectively, each Letter of Credit (including any Existing Letter of Credit), all applications for any Letter of Credit (and applications for the amendment of any Letter of Credit) submitted by the Borrower to the Issuing Lender and any other document, agreement and instrument relating to any Letter of Credit, including any of the Issuing Lender’s standard form documents for letter of credit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60" w:name="page61"/>
    <w:bookmarkEnd w:id="60"/>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xml:space="preserve">”: as defined in the preamble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the context otherwise requires, each reference herein to the Lenders shall be deemed to include the Issuing Lender, the L/C Lenders, and the Swingline Lender.</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Letter of Credit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term shall include each Existing Letter of Credit.</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 Availability Period</w:t>
      </w:r>
      <w:r>
        <w:rPr>
          <w:rFonts w:ascii="Arial" w:cs="Arial" w:eastAsia="Arial" w:hAnsi="Arial"/>
          <w:sz w:val="20"/>
          <w:szCs w:val="20"/>
          <w:color w:val="auto"/>
        </w:rPr>
        <w:t>”: the period from and including the Closing Date to but excluding the Letter of Credit Maturity Date.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 Fees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 Fronting Fees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 Maturity Date</w:t>
      </w:r>
      <w:r>
        <w:rPr>
          <w:rFonts w:ascii="Arial" w:cs="Arial" w:eastAsia="Arial" w:hAnsi="Arial"/>
          <w:sz w:val="20"/>
          <w:szCs w:val="20"/>
          <w:color w:val="auto"/>
        </w:rPr>
        <w:t>”: the date occurring 15 days prior to the Revolving Termination Date then in effect (or, if such day is not a Business Day, the next preceding Business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LIBOR</w:t>
      </w:r>
      <w:r>
        <w:rPr>
          <w:rFonts w:ascii="Arial" w:cs="Arial" w:eastAsia="Arial" w:hAnsi="Arial"/>
          <w:sz w:val="20"/>
          <w:szCs w:val="20"/>
          <w:color w:val="auto"/>
        </w:rPr>
        <w:t>”: as defined in the definition of “Eurodollar Base Rate.”</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Lien</w:t>
      </w:r>
      <w:r>
        <w:rPr>
          <w:rFonts w:ascii="Arial" w:cs="Arial" w:eastAsia="Arial" w:hAnsi="Arial"/>
          <w:sz w:val="19"/>
          <w:szCs w:val="19"/>
          <w:color w:val="auto"/>
        </w:rPr>
        <w:t>”: any mortgage, deed of trust, pledge, hypothecation, collateral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spacing w:after="0" w:line="1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Limited Condition Acquisition</w:t>
      </w:r>
      <w:r>
        <w:rPr>
          <w:rFonts w:ascii="Arial" w:cs="Arial" w:eastAsia="Arial" w:hAnsi="Arial"/>
          <w:sz w:val="20"/>
          <w:szCs w:val="20"/>
          <w:color w:val="auto"/>
        </w:rPr>
        <w:t>”: any Permitted Acquisition, the consummation of which is not conditioned upon the availability of, or on obtaining, third party financing; provided, that, in the event the consummation of any such Permitted Acquisition shall not have occurred on or prior to the date that is 90 days following the signing of the applicable Limited Condition Acquisition Agreement, such Permitted Acquisition shall no longer constitute a Limited Condition Acquisition for any purpose.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Limited Condition Acquisition Agreement</w:t>
      </w:r>
      <w:r>
        <w:rPr>
          <w:rFonts w:ascii="Arial" w:cs="Arial" w:eastAsia="Arial" w:hAnsi="Arial"/>
          <w:sz w:val="19"/>
          <w:szCs w:val="19"/>
          <w:color w:val="auto"/>
        </w:rPr>
        <w:t>”: any agreement providing for a Limited Condition Acquisition.</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Loan</w:t>
      </w:r>
      <w:r>
        <w:rPr>
          <w:rFonts w:ascii="Arial" w:cs="Arial" w:eastAsia="Arial" w:hAnsi="Arial"/>
          <w:sz w:val="20"/>
          <w:szCs w:val="20"/>
          <w:color w:val="auto"/>
        </w:rPr>
        <w:t>”: any loan made or maintained by any Lender pursuant to this Agreement.</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Loan Documents</w:t>
      </w:r>
      <w:r>
        <w:rPr>
          <w:rFonts w:ascii="Arial" w:cs="Arial" w:eastAsia="Arial" w:hAnsi="Arial"/>
          <w:sz w:val="16"/>
          <w:szCs w:val="16"/>
          <w:color w:val="auto"/>
        </w:rPr>
        <w:t xml:space="preserve">”: this Agreement, each Security Document, each Note, the Fee Letter, each Assignment and Assumption, each Compliance Certificate, each Increase Joinder, each Notice of Borrowing, each Notice of Conversion/Continuation, the Solvency Certificate, the Collateral Information Certificate, each L/C-Related Document, each subordination or intercreditor agreement and any agreement creating or perfecting rights in cash collateral pursuant to the provisions of </w:t>
      </w:r>
      <w:r>
        <w:rPr>
          <w:rFonts w:ascii="Arial" w:cs="Arial" w:eastAsia="Arial" w:hAnsi="Arial"/>
          <w:sz w:val="16"/>
          <w:szCs w:val="16"/>
          <w:u w:val="single" w:color="auto"/>
          <w:color w:val="auto"/>
        </w:rPr>
        <w:t>Section 3.10</w:t>
      </w:r>
      <w:r>
        <w:rPr>
          <w:rFonts w:ascii="Arial" w:cs="Arial" w:eastAsia="Arial" w:hAnsi="Arial"/>
          <w:sz w:val="16"/>
          <w:szCs w:val="16"/>
          <w:color w:val="auto"/>
        </w:rPr>
        <w:t>, or otherwise, and any amendment, waiver, supplement or other modification to any of the foregoing, in each case, as amended, restated, amended and restated, supplemented or otherwise modified from time to time.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Loan Parties</w:t>
      </w:r>
      <w:r>
        <w:rPr>
          <w:rFonts w:ascii="Arial" w:cs="Arial" w:eastAsia="Arial" w:hAnsi="Arial"/>
          <w:sz w:val="20"/>
          <w:szCs w:val="20"/>
          <w:color w:val="auto"/>
        </w:rPr>
        <w:t>”: each Group Member that is a party to a Loan Document, as a Borrower or a Guarantor.</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Material Adverse Effect</w:t>
      </w:r>
      <w:r>
        <w:rPr>
          <w:rFonts w:ascii="Arial" w:cs="Arial" w:eastAsia="Arial" w:hAnsi="Arial"/>
          <w:sz w:val="20"/>
          <w:szCs w:val="20"/>
          <w:color w:val="auto"/>
        </w:rPr>
        <w:t>”: (a) a material adverse change in, or a material adverse effect on, the results of operations, business, assets, properties, liabilities (actual or contingent), or financial condition of the Group Members; (b) a material impairment of the rights and remedies, of the Administrative Agent and the Lenders under the Loan Documents, or of the ability of the Loan Parties, taken as a whole, to perform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61" w:name="page62"/>
    <w:bookmarkEnd w:id="61"/>
    <w:p>
      <w:pPr>
        <w:jc w:val="both"/>
        <w:ind w:right="20"/>
        <w:spacing w:after="0" w:line="260" w:lineRule="auto"/>
        <w:rPr>
          <w:sz w:val="20"/>
          <w:szCs w:val="20"/>
          <w:color w:val="auto"/>
        </w:rPr>
      </w:pPr>
      <w:r>
        <w:rPr>
          <w:rFonts w:ascii="Arial" w:cs="Arial" w:eastAsia="Arial" w:hAnsi="Arial"/>
          <w:sz w:val="20"/>
          <w:szCs w:val="20"/>
          <w:color w:val="auto"/>
        </w:rPr>
        <w:t>their obligations under the Loan Documents; or (c) a material adverse effect upon the legality, validity, binding effect or enforceability against any Loan Party of any Loan Document to which it is a party.</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Materials of Environmental Concern</w:t>
      </w:r>
      <w:r>
        <w:rPr>
          <w:rFonts w:ascii="Arial" w:cs="Arial" w:eastAsia="Arial" w:hAnsi="Arial"/>
          <w:sz w:val="20"/>
          <w:szCs w:val="20"/>
          <w:color w:val="auto"/>
        </w:rPr>
        <w:t>”: any substance, material or waste that is defined, regulated, governed or otherwise characterized under any Environmental Law as hazardous or toxic or as a pollutant or contaminant (or by words of similar meaning and regulatory effect), any petroleum or petroleum products, asbestos, polychlorinated biphenyls, urea-formaldehyde insulation, molds or fungus, and radioactivity, radiofrequency radiation at levels known to be hazardous to human health and safety.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Minority Lender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10.1(b)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Moody’s</w:t>
      </w:r>
      <w:r>
        <w:rPr>
          <w:rFonts w:ascii="Arial" w:cs="Arial" w:eastAsia="Arial" w:hAnsi="Arial"/>
          <w:sz w:val="20"/>
          <w:szCs w:val="20"/>
          <w:color w:val="auto"/>
        </w:rPr>
        <w:t>”: Moody’s Investors Service, Inc.</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Mortgaged Properties</w:t>
      </w:r>
      <w:r>
        <w:rPr>
          <w:rFonts w:ascii="Arial" w:cs="Arial" w:eastAsia="Arial" w:hAnsi="Arial"/>
          <w:sz w:val="20"/>
          <w:szCs w:val="20"/>
          <w:color w:val="auto"/>
        </w:rPr>
        <w:t xml:space="preserve">”: the real properties as to which, pursuant to </w:t>
      </w:r>
      <w:r>
        <w:rPr>
          <w:rFonts w:ascii="Arial" w:cs="Arial" w:eastAsia="Arial" w:hAnsi="Arial"/>
          <w:sz w:val="20"/>
          <w:szCs w:val="20"/>
          <w:u w:val="single" w:color="auto"/>
          <w:color w:val="auto"/>
        </w:rPr>
        <w:t>Section 6.12(b)</w:t>
      </w:r>
      <w:r>
        <w:rPr>
          <w:rFonts w:ascii="Arial" w:cs="Arial" w:eastAsia="Arial" w:hAnsi="Arial"/>
          <w:sz w:val="20"/>
          <w:szCs w:val="20"/>
          <w:color w:val="auto"/>
        </w:rPr>
        <w:t xml:space="preserve"> or otherwise, the Administrative Agent, for the benefit of the Secured Parties, shall be granted a Lien pursuant to the Mortgages; provided that for the avoidance of doubt the Sam Fonzo Property shall not be a Mortgaged Property.</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Mortgages</w:t>
      </w:r>
      <w:r>
        <w:rPr>
          <w:rFonts w:ascii="Arial" w:cs="Arial" w:eastAsia="Arial" w:hAnsi="Arial"/>
          <w:sz w:val="18"/>
          <w:szCs w:val="18"/>
          <w:color w:val="auto"/>
        </w:rPr>
        <w:t>”: each of the mortgages, deeds of trust, deeds to secure debt or such equivalent documents hereafter entered into and executed and delivered by one or more of the Loan Parties to the Administrative Agent, in each case, as such documents may be amended, restated, amended and restated, supplemented or otherwise modified, renewed or replaced from time to time and in form and substance reasonably acceptable to the Administrative Agent.</w:t>
      </w:r>
    </w:p>
    <w:p>
      <w:pPr>
        <w:spacing w:after="0" w:line="16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Multiemployer Plan</w:t>
      </w:r>
      <w:r>
        <w:rPr>
          <w:rFonts w:ascii="Arial" w:cs="Arial" w:eastAsia="Arial" w:hAnsi="Arial"/>
          <w:sz w:val="18"/>
          <w:szCs w:val="18"/>
          <w:color w:val="auto"/>
        </w:rPr>
        <w:t>”: a “multiemployer plan” (within the meaning of Section 3(37) of ERISA) to which any Loan Party or any ERISA Affiliate thereof makes, is making, or is obligated or has ever been obligated to make, contributions.</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Non-Consenting Lender</w:t>
      </w:r>
      <w:r>
        <w:rPr>
          <w:rFonts w:ascii="Arial" w:cs="Arial" w:eastAsia="Arial" w:hAnsi="Arial"/>
          <w:sz w:val="20"/>
          <w:szCs w:val="20"/>
          <w:color w:val="auto"/>
        </w:rPr>
        <w:t xml:space="preserve">”: any Lender that does not approve any consent, waiver or amendment that (a) requires the approval of all Affected Lenders in accordance with the terms of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and (b) has been approved by the Required Lenders.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Non-Defaulting Lender</w:t>
      </w:r>
      <w:r>
        <w:rPr>
          <w:rFonts w:ascii="Arial" w:cs="Arial" w:eastAsia="Arial" w:hAnsi="Arial"/>
          <w:sz w:val="20"/>
          <w:szCs w:val="20"/>
          <w:color w:val="auto"/>
        </w:rPr>
        <w:t>”: at any time, each Lender that is not a Defaulting Lender at such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Note</w:t>
      </w:r>
      <w:r>
        <w:rPr>
          <w:rFonts w:ascii="Arial" w:cs="Arial" w:eastAsia="Arial" w:hAnsi="Arial"/>
          <w:sz w:val="20"/>
          <w:szCs w:val="20"/>
          <w:color w:val="auto"/>
        </w:rPr>
        <w:t>”: a Revolving Loan Note or a Swingline Loan Note.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Notice of Borrowing</w:t>
      </w:r>
      <w:r>
        <w:rPr>
          <w:rFonts w:ascii="Arial" w:cs="Arial" w:eastAsia="Arial" w:hAnsi="Arial"/>
          <w:sz w:val="20"/>
          <w:szCs w:val="20"/>
          <w:color w:val="auto"/>
        </w:rPr>
        <w:t xml:space="preserve">”: a notice substantially in the form of </w:t>
      </w:r>
      <w:r>
        <w:rPr>
          <w:rFonts w:ascii="Arial" w:cs="Arial" w:eastAsia="Arial" w:hAnsi="Arial"/>
          <w:sz w:val="20"/>
          <w:szCs w:val="20"/>
          <w:u w:val="single" w:color="auto"/>
          <w:color w:val="auto"/>
        </w:rPr>
        <w:t>Exhibit K</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Notice of Conversion/Continuation</w:t>
      </w:r>
      <w:r>
        <w:rPr>
          <w:rFonts w:ascii="Arial" w:cs="Arial" w:eastAsia="Arial" w:hAnsi="Arial"/>
          <w:sz w:val="20"/>
          <w:szCs w:val="20"/>
          <w:color w:val="auto"/>
        </w:rPr>
        <w:t xml:space="preserve">”: a notice substantially in the form of </w:t>
      </w:r>
      <w:r>
        <w:rPr>
          <w:rFonts w:ascii="Arial" w:cs="Arial" w:eastAsia="Arial" w:hAnsi="Arial"/>
          <w:sz w:val="20"/>
          <w:szCs w:val="20"/>
          <w:u w:val="single" w:color="auto"/>
          <w:color w:val="auto"/>
        </w:rPr>
        <w:t>Exhibit L</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Obligations</w:t>
      </w:r>
      <w:r>
        <w:rPr>
          <w:rFonts w:ascii="Arial" w:cs="Arial" w:eastAsia="Arial" w:hAnsi="Arial"/>
          <w:sz w:val="19"/>
          <w:szCs w:val="19"/>
          <w:color w:val="auto"/>
        </w:rPr>
        <w:t>”: the unpaid principal of and interest on (including interest accruing after the maturity of the Loans and interest accruing after the filing of any petition in bankruptcy, or the commencement of any Insolvency Proceeding relating to any Loan Party, whether or not a claim for post-filing or post-petition interest is allowed or allowable in such proceeding) the Loans and all other obligations and liabilities (including any fees or expenses that accrue after the filing of any petition in bankruptcy, or the commencement of any insolvency, reorganization or like proceeding, relating to any Loan Party, whether or not a claim for post-filing or post-petition interest is allowed or allowable in such proceeding) of the Loan Parties (and the other Group Members in the cash of obligations in respect of Cash Management Services) to the Administrative Agent, the Issuing Lender, any other Lender, any applicable Cash Management Bank, and any Qualified Counterparty, whether direct or indirect, absolute or contingent, due or to become due, or now existing or hereafter incurred, which may arise under, out of, or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62" w:name="page63"/>
    <w:bookmarkEnd w:id="62"/>
    <w:p>
      <w:pPr>
        <w:jc w:val="both"/>
        <w:spacing w:after="0" w:line="309" w:lineRule="auto"/>
        <w:rPr>
          <w:sz w:val="20"/>
          <w:szCs w:val="20"/>
          <w:color w:val="auto"/>
        </w:rPr>
      </w:pPr>
      <w:r>
        <w:rPr>
          <w:rFonts w:ascii="Arial" w:cs="Arial" w:eastAsia="Arial" w:hAnsi="Arial"/>
          <w:sz w:val="16"/>
          <w:szCs w:val="16"/>
          <w:color w:val="auto"/>
        </w:rPr>
        <w:t>with, this Agreement, any other Loan Document, the Letters of Credit, any Cash Management Agreement, any Specified Swap Agreement or any other document made, delivered or given in connection herewith or therewith, whether on account of principal, interest, reimbursement obligations, payment obligations, fees, indemnities, costs, expenses (including all reasonable and documented out-of-pocket fees, charges and disbursements of counsel to the Administrative Agent, the Issuing Lender, any other Lender, any applicable Cash Management Bank, to the extent that any applicable Cash Management Agreement requires the reimbursement by any applicable Group Member of any such expenses, and any Qualified Counterparty) that are required to be paid by any Group Member pursuant any Loan Document, Cash Management Agreement, Specified Swap Agreement or otherwise. For the avoidance of doubt, the Obligations shall not include (a) any obligations arising under any warrants or other equity instruments issued by any Loan Party to any Lender, or (b) solely with respect to any Guarantor that is not a Qualified ECP Guarantor, any Excluded Swap Obligations of such Guarantor.</w:t>
      </w: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OFAC</w:t>
      </w:r>
      <w:r>
        <w:rPr>
          <w:rFonts w:ascii="Arial" w:cs="Arial" w:eastAsia="Arial" w:hAnsi="Arial"/>
          <w:sz w:val="18"/>
          <w:szCs w:val="18"/>
          <w:color w:val="auto"/>
        </w:rPr>
        <w:t>”: the Office of Foreign Assets Control of the United States Department of the Treasury and any successor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thereto.</w:t>
      </w:r>
    </w:p>
    <w:p>
      <w:pPr>
        <w:spacing w:after="0" w:line="20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Operating Documents</w:t>
      </w:r>
      <w:r>
        <w:rPr>
          <w:rFonts w:ascii="Arial" w:cs="Arial" w:eastAsia="Arial" w:hAnsi="Arial"/>
          <w:sz w:val="18"/>
          <w:szCs w:val="18"/>
          <w:color w:val="auto"/>
        </w:rPr>
        <w:t>”: for any Person as of any date, such Person’s constitutional documents, formation documents and/or certificate of incorporation (or equivalent thereof), and, (a) if such Person is a corporation, its bylaws or memorandum and articles of association (or equivalent thereof)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Other Connection Taxes</w:t>
      </w:r>
      <w:r>
        <w:rPr>
          <w:rFonts w:ascii="Arial" w:cs="Arial" w:eastAsia="Arial" w:hAnsi="Arial"/>
          <w:sz w:val="20"/>
          <w:szCs w:val="20"/>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Other Taxes</w:t>
      </w:r>
      <w:r>
        <w:rPr>
          <w:rFonts w:ascii="Arial" w:cs="Arial" w:eastAsia="Arial" w:hAnsi="Arial"/>
          <w:sz w:val="20"/>
          <w:szCs w:val="20"/>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2.23</w:t>
      </w:r>
      <w:r>
        <w:rPr>
          <w:rFonts w:ascii="Arial" w:cs="Arial" w:eastAsia="Arial" w:hAnsi="Arial"/>
          <w:sz w:val="20"/>
          <w:szCs w:val="20"/>
          <w:color w:val="auto"/>
        </w:rPr>
        <w: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Overadvance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2.8</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10.6(d)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 Register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10.6(d)</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Patriot Act</w:t>
      </w:r>
      <w:r>
        <w:rPr>
          <w:rFonts w:ascii="Arial" w:cs="Arial" w:eastAsia="Arial" w:hAnsi="Arial"/>
          <w:sz w:val="18"/>
          <w:szCs w:val="18"/>
          <w:color w:val="auto"/>
        </w:rPr>
        <w:t>”: the Uniting and Strengthening America by Providing Appropriate Tools Required to Intercept and Obstruct Terrorism (USA PATRIOT ACT) Act of 2001, Title III of Pub. L. 107-56, signed into law October 26, 2001.</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PBGC</w:t>
      </w:r>
      <w:r>
        <w:rPr>
          <w:rFonts w:ascii="Arial" w:cs="Arial" w:eastAsia="Arial" w:hAnsi="Arial"/>
          <w:sz w:val="20"/>
          <w:szCs w:val="20"/>
          <w:color w:val="auto"/>
        </w:rPr>
        <w:t>”: the Pension Benefit Guaranty Corporation, or any successor thereto.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Pension Plan</w:t>
      </w:r>
      <w:r>
        <w:rPr>
          <w:rFonts w:ascii="Arial" w:cs="Arial" w:eastAsia="Arial" w:hAnsi="Arial"/>
          <w:sz w:val="18"/>
          <w:szCs w:val="18"/>
          <w:color w:val="auto"/>
        </w:rPr>
        <w:t>”: an employee benefit plan (as defined in Section 3(3) of ERISA) other than a Multiemployer Plan</w:t>
      </w:r>
    </w:p>
    <w:p>
      <w:pPr>
        <w:spacing w:after="0" w:line="39" w:lineRule="exact"/>
        <w:rPr>
          <w:sz w:val="20"/>
          <w:szCs w:val="20"/>
          <w:color w:val="auto"/>
        </w:rPr>
      </w:pPr>
    </w:p>
    <w:p>
      <w:pPr>
        <w:ind w:firstLine="8"/>
        <w:spacing w:after="0" w:line="244" w:lineRule="auto"/>
        <w:tabs>
          <w:tab w:leader="none" w:pos="286"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that is or was at any time maintained or sponsored by any Loan Party or any ERISA Affiliate thereof or to which any Loan Party or any ERISA Affiliate thereof has ever made, or was obligated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63" w:name="page64"/>
    <w:bookmarkEnd w:id="63"/>
    <w:p>
      <w:pPr>
        <w:ind w:right="20"/>
        <w:spacing w:after="0" w:line="260" w:lineRule="auto"/>
        <w:rPr>
          <w:sz w:val="20"/>
          <w:szCs w:val="20"/>
          <w:color w:val="auto"/>
        </w:rPr>
      </w:pPr>
      <w:r>
        <w:rPr>
          <w:rFonts w:ascii="Arial" w:cs="Arial" w:eastAsia="Arial" w:hAnsi="Arial"/>
          <w:sz w:val="20"/>
          <w:szCs w:val="20"/>
          <w:color w:val="auto"/>
        </w:rPr>
        <w:t>to make, contributions, and (b) that is or was subject to Section 412 of the Code, Section 302 of ERISA or Title IV of ERISA.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Permitted Acquisition</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7.8(n)</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 an employee benefit plan (as defined in Section 3(3) of ERISA) other than a Multiemployer Plan which is or was at any time maintained or sponsored by any Group Member or to which any Group Member has ever made, or was obligated to make, contributions, (b) a Pension Plan, or (c) a Qualified Plan.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Platform</w:t>
      </w:r>
      <w:r>
        <w:rPr>
          <w:rFonts w:ascii="Arial" w:cs="Arial" w:eastAsia="Arial" w:hAnsi="Arial"/>
          <w:sz w:val="18"/>
          <w:szCs w:val="18"/>
          <w:color w:val="auto"/>
        </w:rPr>
        <w:t>”:  is any of Debt Domain, Intralinks, Syndtrak, Debtx or a substantially similar electronic transmission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system.</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Preferred Stock</w:t>
      </w:r>
      <w:r>
        <w:rPr>
          <w:rFonts w:ascii="Arial" w:cs="Arial" w:eastAsia="Arial" w:hAnsi="Arial"/>
          <w:sz w:val="20"/>
          <w:szCs w:val="20"/>
          <w:color w:val="auto"/>
        </w:rPr>
        <w:t>”: the preferred Capital Stock of the Borrower, if any.</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Prime Rate</w:t>
      </w:r>
      <w:r>
        <w:rPr>
          <w:rFonts w:ascii="Arial" w:cs="Arial" w:eastAsia="Arial" w:hAnsi="Arial"/>
          <w:sz w:val="18"/>
          <w:szCs w:val="18"/>
          <w:color w:val="auto"/>
        </w:rPr>
        <w:t xml:space="preserve">”: the rate of interest per annum published in the money rates section of the Wall Street Journal or any successor publication thereto as the “prime rate”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rate of interest, as set forth from time to time in the money rates section of the Wall Street Journal, becomes unavailable for any reason as determined by the Administrative Agent, the “Prime Rate” shall mean the rate of interest per annum announced by the Administrative Agent as its prime rate in effect at its principal office (such announced Prime Rate not being intended to be the lowest rate of interest charged by the Administrative Agent in connection with extensions of credit to debtors).</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 Forma Basis</w:t>
      </w:r>
      <w:r>
        <w:rPr>
          <w:rFonts w:ascii="Arial" w:cs="Arial" w:eastAsia="Arial" w:hAnsi="Arial"/>
          <w:sz w:val="20"/>
          <w:szCs w:val="20"/>
          <w:color w:val="auto"/>
        </w:rPr>
        <w:t>”: with respect to any calculation or determination for any period, in making such calculation or determination on the specified date of determination (the “</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w:t>
      </w:r>
    </w:p>
    <w:p>
      <w:pPr>
        <w:spacing w:after="0" w:line="177" w:lineRule="exact"/>
        <w:rPr>
          <w:sz w:val="20"/>
          <w:szCs w:val="20"/>
          <w:color w:val="auto"/>
        </w:rPr>
      </w:pPr>
    </w:p>
    <w:p>
      <w:pPr>
        <w:jc w:val="both"/>
        <w:ind w:firstLine="1304"/>
        <w:spacing w:after="0" w:line="263" w:lineRule="auto"/>
        <w:tabs>
          <w:tab w:leader="none" w:pos="1944" w:val="left"/>
        </w:tabs>
        <w:numPr>
          <w:ilvl w:val="1"/>
          <w:numId w:val="23"/>
        </w:numPr>
        <w:rPr>
          <w:rFonts w:ascii="Arial" w:cs="Arial" w:eastAsia="Arial" w:hAnsi="Arial"/>
          <w:sz w:val="19"/>
          <w:szCs w:val="19"/>
          <w:color w:val="auto"/>
        </w:rPr>
      </w:pPr>
      <w:r>
        <w:rPr>
          <w:rFonts w:ascii="Arial" w:cs="Arial" w:eastAsia="Arial" w:hAnsi="Arial"/>
          <w:sz w:val="19"/>
          <w:szCs w:val="19"/>
          <w:color w:val="auto"/>
        </w:rPr>
        <w:t>pro forma effect will be given to any Indebtedness incurred by a Group Member (including by assumption of then outstanding Indebtedness or by a Person becoming a Subsidiary) (“</w:t>
      </w:r>
      <w:r>
        <w:rPr>
          <w:rFonts w:ascii="Arial" w:cs="Arial" w:eastAsia="Arial" w:hAnsi="Arial"/>
          <w:sz w:val="19"/>
          <w:szCs w:val="19"/>
          <w:b w:val="1"/>
          <w:bCs w:val="1"/>
          <w:i w:val="1"/>
          <w:iCs w:val="1"/>
          <w:color w:val="auto"/>
        </w:rPr>
        <w:t>Incurred</w:t>
      </w:r>
      <w:r>
        <w:rPr>
          <w:rFonts w:ascii="Arial" w:cs="Arial" w:eastAsia="Arial" w:hAnsi="Arial"/>
          <w:sz w:val="19"/>
          <w:szCs w:val="19"/>
          <w:color w:val="auto"/>
        </w:rPr>
        <w:t>”) after the beginning of the applicable period and on or before the Determination Date to the extent the Indebtedness is outstanding or is to be Incurred on the Determination Date, as if such Indebtedness had been Incurred on the first day of such period;</w:t>
      </w:r>
    </w:p>
    <w:p>
      <w:pPr>
        <w:spacing w:after="0" w:line="176" w:lineRule="exact"/>
        <w:rPr>
          <w:rFonts w:ascii="Arial" w:cs="Arial" w:eastAsia="Arial" w:hAnsi="Arial"/>
          <w:sz w:val="19"/>
          <w:szCs w:val="19"/>
          <w:color w:val="auto"/>
        </w:rPr>
      </w:pPr>
    </w:p>
    <w:p>
      <w:pPr>
        <w:jc w:val="both"/>
        <w:ind w:firstLine="1304"/>
        <w:spacing w:after="0" w:line="250" w:lineRule="auto"/>
        <w:tabs>
          <w:tab w:leader="none" w:pos="1944" w:val="left"/>
        </w:tabs>
        <w:numPr>
          <w:ilvl w:val="1"/>
          <w:numId w:val="23"/>
        </w:numPr>
        <w:rPr>
          <w:rFonts w:ascii="Arial" w:cs="Arial" w:eastAsia="Arial" w:hAnsi="Arial"/>
          <w:sz w:val="20"/>
          <w:szCs w:val="20"/>
          <w:color w:val="auto"/>
        </w:rPr>
      </w:pPr>
      <w:r>
        <w:rPr>
          <w:rFonts w:ascii="Arial" w:cs="Arial" w:eastAsia="Arial" w:hAnsi="Arial"/>
          <w:sz w:val="20"/>
          <w:szCs w:val="20"/>
          <w:color w:val="auto"/>
        </w:rPr>
        <w:t>pro forma calculations of interest on Indebtedness bearing a floating interest rate will be made as if the rate in effect on the Determination Date (taking into account any Swap Agreement applicable to the Indebtedness) had been the applicable rate for the entire reference period; and</w:t>
      </w:r>
    </w:p>
    <w:p>
      <w:pPr>
        <w:spacing w:after="0" w:line="185" w:lineRule="exact"/>
        <w:rPr>
          <w:rFonts w:ascii="Arial" w:cs="Arial" w:eastAsia="Arial" w:hAnsi="Arial"/>
          <w:sz w:val="20"/>
          <w:szCs w:val="20"/>
          <w:color w:val="auto"/>
        </w:rPr>
      </w:pPr>
    </w:p>
    <w:p>
      <w:pPr>
        <w:jc w:val="both"/>
        <w:ind w:firstLine="1304"/>
        <w:spacing w:after="0" w:line="244" w:lineRule="auto"/>
        <w:tabs>
          <w:tab w:leader="none" w:pos="1944" w:val="left"/>
        </w:tabs>
        <w:numPr>
          <w:ilvl w:val="1"/>
          <w:numId w:val="23"/>
        </w:numPr>
        <w:rPr>
          <w:rFonts w:ascii="Arial" w:cs="Arial" w:eastAsia="Arial" w:hAnsi="Arial"/>
          <w:sz w:val="20"/>
          <w:szCs w:val="20"/>
          <w:color w:val="auto"/>
        </w:rPr>
      </w:pPr>
      <w:r>
        <w:rPr>
          <w:rFonts w:ascii="Arial" w:cs="Arial" w:eastAsia="Arial" w:hAnsi="Arial"/>
          <w:sz w:val="20"/>
          <w:szCs w:val="20"/>
          <w:color w:val="auto"/>
        </w:rPr>
        <w:t>Consolidated Fixed Charges related to any Indebtedness no longer outstanding or to be repaid or redeemed on the Determination Date, except for Consolidated Interest Expense accrued during the reference period under a revolving credit to the extent of the commitment thereunder (or under any successor revolving credit) in effect on the Determination Date, will be excluded as if such Indebtedness was no longer outstanding or was repaid or redeemed on the first day of such period;</w:t>
      </w:r>
    </w:p>
    <w:p>
      <w:pPr>
        <w:spacing w:after="0" w:line="194" w:lineRule="exact"/>
        <w:rPr>
          <w:rFonts w:ascii="Arial" w:cs="Arial" w:eastAsia="Arial" w:hAnsi="Arial"/>
          <w:sz w:val="20"/>
          <w:szCs w:val="20"/>
          <w:color w:val="auto"/>
        </w:rPr>
      </w:pPr>
    </w:p>
    <w:p>
      <w:pPr>
        <w:jc w:val="both"/>
        <w:ind w:firstLine="1304"/>
        <w:spacing w:after="0" w:line="272" w:lineRule="auto"/>
        <w:tabs>
          <w:tab w:leader="none" w:pos="1944" w:val="left"/>
        </w:tabs>
        <w:numPr>
          <w:ilvl w:val="1"/>
          <w:numId w:val="23"/>
        </w:numPr>
        <w:rPr>
          <w:rFonts w:ascii="Arial" w:cs="Arial" w:eastAsia="Arial" w:hAnsi="Arial"/>
          <w:sz w:val="18"/>
          <w:szCs w:val="18"/>
          <w:color w:val="auto"/>
        </w:rPr>
      </w:pPr>
      <w:r>
        <w:rPr>
          <w:rFonts w:ascii="Arial" w:cs="Arial" w:eastAsia="Arial" w:hAnsi="Arial"/>
          <w:sz w:val="18"/>
          <w:szCs w:val="18"/>
          <w:color w:val="auto"/>
        </w:rPr>
        <w:t>pro forma effect will be given to: (A) the acquisition or disposition of companies, divisions or lines of businesses by a Group Member, including any acquisition or disposition of a company, division or line of business since the beginning of the reference period by a Person that became a Subsidiary after the beginning of the applicable period; and</w:t>
      </w:r>
    </w:p>
    <w:p>
      <w:pPr>
        <w:jc w:val="both"/>
        <w:ind w:firstLine="8"/>
        <w:spacing w:after="0" w:line="241" w:lineRule="auto"/>
        <w:tabs>
          <w:tab w:leader="none" w:pos="315"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discontinuation of any discontinued operations but, in the case of Consolidated Fixed Charges, only to the extent that the obligations giving rise to Consolidated Fixed Charges will not be obligations of the Group Members following the Determination Date;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64" w:name="page65"/>
    <w:bookmarkEnd w:id="64"/>
    <w:p>
      <w:pPr>
        <w:jc w:val="both"/>
        <w:spacing w:after="0" w:line="257" w:lineRule="auto"/>
        <w:rPr>
          <w:sz w:val="20"/>
          <w:szCs w:val="20"/>
          <w:color w:val="auto"/>
        </w:rPr>
      </w:pPr>
      <w:r>
        <w:rPr>
          <w:rFonts w:ascii="Arial" w:cs="Arial" w:eastAsia="Arial" w:hAnsi="Arial"/>
          <w:sz w:val="19"/>
          <w:szCs w:val="19"/>
          <w:color w:val="auto"/>
        </w:rPr>
        <w:t>case of clauses (A) and (B), that have occurred since the beginning of the applicable period and before the Determination Date as if such events had occurred, and, in the case of any disposition, the proceeds thereof applied, on the first day of such period. To the extent that pro forma effect is to be given to an acquisition or disposition of a company, division or line of business, the pro forma calculation will be calculated taking into account such additional addbacks or adjustments (without duplication of any addbacks or adjustments contemplated in the definition of Consolidated Adjusted EBITDA as are (x) reflected in a quality of earnings report by an accounting firm of nationally recognized standing and reasonably acceptable to the Administrative Agent, (y) as are permitted by SEC Regulation S-X or (z) otherwise reasonably satisfactory to the Administrative Agent.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Projections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6.2(c)</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Properties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4.17(a)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Qualified Counterparty</w:t>
      </w:r>
      <w:r>
        <w:rPr>
          <w:rFonts w:ascii="Arial" w:cs="Arial" w:eastAsia="Arial" w:hAnsi="Arial"/>
          <w:sz w:val="19"/>
          <w:szCs w:val="19"/>
          <w:color w:val="auto"/>
        </w:rPr>
        <w:t>”: with respect to any Specified Swap Agreement, any counterparty thereto that is a Lender or an Affiliate of a Lender or, at the time such Specified Swap Agreement was entered into or as of the Closing Date, was the Administrative Agent or a Lender or an Affiliate of the Administrative Agent or a Lender.</w:t>
      </w:r>
    </w:p>
    <w:p>
      <w:pPr>
        <w:spacing w:after="0" w:line="17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Qualified ECP Guarantor</w:t>
      </w:r>
      <w:r>
        <w:rPr>
          <w:rFonts w:ascii="Arial" w:cs="Arial" w:eastAsia="Arial" w:hAnsi="Arial"/>
          <w:sz w:val="20"/>
          <w:szCs w:val="20"/>
          <w:color w:val="auto"/>
        </w:rPr>
        <w:t>”: in respect of any Swap Obligation, (a) each Guarantor that has total assets exceeding $10,000,000 at the time the relevant Guarantee Obligation of such Guarantor provided in respect of, or the Lien granted by such Guarantor to secure, such Swap Obligation (or guaranty thereof) becomes effective with respect to such Swap Obligation, and (b) any other Guarantor that (i) constitutes an “eligible contract participant” under the Commodity Exchange Act or any regulations promulgated thereunder, or (ii) can cause another Person (including, for the avoidance of doubt, any other Guarantor not then constituting a “Qualified ECP Guarantor”) to qualify as an “eligible contract participant” at such time by entering into a “keepwell, support, or other agreement” as contemplated by Section 1a(18)(A)(v)(II) of the Commodity Exchange Act.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Plan</w:t>
      </w:r>
      <w:r>
        <w:rPr>
          <w:rFonts w:ascii="Arial" w:cs="Arial" w:eastAsia="Arial" w:hAnsi="Arial"/>
          <w:sz w:val="18"/>
          <w:szCs w:val="18"/>
          <w:color w:val="auto"/>
        </w:rPr>
        <w:t>”: an employee benefit plan (as defined in Section 3(3) of ERISA) other than a Multiemployer Plan</w:t>
      </w:r>
    </w:p>
    <w:p>
      <w:pPr>
        <w:spacing w:after="0" w:line="39" w:lineRule="exact"/>
        <w:rPr>
          <w:sz w:val="20"/>
          <w:szCs w:val="20"/>
          <w:color w:val="auto"/>
        </w:rPr>
      </w:pPr>
    </w:p>
    <w:p>
      <w:pPr>
        <w:jc w:val="both"/>
        <w:ind w:firstLine="8"/>
        <w:spacing w:after="0" w:line="241" w:lineRule="auto"/>
        <w:tabs>
          <w:tab w:leader="none" w:pos="286"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that is or was at any time maintained or sponsored by any Loan Party or any ERISA Affiliate thereof or to which any Loan Party or any ERISA Affiliate thereof has ever made, or was ever obligated to make, contributions, and (b) that is intended to be tax-qualified under Section 401(a) of the Code.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Recipient</w:t>
      </w:r>
      <w:r>
        <w:rPr>
          <w:rFonts w:ascii="Arial" w:cs="Arial" w:eastAsia="Arial" w:hAnsi="Arial"/>
          <w:sz w:val="20"/>
          <w:szCs w:val="20"/>
          <w:color w:val="auto"/>
        </w:rPr>
        <w:t>”: the (a) Administrative Agent, (b) any Lender or (c) the Issuing Lender, as applicable.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Refunded Swingline Loans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2.7(b)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Register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10.6(c)</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Regulation T</w:t>
      </w:r>
      <w:r>
        <w:rPr>
          <w:rFonts w:ascii="Arial" w:cs="Arial" w:eastAsia="Arial" w:hAnsi="Arial"/>
          <w:sz w:val="20"/>
          <w:szCs w:val="20"/>
          <w:color w:val="auto"/>
        </w:rPr>
        <w:t>”: Regulation T of the Board as in effect from time to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Regulation U</w:t>
      </w:r>
      <w:r>
        <w:rPr>
          <w:rFonts w:ascii="Arial" w:cs="Arial" w:eastAsia="Arial" w:hAnsi="Arial"/>
          <w:sz w:val="20"/>
          <w:szCs w:val="20"/>
          <w:color w:val="auto"/>
        </w:rPr>
        <w:t>”: Regulation U of the Board as in effect from time to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Regulation X</w:t>
      </w:r>
      <w:r>
        <w:rPr>
          <w:rFonts w:ascii="Arial" w:cs="Arial" w:eastAsia="Arial" w:hAnsi="Arial"/>
          <w:sz w:val="20"/>
          <w:szCs w:val="20"/>
          <w:color w:val="auto"/>
        </w:rPr>
        <w:t>”: Regulation X of the Board as in effect from time to time.</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Related Parties</w:t>
      </w:r>
      <w:r>
        <w:rPr>
          <w:rFonts w:ascii="Arial" w:cs="Arial" w:eastAsia="Arial" w:hAnsi="Arial"/>
          <w:sz w:val="20"/>
          <w:szCs w:val="20"/>
          <w:color w:val="auto"/>
        </w:rPr>
        <w:t>”: with respect to any Person, such Person’s Affiliates and the partners, directors, officers, employees, agents, trustees, administrators, managers, advisors and representatives of such Person and of such Person’s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65" w:name="page66"/>
    <w:bookmarkEnd w:id="6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Replacement Lender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Lenders</w:t>
      </w:r>
      <w:r>
        <w:rPr>
          <w:rFonts w:ascii="Arial" w:cs="Arial" w:eastAsia="Arial" w:hAnsi="Arial"/>
          <w:sz w:val="18"/>
          <w:szCs w:val="18"/>
          <w:color w:val="auto"/>
        </w:rPr>
        <w:t>”: at any time, (a) if only one Lender holds the Total Revolving Commitments, such Lender; and</w:t>
      </w:r>
    </w:p>
    <w:p>
      <w:pPr>
        <w:spacing w:after="0" w:line="39" w:lineRule="exact"/>
        <w:rPr>
          <w:sz w:val="20"/>
          <w:szCs w:val="20"/>
          <w:color w:val="auto"/>
        </w:rPr>
      </w:pPr>
    </w:p>
    <w:p>
      <w:pPr>
        <w:jc w:val="both"/>
        <w:ind w:firstLine="8"/>
        <w:spacing w:after="0" w:line="272" w:lineRule="auto"/>
        <w:tabs>
          <w:tab w:leader="none" w:pos="282"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if more than one Lender holds the Total Revolving Commitments, then at least two Lenders who together hold more than 50% of the Total Revolving Commitments (including, without duplication, the L/C Commitments) then in effect or, if the Revolving Commitments have been terminated, the Total Revolving Extensions of Credit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purposes of this clause (b), the Revolving Commitments of, and the portion of the Revolving Loans and participations in L/C Exposure and Swingline Loans held or deemed held by, any Defaulting Lender shall be excluded for purposes of making a determination of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a Lender and its Affiliates shall be deemed one Lender.</w:t>
      </w:r>
    </w:p>
    <w:p>
      <w:pPr>
        <w:spacing w:after="0" w:line="17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Requirement of Law</w:t>
      </w:r>
      <w:r>
        <w:rPr>
          <w:rFonts w:ascii="Arial" w:cs="Arial" w:eastAsia="Arial" w:hAnsi="Arial"/>
          <w:sz w:val="20"/>
          <w:szCs w:val="20"/>
          <w:color w:val="auto"/>
        </w:rPr>
        <w:t>”: as to any Person, the Operating Documents of such Person, and any law, treaty, rule or regulation or determination of an arbitrator or a court or other Governmental Authority (including, for the avoidance of doubt, the Basel Committee on Banking Supervision and any successor thereto or similar authority or successor thereto), in each case applicable to or binding upon such Person or any of its property or to which such Person or any of its property is subject.</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Responsible Officer</w:t>
      </w:r>
      <w:r>
        <w:rPr>
          <w:rFonts w:ascii="Arial" w:cs="Arial" w:eastAsia="Arial" w:hAnsi="Arial"/>
          <w:sz w:val="20"/>
          <w:szCs w:val="20"/>
          <w:color w:val="auto"/>
        </w:rPr>
        <w:t>”: with respect to any Loan Party, the chief executive officer, president, vice president, chief financial officer, chief accounting officer, treasurer, general counsel, controller or comptroller of such Loan Party, but in any event, with respect to financial matters, the chief financial officer, chief accounting officer, treasurer, controller or comptroller of such Loan Party.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Payments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7.6</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Commitment</w:t>
      </w:r>
      <w:r>
        <w:rPr>
          <w:rFonts w:ascii="Arial" w:cs="Arial" w:eastAsia="Arial" w:hAnsi="Arial"/>
          <w:sz w:val="18"/>
          <w:szCs w:val="18"/>
          <w:color w:val="auto"/>
        </w:rPr>
        <w:t xml:space="preserve">”: as to any Lender, the obligation of such Lender, if any, to make Revolving Loans and participate in Swingline Loans and Letters of Credit in an aggregate principal amount not to exceed the amount set forth under the heading “Revolving Commitment” opposite such Lender’s name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or in the Assignment and Assumption or Increase Joinder pursuant to which such Lender became a party hereto, as the same may be changed from time to time pursuant to the terms hereof (including in connection with assignments and Increases permitted hereunder). The amount of the Total Revolving Commitments as of the Closing Date is $40,000,000. The L/C Commitment and the Swingline Commitment are each sublimits of the Total Revolving Commitments.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Commitment Period</w:t>
      </w:r>
      <w:r>
        <w:rPr>
          <w:rFonts w:ascii="Arial" w:cs="Arial" w:eastAsia="Arial" w:hAnsi="Arial"/>
          <w:sz w:val="18"/>
          <w:szCs w:val="18"/>
          <w:color w:val="auto"/>
        </w:rPr>
        <w:t>”:  the period from and including the Closing Date to the Revolving Termination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Extensions of Credit</w:t>
      </w:r>
      <w:r>
        <w:rPr>
          <w:rFonts w:ascii="Arial" w:cs="Arial" w:eastAsia="Arial" w:hAnsi="Arial"/>
          <w:sz w:val="20"/>
          <w:szCs w:val="20"/>
          <w:color w:val="auto"/>
        </w:rPr>
        <w:t xml:space="preserve">”: as to any Revolving Lender at any time, an amount equal to the </w:t>
      </w:r>
      <w:r>
        <w:rPr>
          <w:rFonts w:ascii="Arial" w:cs="Arial" w:eastAsia="Arial" w:hAnsi="Arial"/>
          <w:sz w:val="20"/>
          <w:szCs w:val="20"/>
          <w:u w:val="single" w:color="auto"/>
          <w:color w:val="auto"/>
        </w:rPr>
        <w:t>sum</w:t>
      </w:r>
      <w:r>
        <w:rPr>
          <w:rFonts w:ascii="Arial" w:cs="Arial" w:eastAsia="Arial" w:hAnsi="Arial"/>
          <w:sz w:val="20"/>
          <w:szCs w:val="20"/>
          <w:color w:val="auto"/>
        </w:rPr>
        <w:t xml:space="preserve"> of (a) the aggregate principal amount of all Revolving Loans held by such Lender then outstanding,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such Lender’s L/C Percentage of the aggregate undrawn amount of all outstanding Letters of Credit (including the Existing Letter of Credit)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such Lender’s L/C Percentage of the aggregate amount of all L/C Disbursements that have not yet been reimbursed or converted into Revolving Loans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(d) such Lender’s Revolving Percentage of the aggregate principal amount of Swingline Loans then outstanding.</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Facility</w:t>
      </w:r>
      <w:r>
        <w:rPr>
          <w:rFonts w:ascii="Arial" w:cs="Arial" w:eastAsia="Arial" w:hAnsi="Arial"/>
          <w:sz w:val="20"/>
          <w:szCs w:val="20"/>
          <w:color w:val="auto"/>
        </w:rPr>
        <w:t>”: the Revolving Commitments and the extensions of credit made thereunder.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Lender</w:t>
      </w:r>
      <w:r>
        <w:rPr>
          <w:rFonts w:ascii="Arial" w:cs="Arial" w:eastAsia="Arial" w:hAnsi="Arial"/>
          <w:sz w:val="20"/>
          <w:szCs w:val="20"/>
          <w:color w:val="auto"/>
        </w:rPr>
        <w:t>”: each Lender that has a Revolving Commitment or that holds Revolving Loans.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Loan Conversion</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3.5(b)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66" w:name="page67"/>
    <w:bookmarkEnd w:id="66"/>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Loan Funding Office</w:t>
      </w:r>
      <w:r>
        <w:rPr>
          <w:rFonts w:ascii="Arial" w:cs="Arial" w:eastAsia="Arial" w:hAnsi="Arial"/>
          <w:sz w:val="20"/>
          <w:szCs w:val="20"/>
          <w:color w:val="auto"/>
        </w:rPr>
        <w:t xml:space="preserve">”: the office of the Administrative Agent specified in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or such other office as may be specified from time to time by the Administrative Agent as its funding office by written notice to the Borrower and the Lenders.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Loan Note</w:t>
      </w:r>
      <w:r>
        <w:rPr>
          <w:rFonts w:ascii="Arial" w:cs="Arial" w:eastAsia="Arial" w:hAnsi="Arial"/>
          <w:sz w:val="20"/>
          <w:szCs w:val="20"/>
          <w:color w:val="auto"/>
        </w:rPr>
        <w:t xml:space="preserve">”: a promissory note in the form of </w:t>
      </w:r>
      <w:r>
        <w:rPr>
          <w:rFonts w:ascii="Arial" w:cs="Arial" w:eastAsia="Arial" w:hAnsi="Arial"/>
          <w:sz w:val="20"/>
          <w:szCs w:val="20"/>
          <w:u w:val="single" w:color="auto"/>
          <w:color w:val="auto"/>
        </w:rPr>
        <w:t>Exhibit H-1</w:t>
      </w:r>
      <w:r>
        <w:rPr>
          <w:rFonts w:ascii="Arial" w:cs="Arial" w:eastAsia="Arial" w:hAnsi="Arial"/>
          <w:sz w:val="20"/>
          <w:szCs w:val="20"/>
          <w:color w:val="auto"/>
        </w:rPr>
        <w:t>, as it may be amended, supplemented or otherwise modified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Loans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2.4(a)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Percentage</w:t>
      </w:r>
      <w:r>
        <w:rPr>
          <w:rFonts w:ascii="Arial" w:cs="Arial" w:eastAsia="Arial" w:hAnsi="Arial"/>
          <w:sz w:val="18"/>
          <w:szCs w:val="18"/>
          <w:color w:val="auto"/>
        </w:rPr>
        <w:t xml:space="preserve">”: as to any Revolving Lender at any time, the percentage which such Lender’s Revolving Commitment then constitutes of the Total Revolving Commitments or, at any time after the Revolving Commitments of all Lenders shall have expired or terminated, the percentage which the aggregate principal amount of such Lender’s Revolving Loans then outstanding constitutes of the aggregate principal amount of all Revolving Loans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Revolving Loans are paid in full prior to the reduction to zero of the Total Revolving Commitments, the Revolving Percentages shall be determined in a manner designed to ensure that the other outstanding Revolving Extensions of Credit shall be held by the Revolving Lenders on a comparable basis.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Termination Date</w:t>
      </w:r>
      <w:r>
        <w:rPr>
          <w:rFonts w:ascii="Arial" w:cs="Arial" w:eastAsia="Arial" w:hAnsi="Arial"/>
          <w:sz w:val="20"/>
          <w:szCs w:val="20"/>
          <w:color w:val="auto"/>
        </w:rPr>
        <w:t>”: July 31, 2023.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S&amp;P</w:t>
      </w:r>
      <w:r>
        <w:rPr>
          <w:rFonts w:ascii="Arial" w:cs="Arial" w:eastAsia="Arial" w:hAnsi="Arial"/>
          <w:sz w:val="20"/>
          <w:szCs w:val="20"/>
          <w:color w:val="auto"/>
        </w:rPr>
        <w:t>”: Standard &amp; Poor’s Ratings Services.</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Leaseback Transaction</w:t>
      </w:r>
      <w:r>
        <w:rPr>
          <w:rFonts w:ascii="Arial" w:cs="Arial" w:eastAsia="Arial" w:hAnsi="Arial"/>
          <w:sz w:val="18"/>
          <w:szCs w:val="18"/>
          <w:color w:val="auto"/>
        </w:rPr>
        <w:t>”: any arrangement with any Person or Persons, whereby in contemporaneous or substantially contemporaneous transactions a Loan Party sells substantially all of its right, title and interest in any property and, in connection therewith, acquires, leases or licenses back the right to use all or a material portion of such property.</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Sam Fonzo Property</w:t>
      </w:r>
      <w:r>
        <w:rPr>
          <w:rFonts w:ascii="Arial" w:cs="Arial" w:eastAsia="Arial" w:hAnsi="Arial"/>
          <w:sz w:val="20"/>
          <w:szCs w:val="20"/>
          <w:color w:val="auto"/>
        </w:rPr>
        <w:t>”: that certain real property owned by the Borrower located at 25 Sam Fonzo Drive, Beverly Massachusetts.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Sanction(s)</w:t>
      </w:r>
      <w:r>
        <w:rPr>
          <w:rFonts w:ascii="Arial" w:cs="Arial" w:eastAsia="Arial" w:hAnsi="Arial"/>
          <w:sz w:val="20"/>
          <w:szCs w:val="20"/>
          <w:color w:val="auto"/>
        </w:rPr>
        <w:t>”: any international economic sanction administered or enforced by the United States Government (including OFAC), the United Nations Security Council, the European Union, Her Majesty’s Treasury or other relevant sanctions authority.</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w:t>
      </w:r>
      <w:r>
        <w:rPr>
          <w:rFonts w:ascii="Arial" w:cs="Arial" w:eastAsia="Arial" w:hAnsi="Arial"/>
          <w:sz w:val="20"/>
          <w:szCs w:val="20"/>
          <w:color w:val="auto"/>
        </w:rPr>
        <w:t>”: the Securities and Exchange Commission, any successor thereto and any analogous Governmental Authority.</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Secured Parties</w:t>
      </w:r>
      <w:r>
        <w:rPr>
          <w:rFonts w:ascii="Arial" w:cs="Arial" w:eastAsia="Arial" w:hAnsi="Arial"/>
          <w:sz w:val="18"/>
          <w:szCs w:val="18"/>
          <w:color w:val="auto"/>
        </w:rPr>
        <w:t>”: the collective reference to the Administrative Agent, the Lenders (including any Issuing Lender in its capacity as Issuing Lender and any Swingline Lender in its capacity as Swingline Lender), any Cash Management Bank (in its or their respective capacities as providers of Cash Management Services), and any Qualified Counterparties.</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Securities Account</w:t>
      </w:r>
      <w:r>
        <w:rPr>
          <w:rFonts w:ascii="Arial" w:cs="Arial" w:eastAsia="Arial" w:hAnsi="Arial"/>
          <w:sz w:val="20"/>
          <w:szCs w:val="20"/>
          <w:color w:val="auto"/>
        </w:rPr>
        <w:t>”: any “securities account” as defined in the UCC with such additions to such term as may hereafter be made.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Securities Account Control Agreement</w:t>
      </w:r>
      <w:r>
        <w:rPr>
          <w:rFonts w:ascii="Arial" w:cs="Arial" w:eastAsia="Arial" w:hAnsi="Arial"/>
          <w:sz w:val="20"/>
          <w:szCs w:val="20"/>
          <w:color w:val="auto"/>
        </w:rPr>
        <w:t>”: any Control Agreement entered into by the Administrative Agent, a Loan Party and a securities intermediary holding a Securities Account of such Loan Party pursuant to which the Administrative Agent is granted “control” (for purposes of the UCC) over such Securities Account.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the Securities Act of 1933, as amended from time to time and any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67" w:name="page68"/>
    <w:bookmarkEnd w:id="67"/>
    <w:p>
      <w:pPr>
        <w:spacing w:after="0"/>
        <w:rPr>
          <w:sz w:val="20"/>
          <w:szCs w:val="20"/>
          <w:color w:val="auto"/>
        </w:rPr>
      </w:pPr>
      <w:r>
        <w:rPr>
          <w:rFonts w:ascii="Arial" w:cs="Arial" w:eastAsia="Arial" w:hAnsi="Arial"/>
          <w:sz w:val="20"/>
          <w:szCs w:val="20"/>
          <w:color w:val="auto"/>
        </w:rPr>
        <w:t>statute.</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Security Documents</w:t>
      </w:r>
      <w:r>
        <w:rPr>
          <w:rFonts w:ascii="Arial" w:cs="Arial" w:eastAsia="Arial" w:hAnsi="Arial"/>
          <w:sz w:val="20"/>
          <w:szCs w:val="20"/>
          <w:color w:val="auto"/>
        </w:rPr>
        <w:t>”: the collective reference to (a) the Guarantee and Collateral Agreement, (b) the Mortgages (if any), (c) each Intellectual Property Security Agreement, (d) each Deposit Account Control Agreement, (e) each Securities Account Control Agreement, (f) all other security documents hereafter delivered to the Administrative Agent granting a Lien on any property of any Person to secure the Obligations of any Loan Party arising under any Loan Document, (g) each Pledge Supplement, (h) each Assumption Agreement, and (i) all financing statements, fixture filings, Patent, Trademark and Copyright filings, assignments, acknowledgments and other filings, documents and agreements made or delivered pursuant to any of the foregoing, in each case as amended, restated, amended and restated, supplemented or otherwise modified from time to time.</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Solvency Certificate</w:t>
      </w:r>
      <w:r>
        <w:rPr>
          <w:rFonts w:ascii="Arial" w:cs="Arial" w:eastAsia="Arial" w:hAnsi="Arial"/>
          <w:sz w:val="20"/>
          <w:szCs w:val="20"/>
          <w:color w:val="auto"/>
        </w:rPr>
        <w:t xml:space="preserve">”: the Solvency Certificate, dated the Closing Date, delivered to the Administrative Agent pursuant to </w:t>
      </w:r>
      <w:r>
        <w:rPr>
          <w:rFonts w:ascii="Arial" w:cs="Arial" w:eastAsia="Arial" w:hAnsi="Arial"/>
          <w:sz w:val="20"/>
          <w:szCs w:val="20"/>
          <w:u w:val="single" w:color="auto"/>
          <w:color w:val="auto"/>
        </w:rPr>
        <w:t>Section 5.1(p)</w:t>
      </w:r>
      <w:r>
        <w:rPr>
          <w:rFonts w:ascii="Arial" w:cs="Arial" w:eastAsia="Arial" w:hAnsi="Arial"/>
          <w:sz w:val="20"/>
          <w:szCs w:val="20"/>
          <w:color w:val="auto"/>
        </w:rPr>
        <w:t xml:space="preserve">, which Solvency Certificate shall be in substantially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Solvent</w:t>
      </w:r>
      <w:r>
        <w:rPr>
          <w:rFonts w:ascii="Arial" w:cs="Arial" w:eastAsia="Arial" w:hAnsi="Arial"/>
          <w:sz w:val="18"/>
          <w:szCs w:val="18"/>
          <w:color w:val="auto"/>
        </w:rPr>
        <w:t>”: when used with respect to any Person, as of any date of determination, (a) the amount of the “fair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as such quoted terms are determined in accordance with applicable federal and state laws governing determinations of the insolvency of debtors, (c) such Person will not have, as of such date, an unreasonably small amount of capital with which to conduct its business, and (d) such Person will be able to pay its debts generally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Specified Acquisition Agreement Representations</w:t>
      </w:r>
      <w:r>
        <w:rPr>
          <w:rFonts w:ascii="Arial" w:cs="Arial" w:eastAsia="Arial" w:hAnsi="Arial"/>
          <w:sz w:val="20"/>
          <w:szCs w:val="20"/>
          <w:color w:val="auto"/>
        </w:rPr>
        <w:t>”: such of the representations and warranties made by the sellers and their Affiliates in the Limited Condition Acquisition Agreement as are material to the interests of the Lenders, but only to the extent that the Borrower (or its applicable Affiliates) has the right (taking into account any applicable cure provisions) to terminate its (or such Affiliates’) obligations under the Limited Condition Acquisition Agreement, or decline to consummate the acquisition (in each case, in accordance with the terms thereof), as a result of a breach of such representations and warranties.</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Specified Representations</w:t>
      </w:r>
      <w:r>
        <w:rPr>
          <w:rFonts w:ascii="Arial" w:cs="Arial" w:eastAsia="Arial" w:hAnsi="Arial"/>
          <w:sz w:val="20"/>
          <w:szCs w:val="20"/>
          <w:color w:val="auto"/>
        </w:rPr>
        <w:t xml:space="preserve">”: those representations and warranties made in </w:t>
      </w:r>
      <w:r>
        <w:rPr>
          <w:rFonts w:ascii="Arial" w:cs="Arial" w:eastAsia="Arial" w:hAnsi="Arial"/>
          <w:sz w:val="20"/>
          <w:szCs w:val="20"/>
          <w:u w:val="single" w:color="auto"/>
          <w:color w:val="auto"/>
        </w:rPr>
        <w:t>Sections 4.3(a)</w:t>
      </w:r>
      <w:r>
        <w:rPr>
          <w:rFonts w:ascii="Arial" w:cs="Arial" w:eastAsia="Arial" w:hAnsi="Arial"/>
          <w:sz w:val="20"/>
          <w:szCs w:val="20"/>
          <w:color w:val="auto"/>
        </w:rPr>
        <w:t xml:space="preserve"> (with respect to the organizational existence of the Loan Parties only after giving effect to the Limited Condition Acquisition), </w:t>
      </w:r>
      <w:r>
        <w:rPr>
          <w:rFonts w:ascii="Arial" w:cs="Arial" w:eastAsia="Arial" w:hAnsi="Arial"/>
          <w:sz w:val="20"/>
          <w:szCs w:val="20"/>
          <w:u w:val="single" w:color="auto"/>
          <w:color w:val="auto"/>
        </w:rPr>
        <w:t>4.4</w:t>
      </w:r>
      <w:r>
        <w:rPr>
          <w:rFonts w:ascii="Arial" w:cs="Arial" w:eastAsia="Arial" w:hAnsi="Arial"/>
          <w:sz w:val="20"/>
          <w:szCs w:val="20"/>
          <w:color w:val="auto"/>
        </w:rPr>
        <w:t xml:space="preserve"> (excluding the third sentence thereof), </w:t>
      </w:r>
      <w:r>
        <w:rPr>
          <w:rFonts w:ascii="Arial" w:cs="Arial" w:eastAsia="Arial" w:hAnsi="Arial"/>
          <w:sz w:val="20"/>
          <w:szCs w:val="20"/>
          <w:u w:val="single" w:color="auto"/>
          <w:color w:val="auto"/>
        </w:rPr>
        <w:t>4.5</w:t>
      </w:r>
      <w:r>
        <w:rPr>
          <w:rFonts w:ascii="Arial" w:cs="Arial" w:eastAsia="Arial" w:hAnsi="Arial"/>
          <w:sz w:val="20"/>
          <w:szCs w:val="20"/>
          <w:color w:val="auto"/>
        </w:rPr>
        <w:t xml:space="preserve"> (solely with respect to the first sentence and with respect to Operating Documents), </w:t>
      </w:r>
      <w:r>
        <w:rPr>
          <w:rFonts w:ascii="Arial" w:cs="Arial" w:eastAsia="Arial" w:hAnsi="Arial"/>
          <w:sz w:val="20"/>
          <w:szCs w:val="20"/>
          <w:u w:val="single" w:color="auto"/>
          <w:color w:val="auto"/>
        </w:rPr>
        <w:t>4.11</w:t>
      </w:r>
      <w:r>
        <w:rPr>
          <w:rFonts w:ascii="Arial" w:cs="Arial" w:eastAsia="Arial" w:hAnsi="Arial"/>
          <w:sz w:val="20"/>
          <w:szCs w:val="20"/>
          <w:color w:val="auto"/>
        </w:rPr>
        <w:t xml:space="preserve">, </w:t>
      </w:r>
      <w:r>
        <w:rPr>
          <w:rFonts w:ascii="Arial" w:cs="Arial" w:eastAsia="Arial" w:hAnsi="Arial"/>
          <w:sz w:val="20"/>
          <w:szCs w:val="20"/>
          <w:u w:val="single" w:color="auto"/>
          <w:color w:val="auto"/>
        </w:rPr>
        <w:t>4.14</w:t>
      </w:r>
      <w:r>
        <w:rPr>
          <w:rFonts w:ascii="Arial" w:cs="Arial" w:eastAsia="Arial" w:hAnsi="Arial"/>
          <w:sz w:val="20"/>
          <w:szCs w:val="20"/>
          <w:color w:val="auto"/>
        </w:rPr>
        <w:t xml:space="preserve">, </w:t>
      </w:r>
      <w:r>
        <w:rPr>
          <w:rFonts w:ascii="Arial" w:cs="Arial" w:eastAsia="Arial" w:hAnsi="Arial"/>
          <w:sz w:val="20"/>
          <w:szCs w:val="20"/>
          <w:u w:val="single" w:color="auto"/>
          <w:color w:val="auto"/>
        </w:rPr>
        <w:t>4.19</w:t>
      </w:r>
      <w:r>
        <w:rPr>
          <w:rFonts w:ascii="Arial" w:cs="Arial" w:eastAsia="Arial" w:hAnsi="Arial"/>
          <w:sz w:val="20"/>
          <w:szCs w:val="20"/>
          <w:color w:val="auto"/>
        </w:rPr>
        <w:t xml:space="preserve">, </w:t>
      </w:r>
      <w:r>
        <w:rPr>
          <w:rFonts w:ascii="Arial" w:cs="Arial" w:eastAsia="Arial" w:hAnsi="Arial"/>
          <w:sz w:val="20"/>
          <w:szCs w:val="20"/>
          <w:u w:val="single" w:color="auto"/>
          <w:color w:val="auto"/>
        </w:rPr>
        <w:t>4.20</w:t>
      </w:r>
      <w:r>
        <w:rPr>
          <w:rFonts w:ascii="Arial" w:cs="Arial" w:eastAsia="Arial" w:hAnsi="Arial"/>
          <w:sz w:val="20"/>
          <w:szCs w:val="20"/>
          <w:color w:val="auto"/>
        </w:rPr>
        <w:t xml:space="preserve"> (giving effect to the Limited Condition Acquisition and the incurrence of the extension of credit in connection therewith), </w:t>
      </w:r>
      <w:r>
        <w:rPr>
          <w:rFonts w:ascii="Arial" w:cs="Arial" w:eastAsia="Arial" w:hAnsi="Arial"/>
          <w:sz w:val="20"/>
          <w:szCs w:val="20"/>
          <w:u w:val="single" w:color="auto"/>
          <w:color w:val="auto"/>
        </w:rPr>
        <w:t>4.28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4.29</w:t>
      </w:r>
      <w:r>
        <w:rPr>
          <w:rFonts w:ascii="Arial" w:cs="Arial" w:eastAsia="Arial" w:hAnsi="Arial"/>
          <w:sz w:val="20"/>
          <w:szCs w:val="20"/>
          <w:color w:val="auto"/>
        </w:rPr>
        <w:t>.</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Specified Swap Agreement</w:t>
      </w:r>
      <w:r>
        <w:rPr>
          <w:rFonts w:ascii="Arial" w:cs="Arial" w:eastAsia="Arial" w:hAnsi="Arial"/>
          <w:sz w:val="20"/>
          <w:szCs w:val="20"/>
          <w:color w:val="auto"/>
        </w:rPr>
        <w:t>”: any Swap Agreement entered into by a Group Member and any Qualified Counterparty (or any Person who was a Qualified Counterparty as of the Closing Date or as of the date such Swap Agreement was entered into).</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Subordinated Indebtedness</w:t>
      </w:r>
      <w:r>
        <w:rPr>
          <w:rFonts w:ascii="Arial" w:cs="Arial" w:eastAsia="Arial" w:hAnsi="Arial"/>
          <w:sz w:val="20"/>
          <w:szCs w:val="20"/>
          <w:color w:val="auto"/>
        </w:rPr>
        <w:t>”: Indebtedness of a Loan Party subordinated to the Obligations pursuant to subordination terms (including payment, lien and remedies subordination terms,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68" w:name="page69"/>
    <w:bookmarkEnd w:id="68"/>
    <w:p>
      <w:pPr>
        <w:spacing w:after="0"/>
        <w:rPr>
          <w:sz w:val="20"/>
          <w:szCs w:val="20"/>
          <w:color w:val="auto"/>
        </w:rPr>
      </w:pPr>
      <w:r>
        <w:rPr>
          <w:rFonts w:ascii="Arial" w:cs="Arial" w:eastAsia="Arial" w:hAnsi="Arial"/>
          <w:sz w:val="20"/>
          <w:szCs w:val="20"/>
          <w:color w:val="auto"/>
        </w:rPr>
        <w:t>reasonably acceptable to the Administrative Agent.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or to “</w:t>
      </w:r>
      <w:r>
        <w:rPr>
          <w:rFonts w:ascii="Arial" w:cs="Arial" w:eastAsia="Arial" w:hAnsi="Arial"/>
          <w:sz w:val="20"/>
          <w:szCs w:val="20"/>
          <w:b w:val="1"/>
          <w:bCs w:val="1"/>
          <w:i w:val="1"/>
          <w:iCs w:val="1"/>
          <w:color w:val="auto"/>
        </w:rPr>
        <w:t>Subsidiaries</w:t>
      </w:r>
      <w:r>
        <w:rPr>
          <w:rFonts w:ascii="Arial" w:cs="Arial" w:eastAsia="Arial" w:hAnsi="Arial"/>
          <w:sz w:val="20"/>
          <w:szCs w:val="20"/>
          <w:color w:val="auto"/>
        </w:rPr>
        <w:t>” in this Agreement shall refer to a Subsidiary or Subsidiaries of the Borrower.</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Surety Indebtedness</w:t>
      </w:r>
      <w:r>
        <w:rPr>
          <w:rFonts w:ascii="Arial" w:cs="Arial" w:eastAsia="Arial" w:hAnsi="Arial"/>
          <w:sz w:val="18"/>
          <w:szCs w:val="18"/>
          <w:color w:val="auto"/>
        </w:rPr>
        <w:t>”: as of any date of determination, indebtedness (contingent or otherwise) owing to sureties arising from surety bonds issued on behalf of any Group Member as support for, among other things, their contracts with customers, whether such indebtedness is owing directly or indirectly by such Loan Party or any such Subsidiary.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SVB</w:t>
      </w:r>
      <w:r>
        <w:rPr>
          <w:rFonts w:ascii="Arial" w:cs="Arial" w:eastAsia="Arial" w:hAnsi="Arial"/>
          <w:sz w:val="20"/>
          <w:szCs w:val="20"/>
          <w:color w:val="auto"/>
        </w:rPr>
        <w:t>”: as defined in the preamble hereto.</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Swap Agreement</w:t>
      </w:r>
      <w:r>
        <w:rPr>
          <w:rFonts w:ascii="Arial" w:cs="Arial" w:eastAsia="Arial" w:hAnsi="Arial"/>
          <w:sz w:val="20"/>
          <w:szCs w:val="20"/>
          <w:color w:val="auto"/>
        </w:rPr>
        <w:t>”: any agreement with respect to any swap, hedge, forward, future or derivative transaction or option or similar agreement (including without limitation, any Interest Rate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Group Members shall be deemed to be a “Swap Agreement”.</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Swap Obligation</w:t>
      </w:r>
      <w:r>
        <w:rPr>
          <w:rFonts w:ascii="Arial" w:cs="Arial" w:eastAsia="Arial" w:hAnsi="Arial"/>
          <w:sz w:val="20"/>
          <w:szCs w:val="20"/>
          <w:color w:val="auto"/>
        </w:rPr>
        <w:t>”: with respect to any Guarantor, any obligation of such Guarantor to pay or perform under any agreement, contract or transaction that constitutes a “swap” within the meaning of Section 1a(47) of the Commodity Exchange Act.</w:t>
      </w:r>
    </w:p>
    <w:p>
      <w:pPr>
        <w:spacing w:after="0" w:line="18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Swap Termination Value</w:t>
      </w:r>
      <w:r>
        <w:rPr>
          <w:rFonts w:ascii="Arial" w:cs="Arial" w:eastAsia="Arial" w:hAnsi="Arial"/>
          <w:sz w:val="16"/>
          <w:szCs w:val="16"/>
          <w:color w:val="auto"/>
        </w:rPr>
        <w:t>”: in respect of any one or more Swap Agreements, after taking into account the effect of any legally enforceable netting agreement relating to such Swap Agreements, (a) for any date on or after the date any such Swap Agreement has been closed out and termination value determined in accordance therewith, such termination value, and</w:t>
      </w:r>
    </w:p>
    <w:p>
      <w:pPr>
        <w:spacing w:after="0" w:line="1" w:lineRule="exact"/>
        <w:rPr>
          <w:sz w:val="20"/>
          <w:szCs w:val="20"/>
          <w:color w:val="auto"/>
        </w:rPr>
      </w:pPr>
    </w:p>
    <w:p>
      <w:pPr>
        <w:jc w:val="both"/>
        <w:ind w:firstLine="8"/>
        <w:spacing w:after="0" w:line="260" w:lineRule="auto"/>
        <w:tabs>
          <w:tab w:leader="none" w:pos="285" w:val="left"/>
        </w:tabs>
        <w:numPr>
          <w:ilvl w:val="0"/>
          <w:numId w:val="27"/>
        </w:numPr>
        <w:rPr>
          <w:rFonts w:ascii="Arial" w:cs="Arial" w:eastAsia="Arial" w:hAnsi="Arial"/>
          <w:sz w:val="19"/>
          <w:szCs w:val="19"/>
          <w:color w:val="auto"/>
        </w:rPr>
      </w:pPr>
      <w:r>
        <w:rPr>
          <w:rFonts w:ascii="Arial" w:cs="Arial" w:eastAsia="Arial" w:hAnsi="Arial"/>
          <w:sz w:val="19"/>
          <w:szCs w:val="19"/>
          <w:color w:val="auto"/>
        </w:rPr>
        <w:t>for any date prior to the date referenced in clause (a), the amount determined as the mark-to-market value for such Swap Agreement, as determined based upon one or more mid-market or other readily available quotations provided by any recognized dealer in such Swap Agreements (which may include a Qualified Counterparty).</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Commitment</w:t>
      </w:r>
      <w:r>
        <w:rPr>
          <w:rFonts w:ascii="Arial" w:cs="Arial" w:eastAsia="Arial" w:hAnsi="Arial"/>
          <w:sz w:val="20"/>
          <w:szCs w:val="20"/>
          <w:color w:val="auto"/>
        </w:rPr>
        <w:t xml:space="preserve">”: the obligation of the Swingline Lender to make Swingline Loans pursuant to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in an aggregate principal amount at any one time outstanding not to exceed $10,000,000.</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Lender</w:t>
      </w:r>
      <w:r>
        <w:rPr>
          <w:rFonts w:ascii="Arial" w:cs="Arial" w:eastAsia="Arial" w:hAnsi="Arial"/>
          <w:sz w:val="20"/>
          <w:szCs w:val="20"/>
          <w:color w:val="auto"/>
        </w:rPr>
        <w:t xml:space="preserve">”: SVB, in its capacity as the lender of Swingline Loans or such other Lender as the Borrower may from time to time select as the Swingline Lender hereunder pursuant to </w:t>
      </w:r>
      <w:r>
        <w:rPr>
          <w:rFonts w:ascii="Arial" w:cs="Arial" w:eastAsia="Arial" w:hAnsi="Arial"/>
          <w:sz w:val="20"/>
          <w:szCs w:val="20"/>
          <w:u w:val="single" w:color="auto"/>
          <w:color w:val="auto"/>
        </w:rPr>
        <w:t>Section 2.7(f)</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Lender has agreed to be a Swingline Lender.</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Loan Note</w:t>
      </w:r>
      <w:r>
        <w:rPr>
          <w:rFonts w:ascii="Arial" w:cs="Arial" w:eastAsia="Arial" w:hAnsi="Arial"/>
          <w:sz w:val="20"/>
          <w:szCs w:val="20"/>
          <w:color w:val="auto"/>
        </w:rPr>
        <w:t xml:space="preserve">”: a promissory note in the form of </w:t>
      </w:r>
      <w:r>
        <w:rPr>
          <w:rFonts w:ascii="Arial" w:cs="Arial" w:eastAsia="Arial" w:hAnsi="Arial"/>
          <w:sz w:val="20"/>
          <w:szCs w:val="20"/>
          <w:u w:val="single" w:color="auto"/>
          <w:color w:val="auto"/>
        </w:rPr>
        <w:t>Exhibit H-2</w:t>
      </w:r>
      <w:r>
        <w:rPr>
          <w:rFonts w:ascii="Arial" w:cs="Arial" w:eastAsia="Arial" w:hAnsi="Arial"/>
          <w:sz w:val="20"/>
          <w:szCs w:val="20"/>
          <w:color w:val="auto"/>
        </w:rPr>
        <w:t>, as it may be amended, supplemented or otherwise modified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Loans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2.6</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69" w:name="page70"/>
    <w:bookmarkEnd w:id="6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Participation Amount</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2.7(c)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Synthetic Lease Obligation</w:t>
      </w:r>
      <w:r>
        <w:rPr>
          <w:rFonts w:ascii="Arial" w:cs="Arial" w:eastAsia="Arial" w:hAnsi="Arial"/>
          <w:sz w:val="20"/>
          <w:szCs w:val="20"/>
          <w:color w:val="auto"/>
        </w:rPr>
        <w:t>”: the monetary obligation of a Person under (a) a so-called synthetic, off-balance sheet or tax retention lease or (b) an agreement for the use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Taxes</w:t>
      </w:r>
      <w:r>
        <w:rPr>
          <w:rFonts w:ascii="Arial" w:cs="Arial" w:eastAsia="Arial" w:hAnsi="Arial"/>
          <w:sz w:val="20"/>
          <w:szCs w:val="20"/>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Total L/C Commitments</w:t>
      </w:r>
      <w:r>
        <w:rPr>
          <w:rFonts w:ascii="Arial" w:cs="Arial" w:eastAsia="Arial" w:hAnsi="Arial"/>
          <w:sz w:val="20"/>
          <w:szCs w:val="20"/>
          <w:color w:val="auto"/>
        </w:rPr>
        <w:t xml:space="preserve">”: at any time, the sum of all L/C Commitments at such time, as the same may be reduced from time to time pursuant to </w:t>
      </w: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3.5(b)</w:t>
      </w:r>
      <w:r>
        <w:rPr>
          <w:rFonts w:ascii="Arial" w:cs="Arial" w:eastAsia="Arial" w:hAnsi="Arial"/>
          <w:sz w:val="20"/>
          <w:szCs w:val="20"/>
          <w:color w:val="auto"/>
        </w:rPr>
        <w:t>. The initial amount of the Total L/C Commitments on the Closing Date is $7,000,000.</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Revolving Commitments</w:t>
      </w:r>
      <w:r>
        <w:rPr>
          <w:rFonts w:ascii="Arial" w:cs="Arial" w:eastAsia="Arial" w:hAnsi="Arial"/>
          <w:sz w:val="18"/>
          <w:szCs w:val="18"/>
          <w:color w:val="auto"/>
        </w:rPr>
        <w:t>”: at any time, the aggregate amount of the Revolving Commitments then in effect.</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Total Revolving Extensions of Credit</w:t>
      </w:r>
      <w:r>
        <w:rPr>
          <w:rFonts w:ascii="Arial" w:cs="Arial" w:eastAsia="Arial" w:hAnsi="Arial"/>
          <w:sz w:val="20"/>
          <w:szCs w:val="20"/>
          <w:color w:val="auto"/>
        </w:rPr>
        <w:t>”: at any time, the aggregate amount of the Revolving Extensions of Credit outstanding at such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Trade Date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10.6(b)(i)(B)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Transferee</w:t>
      </w:r>
      <w:r>
        <w:rPr>
          <w:rFonts w:ascii="Arial" w:cs="Arial" w:eastAsia="Arial" w:hAnsi="Arial"/>
          <w:sz w:val="20"/>
          <w:szCs w:val="20"/>
          <w:color w:val="auto"/>
        </w:rPr>
        <w:t>”: any Eligible Assignee or Participant.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Type</w:t>
      </w:r>
      <w:r>
        <w:rPr>
          <w:rFonts w:ascii="Arial" w:cs="Arial" w:eastAsia="Arial" w:hAnsi="Arial"/>
          <w:sz w:val="20"/>
          <w:szCs w:val="20"/>
          <w:color w:val="auto"/>
        </w:rPr>
        <w:t>”: as to any Loan, its nature as an ABR Loan or a Eurodollar Loan.</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Unfriendly Acquisition</w:t>
      </w:r>
      <w:r>
        <w:rPr>
          <w:rFonts w:ascii="Arial" w:cs="Arial" w:eastAsia="Arial" w:hAnsi="Arial"/>
          <w:sz w:val="19"/>
          <w:szCs w:val="19"/>
          <w:color w:val="auto"/>
        </w:rPr>
        <w:t>”: any acquisition that has not been approved by the board of directors (or other legally recognized governing body) of the Person to be acquired; except that with respect to any acquisition of a non-U.S. Person, an otherwise friendly acquisition shall not be deemed to be unfriendly if it is not customary in such jurisdiction to obtain such approval prior to the first public announcement of an offer relating to a friendly acquisition.</w:t>
      </w:r>
    </w:p>
    <w:p>
      <w:pPr>
        <w:spacing w:after="0" w:line="176"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Uniform Commercial Code</w:t>
      </w:r>
      <w:r>
        <w:rPr>
          <w:rFonts w:ascii="Arial" w:cs="Arial" w:eastAsia="Arial" w:hAnsi="Arial"/>
          <w:sz w:val="18"/>
          <w:szCs w:val="18"/>
          <w:color w:val="auto"/>
        </w:rPr>
        <w:t>” or “</w:t>
      </w:r>
      <w:r>
        <w:rPr>
          <w:rFonts w:ascii="Arial" w:cs="Arial" w:eastAsia="Arial" w:hAnsi="Arial"/>
          <w:sz w:val="18"/>
          <w:szCs w:val="18"/>
          <w:b w:val="1"/>
          <w:bCs w:val="1"/>
          <w:i w:val="1"/>
          <w:iCs w:val="1"/>
          <w:color w:val="auto"/>
        </w:rPr>
        <w:t>UCC</w:t>
      </w:r>
      <w:r>
        <w:rPr>
          <w:rFonts w:ascii="Arial" w:cs="Arial" w:eastAsia="Arial" w:hAnsi="Arial"/>
          <w:sz w:val="18"/>
          <w:szCs w:val="18"/>
          <w:color w:val="auto"/>
        </w:rPr>
        <w:t>”: the Uniform Commercial Code (or any similar or equivalent legislation) as in effect from time to time in the State of New York, or as the context may require, any other applicable jurisdiction.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United States</w:t>
      </w:r>
      <w:r>
        <w:rPr>
          <w:rFonts w:ascii="Arial" w:cs="Arial" w:eastAsia="Arial" w:hAnsi="Arial"/>
          <w:sz w:val="20"/>
          <w:szCs w:val="20"/>
          <w:color w:val="auto"/>
        </w:rPr>
        <w:t>” and “</w:t>
      </w:r>
      <w:r>
        <w:rPr>
          <w:rFonts w:ascii="Arial" w:cs="Arial" w:eastAsia="Arial" w:hAnsi="Arial"/>
          <w:sz w:val="20"/>
          <w:szCs w:val="20"/>
          <w:b w:val="1"/>
          <w:bCs w:val="1"/>
          <w:i w:val="1"/>
          <w:iCs w:val="1"/>
          <w:color w:val="auto"/>
        </w:rPr>
        <w:t>U.S.</w:t>
      </w:r>
      <w:r>
        <w:rPr>
          <w:rFonts w:ascii="Arial" w:cs="Arial" w:eastAsia="Arial" w:hAnsi="Arial"/>
          <w:sz w:val="20"/>
          <w:szCs w:val="20"/>
          <w:color w:val="auto"/>
        </w:rPr>
        <w:t>”: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USCRO</w:t>
      </w:r>
      <w:r>
        <w:rPr>
          <w:rFonts w:ascii="Arial" w:cs="Arial" w:eastAsia="Arial" w:hAnsi="Arial"/>
          <w:sz w:val="20"/>
          <w:szCs w:val="20"/>
          <w:color w:val="auto"/>
        </w:rPr>
        <w:t>”: the U.S. Copyright Office.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USPTO</w:t>
      </w:r>
      <w:r>
        <w:rPr>
          <w:rFonts w:ascii="Arial" w:cs="Arial" w:eastAsia="Arial" w:hAnsi="Arial"/>
          <w:sz w:val="20"/>
          <w:szCs w:val="20"/>
          <w:color w:val="auto"/>
        </w:rPr>
        <w:t>”: the U.S. Patent and Trademark Office.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U.S. Person</w:t>
      </w:r>
      <w:r>
        <w:rPr>
          <w:rFonts w:ascii="Arial" w:cs="Arial" w:eastAsia="Arial" w:hAnsi="Arial"/>
          <w:sz w:val="19"/>
          <w:szCs w:val="19"/>
          <w:color w:val="auto"/>
        </w:rPr>
        <w:t>”: any Person that is a “United States Person” as defined in Section 7701(a)(30) of the Code.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Tax Compliance Certificate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2.20(f)</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Withholding Agent</w:t>
      </w:r>
      <w:r>
        <w:rPr>
          <w:rFonts w:ascii="Arial" w:cs="Arial" w:eastAsia="Arial" w:hAnsi="Arial"/>
          <w:sz w:val="20"/>
          <w:szCs w:val="20"/>
          <w:color w:val="auto"/>
        </w:rPr>
        <w:t>”: as applicable, any of any applicable Loan Party and the Administrative Agent, as the context may require.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Write-Down and Conversion Powers</w:t>
      </w:r>
      <w:r>
        <w:rPr>
          <w:rFonts w:ascii="Arial" w:cs="Arial" w:eastAsia="Arial" w:hAnsi="Arial"/>
          <w:sz w:val="20"/>
          <w:szCs w:val="20"/>
          <w:color w:val="auto"/>
        </w:rPr>
        <w:t>”: with respect to any EEA Resolution Authority, the write-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70" w:name="page71"/>
    <w:bookmarkEnd w:id="70"/>
    <w:p>
      <w:pPr>
        <w:jc w:val="both"/>
        <w:spacing w:after="0" w:line="250" w:lineRule="auto"/>
        <w:rPr>
          <w:sz w:val="20"/>
          <w:szCs w:val="20"/>
          <w:color w:val="auto"/>
        </w:rPr>
      </w:pPr>
      <w:r>
        <w:rPr>
          <w:rFonts w:ascii="Arial" w:cs="Arial" w:eastAsia="Arial" w:hAnsi="Arial"/>
          <w:sz w:val="20"/>
          <w:szCs w:val="20"/>
          <w:color w:val="auto"/>
        </w:rPr>
        <w:t>down and conversion powers of such EEA Resolution Authority from time to time under the Bail-In Legislation for the applicable EEA Member Country, which write-down and conversion powers are described in the EU Bail-In Legislation Schedule.</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8"/>
          <w:szCs w:val="18"/>
          <w:b w:val="1"/>
          <w:bCs w:val="1"/>
          <w:color w:val="auto"/>
        </w:rPr>
        <w:t>Other Definitional Provisions</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250" w:lineRule="auto"/>
        <w:tabs>
          <w:tab w:leader="none" w:pos="1944" w:val="left"/>
        </w:tabs>
        <w:numPr>
          <w:ilvl w:val="1"/>
          <w:numId w:val="28"/>
        </w:numPr>
        <w:rPr>
          <w:rFonts w:ascii="Arial" w:cs="Arial" w:eastAsia="Arial" w:hAnsi="Arial"/>
          <w:sz w:val="20"/>
          <w:szCs w:val="20"/>
          <w:color w:val="auto"/>
        </w:rPr>
      </w:pPr>
      <w:r>
        <w:rPr>
          <w:rFonts w:ascii="Arial" w:cs="Arial" w:eastAsia="Arial" w:hAnsi="Arial"/>
          <w:sz w:val="20"/>
          <w:szCs w:val="20"/>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85" w:lineRule="exact"/>
        <w:rPr>
          <w:rFonts w:ascii="Arial" w:cs="Arial" w:eastAsia="Arial" w:hAnsi="Arial"/>
          <w:sz w:val="20"/>
          <w:szCs w:val="20"/>
          <w:color w:val="auto"/>
        </w:rPr>
      </w:pPr>
    </w:p>
    <w:p>
      <w:pPr>
        <w:jc w:val="both"/>
        <w:ind w:firstLine="1304"/>
        <w:spacing w:after="0" w:line="268" w:lineRule="auto"/>
        <w:tabs>
          <w:tab w:leader="none" w:pos="19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As used herein and in the other Loan Documents, and in any certificate or other document made or delivered pursuant hereto or thereto, (i) accounting terms relating to any Group Member not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accounting terms partly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w:t>
      </w:r>
    </w:p>
    <w:p>
      <w:pPr>
        <w:spacing w:after="0" w:line="2" w:lineRule="exact"/>
        <w:rPr>
          <w:rFonts w:ascii="Arial" w:cs="Arial" w:eastAsia="Arial" w:hAnsi="Arial"/>
          <w:sz w:val="18"/>
          <w:szCs w:val="18"/>
          <w:color w:val="auto"/>
        </w:rPr>
      </w:pPr>
    </w:p>
    <w:p>
      <w:pPr>
        <w:jc w:val="both"/>
        <w:ind w:firstLine="8"/>
        <w:spacing w:after="0" w:line="254" w:lineRule="auto"/>
        <w:tabs>
          <w:tab w:leader="none" w:pos="290" w:val="left"/>
        </w:tabs>
        <w:numPr>
          <w:ilvl w:val="0"/>
          <w:numId w:val="29"/>
        </w:numPr>
        <w:rPr>
          <w:rFonts w:ascii="Arial" w:cs="Arial" w:eastAsia="Arial" w:hAnsi="Arial"/>
          <w:sz w:val="19"/>
          <w:szCs w:val="19"/>
          <w:color w:val="auto"/>
        </w:rPr>
      </w:pPr>
      <w:r>
        <w:rPr>
          <w:rFonts w:ascii="Arial" w:cs="Arial" w:eastAsia="Arial" w:hAnsi="Arial"/>
          <w:sz w:val="19"/>
          <w:szCs w:val="19"/>
          <w:color w:val="auto"/>
        </w:rPr>
        <w:t>references to a given time of day shall, unless otherwise specified, be deemed to refer to Pacific time, (vi) references to agreements (including this Agreement) or other Contractual Obligations shall, unless otherwise specified, be deemed to refer to such agreements or Contractual Obligations as amended, supplemented, restated, amended and restated or otherwise modified from time to time, (vii) whenever any provision of any Loan Document refers to the knowledge, or analogous phrase, of any Person, such words are intended to signify that such Person has actual knowledge or awareness of a particular fact or circumstance or that such Person, if it had exercised reasonable diligence, would have known or been aware of such fact or circumstance and (viii) as used herein, “ordinary course of business” means the ordinary course of business of any Person, as undertaken by such Person in accordance with past practices or reasonable extensions of such past practices, as applicable, or otherwise undertaken by such Person in good faith and not for purposes of evading any covenant or restriction in any Loan Document.</w:t>
      </w:r>
    </w:p>
    <w:p>
      <w:pPr>
        <w:spacing w:after="0" w:line="182" w:lineRule="exact"/>
        <w:rPr>
          <w:rFonts w:ascii="Arial" w:cs="Arial" w:eastAsia="Arial" w:hAnsi="Arial"/>
          <w:sz w:val="19"/>
          <w:szCs w:val="19"/>
          <w:color w:val="auto"/>
        </w:rPr>
      </w:pPr>
    </w:p>
    <w:p>
      <w:pPr>
        <w:jc w:val="both"/>
        <w:ind w:firstLine="1304"/>
        <w:spacing w:after="0" w:line="304" w:lineRule="auto"/>
        <w:tabs>
          <w:tab w:leader="none" w:pos="1944"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words “</w:t>
      </w:r>
      <w:r>
        <w:rPr>
          <w:rFonts w:ascii="Arial" w:cs="Arial" w:eastAsia="Arial" w:hAnsi="Arial"/>
          <w:sz w:val="16"/>
          <w:szCs w:val="16"/>
          <w:b w:val="1"/>
          <w:bCs w:val="1"/>
          <w:i w:val="1"/>
          <w:iCs w:val="1"/>
          <w:color w:val="auto"/>
        </w:rPr>
        <w:t>hereof</w:t>
      </w:r>
      <w:r>
        <w:rPr>
          <w:rFonts w:ascii="Arial" w:cs="Arial" w:eastAsia="Arial" w:hAnsi="Arial"/>
          <w:sz w:val="16"/>
          <w:szCs w:val="16"/>
          <w:color w:val="auto"/>
        </w:rPr>
        <w:t>,” “</w:t>
      </w:r>
      <w:r>
        <w:rPr>
          <w:rFonts w:ascii="Arial" w:cs="Arial" w:eastAsia="Arial" w:hAnsi="Arial"/>
          <w:sz w:val="16"/>
          <w:szCs w:val="16"/>
          <w:b w:val="1"/>
          <w:bCs w:val="1"/>
          <w:i w:val="1"/>
          <w:iCs w:val="1"/>
          <w:color w:val="auto"/>
        </w:rPr>
        <w:t>herein</w:t>
      </w:r>
      <w:r>
        <w:rPr>
          <w:rFonts w:ascii="Arial" w:cs="Arial" w:eastAsia="Arial" w:hAnsi="Arial"/>
          <w:sz w:val="16"/>
          <w:szCs w:val="16"/>
          <w:color w:val="auto"/>
        </w:rPr>
        <w:t>” and “</w:t>
      </w:r>
      <w:r>
        <w:rPr>
          <w:rFonts w:ascii="Arial" w:cs="Arial" w:eastAsia="Arial" w:hAnsi="Arial"/>
          <w:sz w:val="16"/>
          <w:szCs w:val="16"/>
          <w:b w:val="1"/>
          <w:bCs w:val="1"/>
          <w:i w:val="1"/>
          <w:iCs w:val="1"/>
          <w:color w:val="auto"/>
        </w:rPr>
        <w:t>hereunder</w:t>
      </w:r>
      <w:r>
        <w:rPr>
          <w:rFonts w:ascii="Arial" w:cs="Arial" w:eastAsia="Arial" w:hAnsi="Arial"/>
          <w:sz w:val="16"/>
          <w:szCs w:val="16"/>
          <w:color w:val="auto"/>
        </w:rPr>
        <w:t>” and words of similar import, when used in this Agreement, shall refer to this Agreement as a whole and not to any particular provision of this Agreement, unless otherwise specified. The word “will” shall be construed to have the same meaning and effect as the word “shall.” Unless the context requires otherwise, (i) any reference herein to any Person shall be construed to include such Person’s successors and assigns,</w:t>
      </w:r>
    </w:p>
    <w:p>
      <w:pPr>
        <w:spacing w:after="0" w:line="1" w:lineRule="exact"/>
        <w:rPr>
          <w:rFonts w:ascii="Arial" w:cs="Arial" w:eastAsia="Arial" w:hAnsi="Arial"/>
          <w:sz w:val="16"/>
          <w:szCs w:val="16"/>
          <w:color w:val="auto"/>
        </w:rPr>
      </w:pPr>
    </w:p>
    <w:p>
      <w:pPr>
        <w:jc w:val="both"/>
        <w:ind w:firstLine="8"/>
        <w:spacing w:after="0" w:line="281" w:lineRule="auto"/>
        <w:tabs>
          <w:tab w:leader="none" w:pos="29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references herein to Articles, Sections, Exhibits and Schedules shall be construed to refer to Articles and Sections of, and Exhibits and Schedules to, this Agreement, and (iii) any reference to any law or regulation herein shall, unless otherwise specified, refer to such law or regulation as amended, modified or supplemented from time to time.</w:t>
      </w:r>
    </w:p>
    <w:p>
      <w:pPr>
        <w:spacing w:after="0" w:line="161" w:lineRule="exact"/>
        <w:rPr>
          <w:rFonts w:ascii="Arial" w:cs="Arial" w:eastAsia="Arial" w:hAnsi="Arial"/>
          <w:sz w:val="18"/>
          <w:szCs w:val="18"/>
          <w:color w:val="auto"/>
        </w:rPr>
      </w:pPr>
    </w:p>
    <w:p>
      <w:pPr>
        <w:jc w:val="both"/>
        <w:ind w:firstLine="1304"/>
        <w:spacing w:after="0" w:line="250" w:lineRule="auto"/>
        <w:tabs>
          <w:tab w:leader="none" w:pos="1944"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meanings given to terms defined herein shall be equally applicable to both the singular and plural forms of such terms. Whenever the context may require, any pronoun shall include the corresponding masculine, feminine and neuter forms.</w:t>
      </w:r>
    </w:p>
    <w:p>
      <w:pPr>
        <w:spacing w:after="0" w:line="185" w:lineRule="exact"/>
        <w:rPr>
          <w:rFonts w:ascii="Arial" w:cs="Arial" w:eastAsia="Arial" w:hAnsi="Arial"/>
          <w:sz w:val="20"/>
          <w:szCs w:val="20"/>
          <w:color w:val="auto"/>
        </w:rPr>
      </w:pPr>
    </w:p>
    <w:p>
      <w:pPr>
        <w:jc w:val="both"/>
        <w:ind w:firstLine="1304"/>
        <w:spacing w:after="0" w:line="243" w:lineRule="auto"/>
        <w:tabs>
          <w:tab w:leader="none" w:pos="1944" w:val="left"/>
        </w:tabs>
        <w:numPr>
          <w:ilvl w:val="1"/>
          <w:numId w:val="30"/>
        </w:numPr>
        <w:rPr>
          <w:rFonts w:ascii="Arial" w:cs="Arial" w:eastAsia="Arial" w:hAnsi="Arial"/>
          <w:sz w:val="20"/>
          <w:szCs w:val="20"/>
          <w:color w:val="auto"/>
        </w:rPr>
      </w:pPr>
      <w:r>
        <w:rPr>
          <w:rFonts w:ascii="Arial" w:cs="Arial" w:eastAsia="Arial" w:hAnsi="Arial"/>
          <w:sz w:val="20"/>
          <w:szCs w:val="20"/>
          <w:color w:val="auto"/>
        </w:rPr>
        <w:t>Any reference in any Loan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71" w:name="page72"/>
    <w:bookmarkEnd w:id="71"/>
    <w:p>
      <w:pPr>
        <w:jc w:val="both"/>
        <w:spacing w:after="0" w:line="291" w:lineRule="auto"/>
        <w:rPr>
          <w:sz w:val="20"/>
          <w:szCs w:val="20"/>
          <w:color w:val="auto"/>
        </w:rPr>
      </w:pPr>
      <w:r>
        <w:rPr>
          <w:rFonts w:ascii="Arial" w:cs="Arial" w:eastAsia="Arial" w:hAnsi="Arial"/>
          <w:sz w:val="18"/>
          <w:szCs w:val="18"/>
          <w:color w:val="auto"/>
        </w:rPr>
        <w:t>venture or any other like term shall also constitute such a Person)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w:t>
      </w:r>
    </w:p>
    <w:p>
      <w:pPr>
        <w:spacing w:after="0" w:line="14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1.3 Rounding</w:t>
      </w:r>
      <w:r>
        <w:rPr>
          <w:rFonts w:ascii="Arial" w:cs="Arial" w:eastAsia="Arial" w:hAnsi="Arial"/>
          <w:sz w:val="20"/>
          <w:szCs w:val="20"/>
          <w:color w:val="auto"/>
        </w:rPr>
        <w:t>. Any financial ratios required to be maintained by the Borrower pursuant to this Agreement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1.4 Limited Condition Acquisition</w:t>
      </w:r>
      <w:r>
        <w:rPr>
          <w:rFonts w:ascii="Arial" w:cs="Arial" w:eastAsia="Arial" w:hAnsi="Arial"/>
          <w:sz w:val="18"/>
          <w:szCs w:val="18"/>
          <w:color w:val="auto"/>
        </w:rPr>
        <w:t>. In connection with any action being taken in connection with a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Acquisition, for purposes of determining compliance with any provision of this Agreement which requires the calculation of any financial ratio or metric, at the option of the Borrower (and, if the Borrower elects to exercise such option, such option shall be exercised on or prior to the date on which the definitive agreement for such Limited Condition Acquisition is executed) (the Borrower’s election to exercise such option in connection with any Limited Condition Acquisition, an “</w:t>
      </w:r>
      <w:r>
        <w:rPr>
          <w:rFonts w:ascii="Arial" w:cs="Arial" w:eastAsia="Arial" w:hAnsi="Arial"/>
          <w:sz w:val="18"/>
          <w:szCs w:val="18"/>
          <w:b w:val="1"/>
          <w:bCs w:val="1"/>
          <w:i w:val="1"/>
          <w:iCs w:val="1"/>
          <w:color w:val="auto"/>
        </w:rPr>
        <w:t>LCA Election</w:t>
      </w:r>
      <w:r>
        <w:rPr>
          <w:rFonts w:ascii="Arial" w:cs="Arial" w:eastAsia="Arial" w:hAnsi="Arial"/>
          <w:sz w:val="18"/>
          <w:szCs w:val="18"/>
          <w:color w:val="auto"/>
        </w:rPr>
        <w:t>”), then notwithstanding anything else to the contrary contained in this Agreement, the date of determination of whether any such action satisfied such financial ratio or metric, shall be deemed to be the date the definitive agreements for such Limited Condition Acquisition are entered into (the “</w:t>
      </w:r>
      <w:r>
        <w:rPr>
          <w:rFonts w:ascii="Arial" w:cs="Arial" w:eastAsia="Arial" w:hAnsi="Arial"/>
          <w:sz w:val="18"/>
          <w:szCs w:val="18"/>
          <w:b w:val="1"/>
          <w:bCs w:val="1"/>
          <w:i w:val="1"/>
          <w:iCs w:val="1"/>
          <w:color w:val="auto"/>
        </w:rPr>
        <w:t>LCA Test Date</w:t>
      </w:r>
      <w:r>
        <w:rPr>
          <w:rFonts w:ascii="Arial" w:cs="Arial" w:eastAsia="Arial" w:hAnsi="Arial"/>
          <w:sz w:val="18"/>
          <w:szCs w:val="18"/>
          <w:color w:val="auto"/>
        </w:rPr>
        <w:t>”), and if, after giving pro forma effect to the Limited Condition Acquisition and the other transactions to be entered into in connection therewith (including any Incurrence of Indebtedness and the use of proceeds thereof) as if they had occurred at the beginning of the most recent period of four fiscal quarters then ended prior to the LCA Test Date for which consolidated financial statements of the Borrower are available, the Borrower could have taken such action on the relevant LCA Test Date in compliance with such ratio or basket, such ratio or basket shall be deemed to have been complied with. If the Borrower has made an LCA Election for any Limited Condition Acquisition, then in connection with any subsequent calculation of any basket availability with respect to the incurrence of Indebtedness, the grant of Liens, or the making of Investments, Restricted Payments, Dispositions, mergers and consolidations or other transfer of all or substantially all of the assets of any Group Member on or following the relevant LCA Test Date and prior to the earlier of the date on which such Limited Condition Acquisition is consummated or the definitive agreement for such Limited Condition Acquisition is terminated or expires without consummation of such Limited Condition Acquisition, any such ratio or basket shall be calculated on a Pro Forma Basis assuming both that such Limited Condition Acquisition and other transactions in connection therewith (including any incurrence of Indebtedness and the use of proceeds thereof) have been consummated and have not been consummated.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AMOUNT AND TERMS OF COMMITMENTS</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6"/>
          <w:szCs w:val="16"/>
          <w:b w:val="1"/>
          <w:bCs w:val="1"/>
          <w:color w:val="auto"/>
        </w:rPr>
        <w:t>Revolving Commitments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44" w:lineRule="auto"/>
        <w:tabs>
          <w:tab w:leader="none" w:pos="1944" w:val="left"/>
        </w:tabs>
        <w:numPr>
          <w:ilvl w:val="0"/>
          <w:numId w:val="31"/>
        </w:numPr>
        <w:rPr>
          <w:rFonts w:ascii="Arial" w:cs="Arial" w:eastAsia="Arial" w:hAnsi="Arial"/>
          <w:sz w:val="20"/>
          <w:szCs w:val="20"/>
          <w:color w:val="auto"/>
        </w:rPr>
      </w:pPr>
      <w:r>
        <w:rPr>
          <w:rFonts w:ascii="Arial" w:cs="Arial" w:eastAsia="Arial" w:hAnsi="Arial"/>
          <w:sz w:val="20"/>
          <w:szCs w:val="20"/>
          <w:color w:val="auto"/>
        </w:rPr>
        <w:t>Subject to the terms and conditions hereof, each Revolving Lender severally agrees to make revolving credit loans (each, a “</w:t>
      </w:r>
      <w:r>
        <w:rPr>
          <w:rFonts w:ascii="Arial" w:cs="Arial" w:eastAsia="Arial" w:hAnsi="Arial"/>
          <w:sz w:val="20"/>
          <w:szCs w:val="20"/>
          <w:b w:val="1"/>
          <w:bCs w:val="1"/>
          <w:i w:val="1"/>
          <w:iCs w:val="1"/>
          <w:color w:val="auto"/>
        </w:rPr>
        <w:t>Revolving Loan</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Revolving Loans</w:t>
      </w:r>
      <w:r>
        <w:rPr>
          <w:rFonts w:ascii="Arial" w:cs="Arial" w:eastAsia="Arial" w:hAnsi="Arial"/>
          <w:sz w:val="20"/>
          <w:szCs w:val="20"/>
          <w:color w:val="auto"/>
        </w:rPr>
        <w:t>”) to the Borrower from time to time during the Revolving Commitment Period in an aggregate principal amount at any one time outstanding which, when added to the aggregate outstanding amount of the Swingline Loans, the aggregate undrawn amount of all outstanding Letters of Credit, and the aggregate amount of all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72" w:name="page73"/>
    <w:bookmarkEnd w:id="72"/>
    <w:p>
      <w:pPr>
        <w:jc w:val="both"/>
        <w:spacing w:after="0" w:line="243" w:lineRule="auto"/>
        <w:rPr>
          <w:sz w:val="20"/>
          <w:szCs w:val="20"/>
          <w:color w:val="auto"/>
        </w:rPr>
      </w:pPr>
      <w:r>
        <w:rPr>
          <w:rFonts w:ascii="Arial" w:cs="Arial" w:eastAsia="Arial" w:hAnsi="Arial"/>
          <w:sz w:val="20"/>
          <w:szCs w:val="20"/>
          <w:color w:val="auto"/>
        </w:rPr>
        <w:t xml:space="preserve">Disbursements that have not yet been reimbursed or converted into Revolving Loans, incurred on behalf of the Borrower and owing to such Lender, does not exceed the amount of such Lender’s Revolving Commitment. In addition, such aggregate obligations shall not at any time exceed the Total Revolving Commitments in effect at such time. During the Revolving Commitment Period the Borrower may use the Revolving Commitments by borrowing, prepaying the Revolving Loans in whole or in part, and reborrowing, all in accordance with the terms and conditions hereof. The Revolving Loans may from time to time be Eurodollar Loans or ABR Loans, as determined by the Borrower and notified to the Administrative Agent in accordance with </w:t>
      </w:r>
      <w:r>
        <w:rPr>
          <w:rFonts w:ascii="Arial" w:cs="Arial" w:eastAsia="Arial" w:hAnsi="Arial"/>
          <w:sz w:val="20"/>
          <w:szCs w:val="20"/>
          <w:u w:val="single" w:color="auto"/>
          <w:color w:val="auto"/>
        </w:rPr>
        <w:t>Sections 2.5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2.13</w:t>
      </w:r>
      <w:r>
        <w:rPr>
          <w:rFonts w:ascii="Arial" w:cs="Arial" w:eastAsia="Arial" w:hAnsi="Arial"/>
          <w:sz w:val="20"/>
          <w:szCs w:val="20"/>
          <w:color w:val="auto"/>
        </w:rPr>
        <w:t>.</w:t>
      </w:r>
    </w:p>
    <w:p>
      <w:pPr>
        <w:spacing w:after="0" w:line="193" w:lineRule="exact"/>
        <w:rPr>
          <w:sz w:val="20"/>
          <w:szCs w:val="20"/>
          <w:color w:val="auto"/>
        </w:rPr>
      </w:pPr>
    </w:p>
    <w:p>
      <w:pPr>
        <w:ind w:firstLine="1304"/>
        <w:spacing w:after="0" w:line="260" w:lineRule="auto"/>
        <w:tabs>
          <w:tab w:leader="none" w:pos="1944"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Borrower shall repay all outstanding Revolving Loans (including all Overadvances to the extent not previously repaid) on the Revolving Termination Date.</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2.5 Procedure for Revolving Loan Borrowing</w:t>
      </w:r>
      <w:r>
        <w:rPr>
          <w:rFonts w:ascii="Arial" w:cs="Arial" w:eastAsia="Arial" w:hAnsi="Arial"/>
          <w:sz w:val="18"/>
          <w:szCs w:val="18"/>
          <w:color w:val="auto"/>
        </w:rPr>
        <w:t>. The Borrower may borrow under the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Commitments during the Revolving Commitment Period on any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give the Administrative Agent an irrevocable Notice of Borrowing (which must be received by the Administrative Agent prior to 12:00 P.M. noon (New York City time) (a) three (3) Business Days prior to the requested Borrowing Date, in the case of Eurodollar Loans, or (b) one (1) Business Day prior to the requested Borrowing Date, in the case of ABR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of Borrowing of ABR Loans under the Revolving Facility to finance payments under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may be given not later than 12:00 P.M. noon (New York City time) on the date of the proposed borrowing), in each such case specifying (i) the amount and Type of Revolving Loans to be borrowed, (ii) the requested Borrowing Date, (iii) in the case of Eurodollar Loans, the respective amounts of each such Type of Loan and the respective lengths of the initial Interest Period therefor, and (iv) instructions for remittance of the proceeds of the applicable Loans to be borrowed. Each borrowing under the Revolving Commitments shall be in an amount equal $100,000 or a whole multiple of $100,000 in excess thereof (or, if the then Available Revolving Commitments are less than $100,000, such lesser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Swingline Lender may request, on behalf of the Borrower, borrowings under the Revolving Commitments that are ABR Loans in other amounts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Upon receipt of any such Notice of Borrowing from the Borrower, the Administrative Agent shall promptly notify each Revolving Lender thereof. Each Revolving Lender will make the amount of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each such borrowing available to the Administrative Agent for the account of the Borrower at the Revolving Loan Funding Office prior to 2:00 P.M. (New York City time) on the Borrowing Date requested by the Borrower in funds immediately available to the Administrative Agent. Such borrowing will then be made available to the Borrower by the Administrative Agent crediting such account as is designated in writing to the Administrative Agent by the Borrower with the aggregate of the amounts made available to the Administrative Agent by the Revolving Lenders and in like funds as received by the Administrative Agent.</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2.6 Swingline Commitment</w:t>
      </w:r>
      <w:r>
        <w:rPr>
          <w:rFonts w:ascii="Arial" w:cs="Arial" w:eastAsia="Arial" w:hAnsi="Arial"/>
          <w:sz w:val="19"/>
          <w:szCs w:val="19"/>
          <w:color w:val="auto"/>
        </w:rPr>
        <w:t>. Subject to the terms and conditions hereof, the Swingline Lender agrees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available a portion of the credit accommodations otherwise available to the Borrower under the Revolving Commitments from time to time during the Revolving Commitment Period by making swing line loans (each a “</w:t>
      </w:r>
      <w:r>
        <w:rPr>
          <w:rFonts w:ascii="Arial" w:cs="Arial" w:eastAsia="Arial" w:hAnsi="Arial"/>
          <w:sz w:val="19"/>
          <w:szCs w:val="19"/>
          <w:b w:val="1"/>
          <w:bCs w:val="1"/>
          <w:i w:val="1"/>
          <w:iCs w:val="1"/>
          <w:color w:val="auto"/>
        </w:rPr>
        <w:t>Swingline Loan</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Swingline Loans</w:t>
      </w:r>
      <w:r>
        <w:rPr>
          <w:rFonts w:ascii="Arial" w:cs="Arial" w:eastAsia="Arial" w:hAnsi="Arial"/>
          <w:sz w:val="19"/>
          <w:szCs w:val="19"/>
          <w:color w:val="auto"/>
        </w:rPr>
        <w:t xml:space="preserve">”) to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aggregate principal amount of Swingline Loans outstanding at any time shall not exceed the Swingline Commitment then in effect, (b) the Borrower shall not request, and the Swingline Lender shall not make, any Swingline Loan if, after giving effect to the making of such Swingline Loan, the amount of the Available Revolving Commitments would be less than zero, and (c) the Borrower shall not use the proceeds of any Swingline Loan to refinance any then outstanding Swingline Loan. During the Revolving Commitment Period, the Borrower may use the Swingline Commitment by borrowing, repaying and reborrowing, all in accordance with the terms and conditions hereof. Swingline Loans shall be ABR Loans only. The Borrower shall repay to the Swingline Lender the then unpaid principal amount of each Swingline Loan on the Revolving Termination Date. The Swingline Lender shall not make a Swingline Loan during the period commencing at the time it has received notice (by telephone or in writing)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73" w:name="page74"/>
    <w:bookmarkEnd w:id="73"/>
    <w:p>
      <w:pPr>
        <w:jc w:val="both"/>
        <w:spacing w:after="0" w:line="250" w:lineRule="auto"/>
        <w:rPr>
          <w:sz w:val="20"/>
          <w:szCs w:val="20"/>
          <w:color w:val="auto"/>
        </w:rPr>
      </w:pPr>
      <w:r>
        <w:rPr>
          <w:rFonts w:ascii="Arial" w:cs="Arial" w:eastAsia="Arial" w:hAnsi="Arial"/>
          <w:sz w:val="20"/>
          <w:szCs w:val="20"/>
          <w:color w:val="auto"/>
        </w:rPr>
        <w:t xml:space="preserve">Administrative Agent at the request of any Lender, acting in good faith, that one or more of the applicable conditions specified in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 5.2(d)</w:t>
      </w:r>
      <w:r>
        <w:rPr>
          <w:rFonts w:ascii="Arial" w:cs="Arial" w:eastAsia="Arial" w:hAnsi="Arial"/>
          <w:sz w:val="20"/>
          <w:szCs w:val="20"/>
          <w:color w:val="auto"/>
        </w:rPr>
        <w:t>) is not then satisfied and has had a reasonable opportunity to react to such notice and ending when such conditions are satisfied or duly waived.</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16"/>
          <w:szCs w:val="16"/>
          <w:b w:val="1"/>
          <w:bCs w:val="1"/>
          <w:color w:val="auto"/>
        </w:rPr>
        <w:t>Procedure for Swingline Borrowing; Refunding of Swingline Loans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55" w:lineRule="auto"/>
        <w:tabs>
          <w:tab w:leader="none" w:pos="1944"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Whenever the Borrower desires that the Swingline Lender make Swingline Loans the Borrower shall give the Swingline Lender irrevocable telephonic notice (which telephonic notice must be received by the Swingline Lender not later than 12:00 P.M. noon (New York City time) on the proposed Borrowing Date) confirmed promptly in writing by a Notice of Borrowing, specifying (i) the amount to be borrowed, (ii) the requested Borrowing Date (which shall be a Business Day during the Revolving Commitment Period), and (iii) instructions for the remittance of the proceeds of such Loan. Each borrowing under the Swingline Commitment shall be in an amount equal to $100,000 or a whole multiple of $100,000 in excess thereof. Promptly thereafter, on the Borrowing Date specified in a notice in respect of Swingline Loans, the Swingline Lender shall make available to the Borrower an amount in immediately available funds equal to the amount of the Swingline Loan to be made by depositing such amount in the account designated in writing to the Administrative Agent by the Borrower. Unless a Swingline Loan is sooner refinanced by the advance of a Revolving Loan pursuant to </w:t>
      </w:r>
      <w:r>
        <w:rPr>
          <w:rFonts w:ascii="Arial" w:cs="Arial" w:eastAsia="Arial" w:hAnsi="Arial"/>
          <w:sz w:val="19"/>
          <w:szCs w:val="19"/>
          <w:u w:val="single" w:color="auto"/>
          <w:color w:val="auto"/>
        </w:rPr>
        <w:t>Section 2.7(b)</w:t>
      </w:r>
      <w:r>
        <w:rPr>
          <w:rFonts w:ascii="Arial" w:cs="Arial" w:eastAsia="Arial" w:hAnsi="Arial"/>
          <w:sz w:val="19"/>
          <w:szCs w:val="19"/>
          <w:color w:val="auto"/>
        </w:rPr>
        <w:t>, such Swingline Loan shall be repaid by the Borrower no later than five (5) Business Days after the advance of such Swingline Loan.</w:t>
      </w:r>
    </w:p>
    <w:p>
      <w:pPr>
        <w:spacing w:after="0" w:line="184" w:lineRule="exact"/>
        <w:rPr>
          <w:rFonts w:ascii="Arial" w:cs="Arial" w:eastAsia="Arial" w:hAnsi="Arial"/>
          <w:sz w:val="19"/>
          <w:szCs w:val="19"/>
          <w:color w:val="auto"/>
        </w:rPr>
      </w:pPr>
    </w:p>
    <w:p>
      <w:pPr>
        <w:jc w:val="both"/>
        <w:ind w:firstLine="1304"/>
        <w:spacing w:after="0" w:line="270" w:lineRule="auto"/>
        <w:tabs>
          <w:tab w:leader="none" w:pos="1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Swingline Lender, at any time and from time to time in its sole and absolute discretion may, on behalf of the Borrower (which hereby irrevocably directs the Swingline Lender to act on its behalf), on one Business Day’s telephonic notice given by the Swingline Lender no later than 12:00 P.M. and promptly confirmed in writing, request each Revolving Lender to make, and each Revolving Lender hereby agrees to make, a Revolving Loan, in an amount equal to such Revolving Lender’s Revolving Percentage of the aggregate amount of such Swingline Loan (each a “</w:t>
      </w:r>
      <w:r>
        <w:rPr>
          <w:rFonts w:ascii="Arial" w:cs="Arial" w:eastAsia="Arial" w:hAnsi="Arial"/>
          <w:sz w:val="18"/>
          <w:szCs w:val="18"/>
          <w:b w:val="1"/>
          <w:bCs w:val="1"/>
          <w:i w:val="1"/>
          <w:iCs w:val="1"/>
          <w:color w:val="auto"/>
        </w:rPr>
        <w:t>Refunded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Swingline Loan</w:t>
      </w:r>
      <w:r>
        <w:rPr>
          <w:rFonts w:ascii="Arial" w:cs="Arial" w:eastAsia="Arial" w:hAnsi="Arial"/>
          <w:sz w:val="18"/>
          <w:szCs w:val="18"/>
          <w:color w:val="auto"/>
        </w:rPr>
        <w:t>”) outstanding on the date of such notice, to repay the Swingline Lender. Each Revolving Lender shall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amount of such Revolving Loan available to the Administrative Agent at the Revolving Loan Funding Office in immediately available funds, not later than 10:00 A.M. (New York City time) one Business Day after the date of such notice. The proceeds of such Revolving Loan shall immediately be made available by the Administrative Agent to the Swingline Lender for application by the Swingline Lender to the repayment of the Refunded Swingline Loan. The Borrower irrevocably authorizes the Swingline Lender to charge the Borrower’s accounts with the Administrative Agent (up to the amount available in each such account) immediately to pay the amount of any Refunded Swingline Loan to the extent amounts received from the Revolving Lenders are not sufficient to repay in full such Refunded Swingline Loan.</w:t>
      </w:r>
    </w:p>
    <w:p>
      <w:pPr>
        <w:spacing w:after="0" w:line="172" w:lineRule="exact"/>
        <w:rPr>
          <w:rFonts w:ascii="Arial" w:cs="Arial" w:eastAsia="Arial" w:hAnsi="Arial"/>
          <w:sz w:val="18"/>
          <w:szCs w:val="18"/>
          <w:color w:val="auto"/>
        </w:rPr>
      </w:pPr>
    </w:p>
    <w:p>
      <w:pPr>
        <w:jc w:val="both"/>
        <w:ind w:firstLine="1304"/>
        <w:spacing w:after="0" w:line="272" w:lineRule="auto"/>
        <w:tabs>
          <w:tab w:leader="none" w:pos="1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If prior to the time that the Borrower has repaid the Swingline Loans pursuant to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or a Revolving Loan has been made pursuant to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one of the events described in </w:t>
      </w:r>
      <w:r>
        <w:rPr>
          <w:rFonts w:ascii="Arial" w:cs="Arial" w:eastAsia="Arial" w:hAnsi="Arial"/>
          <w:sz w:val="18"/>
          <w:szCs w:val="18"/>
          <w:u w:val="single" w:color="auto"/>
          <w:color w:val="auto"/>
        </w:rPr>
        <w:t>Section 8.1(f)</w:t>
      </w:r>
      <w:r>
        <w:rPr>
          <w:rFonts w:ascii="Arial" w:cs="Arial" w:eastAsia="Arial" w:hAnsi="Arial"/>
          <w:sz w:val="18"/>
          <w:szCs w:val="18"/>
          <w:color w:val="auto"/>
        </w:rPr>
        <w:t xml:space="preserve"> shall have occurred or if for any other reason, as determined by the Swingline Lender in its sole discretion, Revolving Loans may not be made as contemplated by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each Revolving Lender shall, on the date such Revolving Loan was to have been made pursuant to the notice referred to in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or on the date requested by the Swingline Lender (with at least one (1) Business Day’s notice to the Revolving Lenders), purchase for cash an undivided participating interest in the then outstanding Swingline Loans by paying to the Swingline Lender an amount (the “</w:t>
      </w:r>
      <w:r>
        <w:rPr>
          <w:rFonts w:ascii="Arial" w:cs="Arial" w:eastAsia="Arial" w:hAnsi="Arial"/>
          <w:sz w:val="18"/>
          <w:szCs w:val="18"/>
          <w:b w:val="1"/>
          <w:bCs w:val="1"/>
          <w:i w:val="1"/>
          <w:iCs w:val="1"/>
          <w:color w:val="auto"/>
        </w:rPr>
        <w:t>Swingline Participation Amount</w:t>
      </w:r>
      <w:r>
        <w:rPr>
          <w:rFonts w:ascii="Arial" w:cs="Arial" w:eastAsia="Arial" w:hAnsi="Arial"/>
          <w:sz w:val="18"/>
          <w:szCs w:val="18"/>
          <w:color w:val="auto"/>
        </w:rPr>
        <w:t xml:space="preserve">”) equal to (i) such Revolving Lender’s Revolving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the sum of the aggregate principal amount of the outstanding Swingline Loans that were to have been repaid with such Revolving Loans.</w:t>
      </w:r>
    </w:p>
    <w:p>
      <w:pPr>
        <w:spacing w:after="0" w:line="170" w:lineRule="exact"/>
        <w:rPr>
          <w:rFonts w:ascii="Arial" w:cs="Arial" w:eastAsia="Arial" w:hAnsi="Arial"/>
          <w:sz w:val="18"/>
          <w:szCs w:val="18"/>
          <w:color w:val="auto"/>
        </w:rPr>
      </w:pPr>
    </w:p>
    <w:p>
      <w:pPr>
        <w:jc w:val="both"/>
        <w:ind w:firstLine="1304"/>
        <w:spacing w:after="0" w:line="250" w:lineRule="auto"/>
        <w:tabs>
          <w:tab w:leader="none" w:pos="1944" w:val="left"/>
        </w:tabs>
        <w:numPr>
          <w:ilvl w:val="0"/>
          <w:numId w:val="33"/>
        </w:numPr>
        <w:rPr>
          <w:rFonts w:ascii="Arial" w:cs="Arial" w:eastAsia="Arial" w:hAnsi="Arial"/>
          <w:sz w:val="20"/>
          <w:szCs w:val="20"/>
          <w:color w:val="auto"/>
        </w:rPr>
      </w:pPr>
      <w:r>
        <w:rPr>
          <w:rFonts w:ascii="Arial" w:cs="Arial" w:eastAsia="Arial" w:hAnsi="Arial"/>
          <w:sz w:val="20"/>
          <w:szCs w:val="20"/>
          <w:color w:val="auto"/>
        </w:rPr>
        <w:t>Whenever, at any time after the Swingline Lender has received from any Revolving Lender such Lender’s Swingline Participation Amount, the Swingline Lender receives any payment on account of the Swingline Loans, the Swingline Lender will distribute to such Lender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74" w:name="page75"/>
    <w:bookmarkEnd w:id="74"/>
    <w:p>
      <w:pPr>
        <w:jc w:val="both"/>
        <w:spacing w:after="0" w:line="243" w:lineRule="auto"/>
        <w:rPr>
          <w:sz w:val="20"/>
          <w:szCs w:val="20"/>
          <w:color w:val="auto"/>
        </w:rPr>
      </w:pPr>
      <w:r>
        <w:rPr>
          <w:rFonts w:ascii="Arial" w:cs="Arial" w:eastAsia="Arial" w:hAnsi="Arial"/>
          <w:sz w:val="20"/>
          <w:szCs w:val="20"/>
          <w:color w:val="auto"/>
        </w:rPr>
        <w:t xml:space="preserve">Swingline Participation Amount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then due);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that such payment received by the Swingline Lender is required to be returned, such Revolving Lender will return to the Swingline Lender any portion thereof previously distributed to it by the Swingline Lender.</w:t>
      </w:r>
    </w:p>
    <w:p>
      <w:pPr>
        <w:spacing w:after="0" w:line="196" w:lineRule="exact"/>
        <w:rPr>
          <w:sz w:val="20"/>
          <w:szCs w:val="20"/>
          <w:color w:val="auto"/>
        </w:rPr>
      </w:pPr>
    </w:p>
    <w:p>
      <w:pPr>
        <w:jc w:val="both"/>
        <w:ind w:firstLine="1304"/>
        <w:spacing w:after="0" w:line="269" w:lineRule="auto"/>
        <w:tabs>
          <w:tab w:leader="none" w:pos="1944"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Each Revolving Lender’s obligation to make the Loans referred to in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and to purchase participating interests pursuant to </w:t>
      </w:r>
      <w:r>
        <w:rPr>
          <w:rFonts w:ascii="Arial" w:cs="Arial" w:eastAsia="Arial" w:hAnsi="Arial"/>
          <w:sz w:val="18"/>
          <w:szCs w:val="18"/>
          <w:u w:val="single" w:color="auto"/>
          <w:color w:val="auto"/>
        </w:rPr>
        <w:t>Section 2.7(c)</w:t>
      </w:r>
      <w:r>
        <w:rPr>
          <w:rFonts w:ascii="Arial" w:cs="Arial" w:eastAsia="Arial" w:hAnsi="Arial"/>
          <w:sz w:val="18"/>
          <w:szCs w:val="18"/>
          <w:color w:val="auto"/>
        </w:rPr>
        <w:t xml:space="preserve"> shall be absolute and unconditional and shall not be affected by any circumstance, including (i) any setoff, counterclaim, recoupment, defense or other right that such Revolving Lender or the Borrower may have against the Swingline Lender, the Borrower or any other Person for any reason whatsoever, (ii) the occurrence of a Default or an Event of Default or the failure to satisfy any of the other conditions specified in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3" w:lineRule="exact"/>
        <w:rPr>
          <w:rFonts w:ascii="Arial" w:cs="Arial" w:eastAsia="Arial" w:hAnsi="Arial"/>
          <w:sz w:val="18"/>
          <w:szCs w:val="18"/>
          <w:color w:val="auto"/>
        </w:rPr>
      </w:pPr>
    </w:p>
    <w:p>
      <w:pPr>
        <w:jc w:val="both"/>
        <w:ind w:firstLine="8"/>
        <w:spacing w:after="0" w:line="241" w:lineRule="auto"/>
        <w:tabs>
          <w:tab w:leader="none" w:pos="356"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any adverse change in the condition (financial or otherwise) of the Borrower, (iv) any breach of this Agreement or any other Loan Document by the Borrower, any other Loan Party or any other Revolving Lender, or (v) any other circumstance, happening or event whatsoever, whether or not similar to any of the foregoing.</w:t>
      </w:r>
    </w:p>
    <w:p>
      <w:pPr>
        <w:spacing w:after="0" w:line="195" w:lineRule="exact"/>
        <w:rPr>
          <w:rFonts w:ascii="Arial" w:cs="Arial" w:eastAsia="Arial" w:hAnsi="Arial"/>
          <w:sz w:val="20"/>
          <w:szCs w:val="20"/>
          <w:color w:val="auto"/>
        </w:rPr>
      </w:pPr>
    </w:p>
    <w:p>
      <w:pPr>
        <w:jc w:val="both"/>
        <w:ind w:firstLine="1304"/>
        <w:spacing w:after="0" w:line="274" w:lineRule="auto"/>
        <w:tabs>
          <w:tab w:leader="none" w:pos="19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Swingline Lender may resign at any time by giving 30 days’ prior notice to the Administrative Agent, the Lenders and the Borrower. Following such notice of resignation from the Swingline Lender, the Swingline Lender may be replaced at any time by written agreement among the Borrower, the Administrative Agent, the Required Lenders and the successor Swingline Lender. After the resignation or replacement of the Swingline Lender hereunder, the retiring Swingline Lender shall remain a party hereto and shall continue to have all the rights and obligations of the Swingline Lender under this Agreement and the other Loan Documents with respect to Swingline Loans made by it prior to such resignation or replacement, but shall not be required or permitted to make any additional Swingline Loans.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16"/>
          <w:szCs w:val="16"/>
          <w:b w:val="1"/>
          <w:bCs w:val="1"/>
          <w:color w:val="auto"/>
        </w:rPr>
        <w:t>Overadvances</w:t>
      </w:r>
      <w:r>
        <w:rPr>
          <w:rFonts w:ascii="Arial" w:cs="Arial" w:eastAsia="Arial" w:hAnsi="Arial"/>
          <w:sz w:val="16"/>
          <w:szCs w:val="16"/>
          <w:color w:val="auto"/>
        </w:rPr>
        <w:t>.</w:t>
      </w:r>
    </w:p>
    <w:p>
      <w:pPr>
        <w:spacing w:after="0" w:line="222"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If at any time or for any reason the aggregate amount of the Total Revolving Extensions of Credit exceeds the amount of the Total Revolving Commitments then in effect (any such excess, an “</w:t>
      </w:r>
      <w:r>
        <w:rPr>
          <w:rFonts w:ascii="Arial" w:cs="Arial" w:eastAsia="Arial" w:hAnsi="Arial"/>
          <w:sz w:val="20"/>
          <w:szCs w:val="20"/>
          <w:b w:val="1"/>
          <w:bCs w:val="1"/>
          <w:i w:val="1"/>
          <w:iCs w:val="1"/>
          <w:color w:val="auto"/>
        </w:rPr>
        <w:t>Overadvance</w:t>
      </w:r>
      <w:r>
        <w:rPr>
          <w:rFonts w:ascii="Arial" w:cs="Arial" w:eastAsia="Arial" w:hAnsi="Arial"/>
          <w:sz w:val="20"/>
          <w:szCs w:val="20"/>
          <w:color w:val="auto"/>
        </w:rPr>
        <w:t xml:space="preserve">”), the Borrower shall immediately pay the full amount of such Overadvance to the Administrative Agent, without notice or demand. Any prepayment of any Revolving Loan that is a Eurodollar Loan hereunder shall be subject to Borrower’s obligation to pay any amounts owing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w:t>
      </w:r>
    </w:p>
    <w:p>
      <w:pPr>
        <w:spacing w:after="0" w:line="222" w:lineRule="exact"/>
        <w:rPr>
          <w:sz w:val="20"/>
          <w:szCs w:val="20"/>
          <w:color w:val="auto"/>
        </w:rPr>
      </w:pPr>
    </w:p>
    <w:p>
      <w:pPr>
        <w:ind w:firstLine="1304"/>
        <w:spacing w:after="0" w:line="260" w:lineRule="auto"/>
        <w:tabs>
          <w:tab w:leader="none" w:pos="1944"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Fee Letter</w:t>
      </w:r>
      <w:r>
        <w:rPr>
          <w:rFonts w:ascii="Arial" w:cs="Arial" w:eastAsia="Arial" w:hAnsi="Arial"/>
          <w:sz w:val="20"/>
          <w:szCs w:val="20"/>
          <w:color w:val="auto"/>
        </w:rPr>
        <w:t>. The Borrower agrees to pay to the Administrative Agent the fees in the amounts and on the dates as set forth in the Fee Letter and to perform any other obligations contained therein.</w:t>
      </w:r>
    </w:p>
    <w:p>
      <w:pPr>
        <w:spacing w:after="0" w:line="176" w:lineRule="exact"/>
        <w:rPr>
          <w:rFonts w:ascii="Arial" w:cs="Arial" w:eastAsia="Arial" w:hAnsi="Arial"/>
          <w:sz w:val="20"/>
          <w:szCs w:val="20"/>
          <w:color w:val="auto"/>
        </w:rPr>
      </w:pPr>
    </w:p>
    <w:p>
      <w:pPr>
        <w:jc w:val="both"/>
        <w:ind w:firstLine="1304"/>
        <w:spacing w:after="0" w:line="274" w:lineRule="auto"/>
        <w:tabs>
          <w:tab w:leader="none" w:pos="194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As additional compensation for the Revolving Commitments, the Borrower shall pay to the Administrative Agent for the account of the Lenders, in arrears, on the first day of each calendar quarter of the Borrower prior to the Revolving Termination Date and on the Revolving Termination Date, a fee for the Borrower’s non-use of available funds in an amount equal to the Commitment Fee Rate per annum multiplied by the </w:t>
      </w:r>
      <w:r>
        <w:rPr>
          <w:rFonts w:ascii="Arial" w:cs="Arial" w:eastAsia="Arial" w:hAnsi="Arial"/>
          <w:sz w:val="18"/>
          <w:szCs w:val="18"/>
          <w:u w:val="single" w:color="auto"/>
          <w:color w:val="auto"/>
        </w:rPr>
        <w:t>difference</w:t>
      </w:r>
      <w:r>
        <w:rPr>
          <w:rFonts w:ascii="Arial" w:cs="Arial" w:eastAsia="Arial" w:hAnsi="Arial"/>
          <w:sz w:val="18"/>
          <w:szCs w:val="18"/>
          <w:color w:val="auto"/>
        </w:rPr>
        <w:t xml:space="preserve"> between (x) the Total Revolving Commitments (as they may be reduced or increased from time to time) and (y) the sum of (A) the average for the period of the daily closing balance of the Revolving Loans outstanding, excluding the aggregate principal amount of Swingline Loans which shall be deemed to be zero for purposes hereof,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75" w:name="page76"/>
    <w:bookmarkEnd w:id="75"/>
    <w:p>
      <w:pPr>
        <w:ind w:right="20"/>
        <w:spacing w:after="0" w:line="260" w:lineRule="auto"/>
        <w:rPr>
          <w:sz w:val="20"/>
          <w:szCs w:val="20"/>
          <w:color w:val="auto"/>
        </w:rPr>
      </w:pPr>
      <w:r>
        <w:rPr>
          <w:rFonts w:ascii="Arial" w:cs="Arial" w:eastAsia="Arial" w:hAnsi="Arial"/>
          <w:sz w:val="20"/>
          <w:szCs w:val="20"/>
          <w:color w:val="auto"/>
        </w:rPr>
        <w:t>aggregate undrawn amount of all Letters of Credit outstanding at such time and (C) the aggregate amount of all L/C Disbursements that have not yet been reimbursed or converted into Revolving Loans at such time.</w:t>
      </w:r>
    </w:p>
    <w:p>
      <w:pPr>
        <w:spacing w:after="0" w:line="177" w:lineRule="exact"/>
        <w:rPr>
          <w:sz w:val="20"/>
          <w:szCs w:val="20"/>
          <w:color w:val="auto"/>
        </w:rPr>
      </w:pPr>
    </w:p>
    <w:p>
      <w:pPr>
        <w:ind w:left="1960" w:hanging="656"/>
        <w:spacing w:after="0"/>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Fees Nonrefundable</w:t>
      </w:r>
      <w:r>
        <w:rPr>
          <w:rFonts w:ascii="Arial" w:cs="Arial" w:eastAsia="Arial" w:hAnsi="Arial"/>
          <w:sz w:val="18"/>
          <w:szCs w:val="18"/>
          <w:color w:val="auto"/>
        </w:rPr>
        <w:t xml:space="preserve">. All fees payable under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shall be fully earned on the date paid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 nonrefundable.</w:t>
      </w:r>
    </w:p>
    <w:p>
      <w:pPr>
        <w:spacing w:after="0" w:line="199" w:lineRule="exact"/>
        <w:rPr>
          <w:rFonts w:ascii="Arial" w:cs="Arial" w:eastAsia="Arial" w:hAnsi="Arial"/>
          <w:sz w:val="18"/>
          <w:szCs w:val="18"/>
          <w:color w:val="auto"/>
        </w:rPr>
      </w:pPr>
    </w:p>
    <w:p>
      <w:pPr>
        <w:jc w:val="both"/>
        <w:ind w:firstLine="1304"/>
        <w:spacing w:after="0" w:line="250" w:lineRule="auto"/>
        <w:tabs>
          <w:tab w:leader="none" w:pos="1944"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Increase in Fees</w:t>
      </w:r>
      <w:r>
        <w:rPr>
          <w:rFonts w:ascii="Arial" w:cs="Arial" w:eastAsia="Arial" w:hAnsi="Arial"/>
          <w:sz w:val="20"/>
          <w:szCs w:val="20"/>
          <w:color w:val="auto"/>
        </w:rPr>
        <w:t>. At any time that an Event of Default exists, upon the written request of the Required Lenders, the amount of any of the foregoing fees due under subsection (b) shall be increased by adding 2.00% per annum thereto.</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2.10</w:t>
      </w:r>
      <w:r>
        <w:rPr>
          <w:sz w:val="20"/>
          <w:szCs w:val="20"/>
          <w:color w:val="auto"/>
        </w:rPr>
        <w:tab/>
      </w:r>
      <w:r>
        <w:rPr>
          <w:rFonts w:ascii="Arial" w:cs="Arial" w:eastAsia="Arial" w:hAnsi="Arial"/>
          <w:sz w:val="16"/>
          <w:szCs w:val="16"/>
          <w:b w:val="1"/>
          <w:bCs w:val="1"/>
          <w:color w:val="auto"/>
        </w:rPr>
        <w:t>Termination or Reduction of Revolving Commitments; Prepayments</w:t>
      </w:r>
      <w:r>
        <w:rPr>
          <w:rFonts w:ascii="Arial" w:cs="Arial" w:eastAsia="Arial" w:hAnsi="Arial"/>
          <w:sz w:val="16"/>
          <w:szCs w:val="16"/>
          <w:color w:val="auto"/>
        </w:rPr>
        <w:t>.</w:t>
      </w:r>
    </w:p>
    <w:p>
      <w:pPr>
        <w:spacing w:after="0" w:line="222"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8"/>
          <w:szCs w:val="18"/>
          <w:color w:val="auto"/>
        </w:rPr>
        <w:t xml:space="preserve">The Borrower shall have the right, without penalty or premium, upon not less than three (3) Business Days’ notice to the Administrative Agent, to terminate the Revolving Commitments or, from time to time, to reduce the amount of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termination or reduction of the Revolving Commitments shall be permitted if, after giving effect thereto and to any prepayments of the Revolving Loans and Swingline Loans made on the effective date thereof (which prepayments may be made without penalty or premium other than any amounts owing (if any) pursuant to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the Total Revolving Extensions of Credit then outstanding would exceed the Total Revolving Commitments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indicates that such termination or reduction is conditioned on the occurrence of a transaction it may be revoked if such transaction is not consummated or delayed. Any such reduction shall be in an amount equal to $1,000,000, or a whole multiple thereof (or, if the then Total Revolving Commitments are less than $1,000,000, such lesser amount), and shall reduce permanently the Revolving Commitments then in effect;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if in connection with any such reduction or termination of the Revolving Commitments a Eurodollar Loan is prepaid on any day other than the last day of the Interest Period applicable thereto, the Borrower shall also pay any amounts owing (if any) pursuant to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The Borrower shall have the right, without penalty or premium, upon not less than three (3) Business Days’ notice to the Administrative Agent, to terminate the L/C Commitments or, from time to time, to reduce the amount of the L/C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termination or reduction of L/C Commitments shall be permitted if, after giving effect thereto, the Total L/C Commitments shall be reduced to an amount that would result in the aggregate L/C Exposure exceeding the Total L/C Commitments (as so reduced);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indicates that such termination or reduction is conditioned on the occurrence of a transaction it may be revoked if such transaction is not consummated. Any such reduction shall be in an amount equal to $1,000,000, or a whole multiple thereof (or, if the then Total L/C Commitments are less than $1,000,000, such lesser amount), and shall reduce permanently the L/C Commitments then in effect. The Borrower shall have the right, without penalty or premium other than any amounts owing (if any) pursuant to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at any time and from time to time to prepay any Loan in whole or in part, upon not less than three (3) Business Days’ notice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indicates that such prepayment is conditioned on the occurrence of a transaction it may be revoked if such transaction is not consummated or delayed. Upon receipt of any such notice, the Administrative Agent shall promptly notify each relevant Lender thereof. If any such notice is given, the amount specified in such notice shall be due and payable on the date specified therein, together with (except in the case of Revolving Loans that are ABR Loans and Swingline Loans) accrued interest to such date on the amount prepaid. Partial prepayments of Revolving Loans shall be in an aggregate principal amount of $100,000 or a whole multiple thereof. Partial prepayments of Swingline Loans shall be in an aggregate principal amount of $100,000 or a whole multiple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76" w:name="page77"/>
    <w:bookmarkEnd w:id="76"/>
    <w:p>
      <w:pPr>
        <w:ind w:left="660"/>
        <w:spacing w:after="0"/>
        <w:tabs>
          <w:tab w:leader="none" w:pos="128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2.13</w:t>
      </w:r>
      <w:r>
        <w:rPr>
          <w:sz w:val="20"/>
          <w:szCs w:val="20"/>
          <w:color w:val="auto"/>
        </w:rPr>
        <w:tab/>
      </w:r>
      <w:r>
        <w:rPr>
          <w:rFonts w:ascii="Arial" w:cs="Arial" w:eastAsia="Arial" w:hAnsi="Arial"/>
          <w:sz w:val="16"/>
          <w:szCs w:val="16"/>
          <w:b w:val="1"/>
          <w:bCs w:val="1"/>
          <w:color w:val="auto"/>
        </w:rPr>
        <w:t>Conversion and Continuation Options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41" w:lineRule="auto"/>
        <w:tabs>
          <w:tab w:leader="none" w:pos="1944"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The Borrower may elect from time to time to convert Eurodollar Loans to ABR Loans by giving the Administrative Agent prior irrevocable notice in a Notice of Conversion/Continuation of such election no later than 12:00 P.M. noon (New York City time) on the Business Day preceding the proposed conversion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conversion of Eurodollar Loans may only be made on the last day of an Interest Period with respect thereto. The Borrower may elect from time to time to convert ABR Loans to Eurodollar Loans by giving the Administrative Agent prior irrevocable notice in a Notice of Conversion/Continuation of such election no later than 12:00 P.M. noon (New York City time) on the third Business Day preceding the proposed conversion date (which notice shall specify the length of the initial Interest Period therefor);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ABR Loan may be converted into a Eurodollar Loan when any Event of Default has occurred and is continuing. Upon receipt of any such notice, the Administrative Agent shall promptly notify each relevant Lender thereof.</w:t>
      </w:r>
    </w:p>
    <w:p>
      <w:pPr>
        <w:spacing w:after="0" w:line="201" w:lineRule="exact"/>
        <w:rPr>
          <w:rFonts w:ascii="Arial" w:cs="Arial" w:eastAsia="Arial" w:hAnsi="Arial"/>
          <w:sz w:val="20"/>
          <w:szCs w:val="20"/>
          <w:color w:val="auto"/>
        </w:rPr>
      </w:pPr>
    </w:p>
    <w:p>
      <w:pPr>
        <w:jc w:val="both"/>
        <w:ind w:firstLine="1304"/>
        <w:spacing w:after="0" w:line="273" w:lineRule="auto"/>
        <w:tabs>
          <w:tab w:leader="none" w:pos="19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Any Eurodollar Loan may be continued as such upon the expiration of the then current Interest Period with respect thereto by the Borrower giving irrevocable notice in a Notice of Conversion/Continuation to the Administrative Agent, in accordance with the applicable provisions of the term “Interest Period”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length of the next Interest Period to be applicable to such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Eurodollar Loan may be continued as such when any Event of Default has occurred and is continuing;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Borrower shall fail to give any required notice as described above in this paragraph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w:t>
      </w:r>
    </w:p>
    <w:p>
      <w:pPr>
        <w:spacing w:after="0" w:line="1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2.14 Limitations on Eurodollar Tranches</w:t>
      </w:r>
      <w:r>
        <w:rPr>
          <w:rFonts w:ascii="Arial" w:cs="Arial" w:eastAsia="Arial" w:hAnsi="Arial"/>
          <w:sz w:val="19"/>
          <w:szCs w:val="19"/>
          <w:color w:val="auto"/>
        </w:rPr>
        <w:t>. Notwithstanding anything to the contrary in this Agreement, all</w:t>
      </w:r>
      <w:r>
        <w:rPr>
          <w:rFonts w:ascii="Arial" w:cs="Arial" w:eastAsia="Arial" w:hAnsi="Arial"/>
          <w:sz w:val="19"/>
          <w:szCs w:val="19"/>
          <w:b w:val="1"/>
          <w:bCs w:val="1"/>
          <w:color w:val="auto"/>
        </w:rPr>
        <w:t xml:space="preserve"> </w:t>
      </w:r>
      <w:r>
        <w:rPr>
          <w:rFonts w:ascii="Arial" w:cs="Arial" w:eastAsia="Arial" w:hAnsi="Arial"/>
          <w:sz w:val="19"/>
          <w:szCs w:val="19"/>
          <w:color w:val="auto"/>
        </w:rPr>
        <w:t>borrowings, conversions and continuations of Eurodollar Loans and all selections of Interest Periods shall be in such amounts and be made pursuant to such elections so that, (a) after giving effect thereto, the aggregate principal amount of the Eurodollar Loans comprising each Eurodollar Tranche shall be equal to $100,000 or a whole multiple of $100,000 in excess thereof, and (b) no more than seven (7) Eurodollar Tranches shall be outstanding at any one time.</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16"/>
          <w:szCs w:val="16"/>
          <w:b w:val="1"/>
          <w:bCs w:val="1"/>
          <w:color w:val="auto"/>
        </w:rPr>
        <w:t>Interest Rates and Payment Dates</w:t>
      </w:r>
      <w:r>
        <w:rPr>
          <w:rFonts w:ascii="Arial" w:cs="Arial" w:eastAsia="Arial" w:hAnsi="Arial"/>
          <w:sz w:val="16"/>
          <w:szCs w:val="16"/>
          <w:color w:val="auto"/>
        </w:rPr>
        <w:t>.</w:t>
      </w:r>
    </w:p>
    <w:p>
      <w:pPr>
        <w:spacing w:after="0" w:line="222" w:lineRule="exact"/>
        <w:rPr>
          <w:sz w:val="20"/>
          <w:szCs w:val="20"/>
          <w:color w:val="auto"/>
        </w:rPr>
      </w:pPr>
    </w:p>
    <w:p>
      <w:pPr>
        <w:ind w:right="20" w:firstLine="1304"/>
        <w:spacing w:after="0" w:line="287" w:lineRule="auto"/>
        <w:tabs>
          <w:tab w:leader="none" w:pos="1944"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Each Eurodollar Loan shall bear interest for each day during each Interest Period with respect thereto at a rate per annum equal to (i) the Eurodollar Rate determined for such day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Applicable Margin.</w:t>
      </w:r>
    </w:p>
    <w:p>
      <w:pPr>
        <w:spacing w:after="0" w:line="152" w:lineRule="exact"/>
        <w:rPr>
          <w:rFonts w:ascii="Arial" w:cs="Arial" w:eastAsia="Arial" w:hAnsi="Arial"/>
          <w:sz w:val="19"/>
          <w:szCs w:val="19"/>
          <w:color w:val="auto"/>
        </w:rPr>
      </w:pPr>
    </w:p>
    <w:p>
      <w:pPr>
        <w:ind w:right="20" w:firstLine="1304"/>
        <w:spacing w:after="0" w:line="260" w:lineRule="auto"/>
        <w:tabs>
          <w:tab w:leader="none" w:pos="1944"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Each ABR Loan (including any Swingline Loan) shall bear interest at a rate per annum equal to (i) the ABR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the Applicable Margin.</w:t>
      </w:r>
    </w:p>
    <w:p>
      <w:pPr>
        <w:spacing w:after="0" w:line="176" w:lineRule="exact"/>
        <w:rPr>
          <w:rFonts w:ascii="Arial" w:cs="Arial" w:eastAsia="Arial" w:hAnsi="Arial"/>
          <w:sz w:val="20"/>
          <w:szCs w:val="20"/>
          <w:color w:val="auto"/>
        </w:rPr>
      </w:pPr>
    </w:p>
    <w:p>
      <w:pPr>
        <w:jc w:val="both"/>
        <w:ind w:firstLine="1304"/>
        <w:spacing w:after="0" w:line="244" w:lineRule="auto"/>
        <w:tabs>
          <w:tab w:leader="none" w:pos="1944"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During the existence of an Event of Default, at the written request of the Required Lenders, all outstanding Loans shall bear interest at a rate per annum equal to the rate that would otherwise be applicable thereto pursuant to the foregoing provisions of this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plus 2.00% (the “</w:t>
      </w:r>
      <w:r>
        <w:rPr>
          <w:rFonts w:ascii="Arial" w:cs="Arial" w:eastAsia="Arial" w:hAnsi="Arial"/>
          <w:sz w:val="20"/>
          <w:szCs w:val="20"/>
          <w:b w:val="1"/>
          <w:bCs w:val="1"/>
          <w:i w:val="1"/>
          <w:iCs w:val="1"/>
          <w:color w:val="auto"/>
        </w:rPr>
        <w:t>Default Rate</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Default Rate shall apply to all outstanding Loans automatically and without any Required Lender consent therefor upon the occurrence of any Event of Default arising under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(f)</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77" w:name="page78"/>
    <w:bookmarkEnd w:id="77"/>
    <w:p>
      <w:pPr>
        <w:ind w:firstLine="1304"/>
        <w:spacing w:after="0" w:line="260" w:lineRule="auto"/>
        <w:tabs>
          <w:tab w:leader="none" w:pos="1944"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Interest shall be payable in arrears on each Interest Payment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interest accruing pursuant to </w:t>
      </w:r>
      <w:r>
        <w:rPr>
          <w:rFonts w:ascii="Arial" w:cs="Arial" w:eastAsia="Arial" w:hAnsi="Arial"/>
          <w:sz w:val="20"/>
          <w:szCs w:val="20"/>
          <w:u w:val="single" w:color="auto"/>
          <w:color w:val="auto"/>
        </w:rPr>
        <w:t>Section 2.15(c)</w:t>
      </w:r>
      <w:r>
        <w:rPr>
          <w:rFonts w:ascii="Arial" w:cs="Arial" w:eastAsia="Arial" w:hAnsi="Arial"/>
          <w:sz w:val="20"/>
          <w:szCs w:val="20"/>
          <w:color w:val="auto"/>
        </w:rPr>
        <w:t xml:space="preserve"> shall be payable from time to time on demand.</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2.16</w:t>
      </w:r>
      <w:r>
        <w:rPr>
          <w:sz w:val="20"/>
          <w:szCs w:val="20"/>
          <w:color w:val="auto"/>
        </w:rPr>
        <w:tab/>
      </w:r>
      <w:r>
        <w:rPr>
          <w:rFonts w:ascii="Arial" w:cs="Arial" w:eastAsia="Arial" w:hAnsi="Arial"/>
          <w:sz w:val="16"/>
          <w:szCs w:val="16"/>
          <w:b w:val="1"/>
          <w:bCs w:val="1"/>
          <w:color w:val="auto"/>
        </w:rPr>
        <w:t>Computation of Interest and Fees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73" w:lineRule="auto"/>
        <w:tabs>
          <w:tab w:leader="none" w:pos="19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and fees payable pursuant hereto shall be calculated on the basis of a 360-day year for the actual days elapsed, except that, with respect to ABR Loans the rate of interest on which is calculated on the basis of the Prime Rate, the interest thereon shall be calculated on the basis of a 365- (or 366-, as the case may be) day year for the actual days elapsed. The Administrative Agent shall as soon as practicable notify the Borrower and the relevant Lenders of each determination of a Eurodollar Rate. Any change in the interest rate on a Loan resulting from a change in the ABR or the Eurocurrency Reserve Requirements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68" w:lineRule="exact"/>
        <w:rPr>
          <w:rFonts w:ascii="Arial" w:cs="Arial" w:eastAsia="Arial" w:hAnsi="Arial"/>
          <w:sz w:val="18"/>
          <w:szCs w:val="18"/>
          <w:color w:val="auto"/>
        </w:rPr>
      </w:pPr>
    </w:p>
    <w:p>
      <w:pPr>
        <w:jc w:val="both"/>
        <w:ind w:firstLine="1304"/>
        <w:spacing w:after="0" w:line="263" w:lineRule="auto"/>
        <w:tabs>
          <w:tab w:leader="none" w:pos="1944"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Arial" w:cs="Arial" w:eastAsia="Arial" w:hAnsi="Arial"/>
          <w:sz w:val="19"/>
          <w:szCs w:val="19"/>
          <w:u w:val="single" w:color="auto"/>
          <w:color w:val="auto"/>
        </w:rPr>
        <w:t>Section 2.16(a)</w:t>
      </w:r>
      <w:r>
        <w:rPr>
          <w:rFonts w:ascii="Arial" w:cs="Arial" w:eastAsia="Arial" w:hAnsi="Arial"/>
          <w:sz w:val="19"/>
          <w:szCs w:val="19"/>
          <w:color w:val="auto"/>
        </w:rPr>
        <w: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2.17</w:t>
      </w:r>
      <w:r>
        <w:rPr>
          <w:sz w:val="20"/>
          <w:szCs w:val="20"/>
          <w:color w:val="auto"/>
        </w:rPr>
        <w:tab/>
      </w:r>
      <w:r>
        <w:rPr>
          <w:rFonts w:ascii="Arial" w:cs="Arial" w:eastAsia="Arial" w:hAnsi="Arial"/>
          <w:sz w:val="18"/>
          <w:szCs w:val="18"/>
          <w:b w:val="1"/>
          <w:bCs w:val="1"/>
          <w:color w:val="auto"/>
        </w:rPr>
        <w:t>Inability to Determine Interest Rate</w:t>
      </w:r>
      <w:r>
        <w:rPr>
          <w:rFonts w:ascii="Arial" w:cs="Arial" w:eastAsia="Arial" w:hAnsi="Arial"/>
          <w:sz w:val="18"/>
          <w:szCs w:val="18"/>
          <w:color w:val="auto"/>
        </w:rPr>
        <w:t>(a).</w:t>
      </w:r>
    </w:p>
    <w:p>
      <w:pPr>
        <w:spacing w:after="0" w:line="222" w:lineRule="exact"/>
        <w:rPr>
          <w:sz w:val="20"/>
          <w:szCs w:val="20"/>
          <w:color w:val="auto"/>
        </w:rPr>
      </w:pPr>
    </w:p>
    <w:p>
      <w:pPr>
        <w:jc w:val="both"/>
        <w:ind w:firstLine="1304"/>
        <w:spacing w:after="0" w:line="269" w:lineRule="auto"/>
        <w:tabs>
          <w:tab w:leader="none" w:pos="19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prior to the first day of any Interest Period, the Administrative Agent or the Required Lenders shall have determined (which determination shall be conclusive and binding upon the Borrower) in connection with any request for a Eurodollar Loan or a conversion to or a continuation thereof that, by reason of circumstances affecting the relevant market, (i) Dollar deposits are not being offered to banks in the London interbank market for the applicable amount and Interest Period of such requested Loan or conversion or continuation, as applicable, (ii) adequate and reasonable means do not exist for ascertaining the Eurodollar Rate for such Interest Period, or (iii) the Eurodollar Rate determined or to be determined for such Interest Period will not adequately and fairly reflect the cost to such Lenders (as conclusively certified by such Lenders) of making or maintaining their affected Loans during such Interest Period, then, in any such case (i), (ii) or (iii), the Administrative Agent shall promptly notify the Borrower and the relevant Lenders thereof as soon as practicable thereafter. Any such determination shall specify the basis for such determination and shall, in the absence of manifest error, be conclusive and binding for all purposes. Thereafter, (x) any Eurodollar Loans requested to be made on the first day of such Interest Period shall be made as ABR Loans, (y) any Loans that were to have been converted on the first day of such Interest Period to Eurodollar Loans shall be continued as ABR Loans and (z) any outstanding Eurodollar Loans shall be converted, on the last day of the then-current Interest Period, to ABR Loans. Until such notice has been withdrawn by the Administrative Agent, no further Eurodollar Loans shall be made or continued as such, nor shall the Borrower have the right to convert Loans to Eurodollar Loans.</w:t>
      </w:r>
    </w:p>
    <w:p>
      <w:pPr>
        <w:spacing w:after="0" w:line="176" w:lineRule="exact"/>
        <w:rPr>
          <w:rFonts w:ascii="Arial" w:cs="Arial" w:eastAsia="Arial" w:hAnsi="Arial"/>
          <w:sz w:val="18"/>
          <w:szCs w:val="18"/>
          <w:color w:val="auto"/>
        </w:rPr>
      </w:pPr>
    </w:p>
    <w:p>
      <w:pPr>
        <w:jc w:val="both"/>
        <w:ind w:firstLine="1304"/>
        <w:spacing w:after="0" w:line="273" w:lineRule="auto"/>
        <w:tabs>
          <w:tab w:leader="none" w:pos="19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If at any time the Administrative Agent determines (which determination shall be conclusive absent manifest error) that (i) the circumstances set forth in </w:t>
      </w:r>
      <w:r>
        <w:rPr>
          <w:rFonts w:ascii="Arial" w:cs="Arial" w:eastAsia="Arial" w:hAnsi="Arial"/>
          <w:sz w:val="18"/>
          <w:szCs w:val="18"/>
          <w:u w:val="single" w:color="auto"/>
          <w:color w:val="auto"/>
        </w:rPr>
        <w:t>Section 2.17(a)(i)</w:t>
      </w:r>
      <w:r>
        <w:rPr>
          <w:rFonts w:ascii="Arial" w:cs="Arial" w:eastAsia="Arial" w:hAnsi="Arial"/>
          <w:sz w:val="18"/>
          <w:szCs w:val="18"/>
          <w:color w:val="auto"/>
        </w:rPr>
        <w:t xml:space="preserve"> or (ii) have arisen and such circumstances are unlikely to be temporary or (ii) the circumstances set forth in </w:t>
      </w:r>
      <w:r>
        <w:rPr>
          <w:rFonts w:ascii="Arial" w:cs="Arial" w:eastAsia="Arial" w:hAnsi="Arial"/>
          <w:sz w:val="18"/>
          <w:szCs w:val="18"/>
          <w:u w:val="single" w:color="auto"/>
          <w:color w:val="auto"/>
        </w:rPr>
        <w:t>Section 2.17(a)(i)</w:t>
      </w:r>
      <w:r>
        <w:rPr>
          <w:rFonts w:ascii="Arial" w:cs="Arial" w:eastAsia="Arial" w:hAnsi="Arial"/>
          <w:sz w:val="18"/>
          <w:szCs w:val="18"/>
          <w:color w:val="auto"/>
        </w:rPr>
        <w:t xml:space="preserve"> or (ii) have not arisen but the supervisor for the administrator of the LIBOR reporting system or a Governmental Authority having jurisdiction over the Administrative Agent has made a public statement identifying a specific date after which LIBOR shall no longer be used for determining interest rates for loans, then Administrative Agent and Borrower shall endeavor to establish an alternate rate of interest to LIBOR that gives due consideration to the then prevailing market convention for determining a rate of interest for syndicated loans in the United States at such time, and shall enter into an amendment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78" w:name="page79"/>
    <w:bookmarkEnd w:id="78"/>
    <w:p>
      <w:pPr>
        <w:jc w:val="both"/>
        <w:spacing w:after="0" w:line="309" w:lineRule="auto"/>
        <w:rPr>
          <w:sz w:val="20"/>
          <w:szCs w:val="20"/>
          <w:color w:val="auto"/>
        </w:rPr>
      </w:pPr>
      <w:r>
        <w:rPr>
          <w:rFonts w:ascii="Arial" w:cs="Arial" w:eastAsia="Arial" w:hAnsi="Arial"/>
          <w:sz w:val="16"/>
          <w:szCs w:val="16"/>
          <w:color w:val="auto"/>
        </w:rPr>
        <w:t xml:space="preserve">Agreement to reflect such alternate rate of interest and such other related changes to this Agreement as may be applicable; provided that if such alternate rate of interest shall be less than 1.0%, such rate shall be deemed to be 1.0% for the purposes of this Agreement. Notwithstanding anything to the contrary in </w:t>
      </w:r>
      <w:r>
        <w:rPr>
          <w:rFonts w:ascii="Arial" w:cs="Arial" w:eastAsia="Arial" w:hAnsi="Arial"/>
          <w:sz w:val="16"/>
          <w:szCs w:val="16"/>
          <w:u w:val="single" w:color="auto"/>
          <w:color w:val="auto"/>
        </w:rPr>
        <w:t>Section 12.7</w:t>
      </w:r>
      <w:r>
        <w:rPr>
          <w:rFonts w:ascii="Arial" w:cs="Arial" w:eastAsia="Arial" w:hAnsi="Arial"/>
          <w:sz w:val="16"/>
          <w:szCs w:val="16"/>
          <w:color w:val="auto"/>
        </w:rPr>
        <w:t>, such amendment shall become effective without any further action or consent of any other party to this Agreement so long as the Administrative Agent shall not have received, within five Business Days of the date notice of such alternative rate of interest is provided to the Lenders, a written notice from the Required Lenders stating that such Required Lenders object to such amendment. Until an alternate rate of interest shall be determined in accordance with this clause (b) (but in the case of the circumstances described in clause (ii) of the first sentence of this Section 2.17(b), only to the extent that LIBOR for such Interest Period is not available or published at such time on a current basis), (x) any Eurodollar Loans requested to be made shall be made as ABR Loans, and (y) any outstanding Eurodollar Loans shall be converted, on the last day of the then-current Interest Period, to ABR Loans.</w:t>
      </w:r>
    </w:p>
    <w:p>
      <w:pPr>
        <w:spacing w:after="0" w:line="3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2.18</w:t>
      </w:r>
      <w:r>
        <w:rPr>
          <w:sz w:val="20"/>
          <w:szCs w:val="20"/>
          <w:color w:val="auto"/>
        </w:rPr>
        <w:tab/>
      </w:r>
      <w:r>
        <w:rPr>
          <w:rFonts w:ascii="Arial" w:cs="Arial" w:eastAsia="Arial" w:hAnsi="Arial"/>
          <w:sz w:val="16"/>
          <w:szCs w:val="16"/>
          <w:b w:val="1"/>
          <w:bCs w:val="1"/>
          <w:color w:val="auto"/>
        </w:rPr>
        <w:t>Pro Rata Treatment and Payments</w:t>
      </w:r>
      <w:r>
        <w:rPr>
          <w:rFonts w:ascii="Arial" w:cs="Arial" w:eastAsia="Arial" w:hAnsi="Arial"/>
          <w:sz w:val="16"/>
          <w:szCs w:val="16"/>
          <w:color w:val="auto"/>
        </w:rPr>
        <w:t>.</w:t>
      </w:r>
    </w:p>
    <w:p>
      <w:pPr>
        <w:spacing w:after="0" w:line="222" w:lineRule="exact"/>
        <w:rPr>
          <w:sz w:val="20"/>
          <w:szCs w:val="20"/>
          <w:color w:val="auto"/>
        </w:rPr>
      </w:pPr>
    </w:p>
    <w:p>
      <w:pPr>
        <w:jc w:val="both"/>
        <w:ind w:right="20" w:firstLine="1304"/>
        <w:spacing w:after="0" w:line="269" w:lineRule="auto"/>
        <w:tabs>
          <w:tab w:leader="none" w:pos="1944"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Each borrowing by the Borrower from the Lenders hereunder, each payment by the Borrower on account of any commitment fee and any reduction of the Commitments shall be made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according to the respective L/C Percentages or Revolving Percentages, as the case may be, of the relevant Lenders.</w:t>
      </w:r>
    </w:p>
    <w:p>
      <w:pPr>
        <w:spacing w:after="0" w:line="169" w:lineRule="exact"/>
        <w:rPr>
          <w:rFonts w:ascii="Arial" w:cs="Arial" w:eastAsia="Arial" w:hAnsi="Arial"/>
          <w:sz w:val="19"/>
          <w:szCs w:val="19"/>
          <w:color w:val="auto"/>
        </w:rPr>
      </w:pPr>
    </w:p>
    <w:p>
      <w:pPr>
        <w:ind w:left="1960" w:hanging="656"/>
        <w:spacing w:after="0"/>
        <w:tabs>
          <w:tab w:leader="none" w:pos="19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Each payment (including each prepayment) by the Borrower on account of principal of and interest on the Revolving Loans shall be made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according to the respective outstanding principal amounts of the Revolving Loans then held by the Revolving Lenders.</w:t>
      </w:r>
    </w:p>
    <w:p>
      <w:pPr>
        <w:spacing w:after="0" w:line="185" w:lineRule="exact"/>
        <w:rPr>
          <w:rFonts w:ascii="Arial" w:cs="Arial" w:eastAsia="Arial" w:hAnsi="Arial"/>
          <w:sz w:val="20"/>
          <w:szCs w:val="20"/>
          <w:color w:val="auto"/>
        </w:rPr>
      </w:pPr>
    </w:p>
    <w:p>
      <w:pPr>
        <w:jc w:val="both"/>
        <w:ind w:firstLine="1304"/>
        <w:spacing w:after="0" w:line="270" w:lineRule="auto"/>
        <w:tabs>
          <w:tab w:leader="none" w:pos="19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payments (including prepayments) to be made by the Borrower hereunder, whether on account of principal, interest, fees or otherwise, shall be made without condition or deduction for any counterclaim, defense, recoupment or setoff and shall be made prior to 12:00 P.M. noon (New York City time) on the due date thereof to the Administrative Agent, for the account of the Lenders, at the applicable Funding Office, in Dollars. The Administrative Agent shall distribute such payments to the Lenders promptly upon receipt in like funds as received. Any payment received by the Administrative Agent after 12:00 P.M. noon (New York City time) shall be deemed received on the next succeeding Business Day and any applicable interest or fee shall continue to accrue. If any payment hereunder (other than payments on the Eurodollar Loans) becomes due and payable on a day other than a Business Day, such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72" w:lineRule="exact"/>
        <w:rPr>
          <w:rFonts w:ascii="Arial" w:cs="Arial" w:eastAsia="Arial" w:hAnsi="Arial"/>
          <w:sz w:val="18"/>
          <w:szCs w:val="18"/>
          <w:color w:val="auto"/>
        </w:rPr>
      </w:pPr>
    </w:p>
    <w:p>
      <w:pPr>
        <w:jc w:val="both"/>
        <w:ind w:firstLine="1304"/>
        <w:spacing w:after="0" w:line="273" w:lineRule="auto"/>
        <w:tabs>
          <w:tab w:leader="none" w:pos="19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Unless the Administrative Agent shall have been notified in writing by any Lender prior to the proposed date of any borrowing that such Lender will not make the amount that would constitute its share of such borrowing available to the Administrative Agent, the Administrative Agent may assume that such Lender has made such amount available to the Administrative Agent on such date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and the Administrative Agent may, in reliance upon such assumption, make available to the Borrower a corresponding amount. If such amount is not in fact made available to the Administrative Agent by the required time on the Borrowing Date therefor, such Lender and the Borrower severally agree to pay to the Administrative Agent forthwith, on demand, such corresponding amount with interest thereon, for each day from and including the date on which such amount is made available to the Borrower but excluding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79" w:name="page80"/>
    <w:bookmarkEnd w:id="79"/>
    <w:p>
      <w:pPr>
        <w:jc w:val="both"/>
        <w:spacing w:after="0" w:line="256" w:lineRule="auto"/>
        <w:rPr>
          <w:sz w:val="20"/>
          <w:szCs w:val="20"/>
          <w:color w:val="auto"/>
        </w:rPr>
      </w:pPr>
      <w:r>
        <w:rPr>
          <w:rFonts w:ascii="Arial" w:cs="Arial" w:eastAsia="Arial" w:hAnsi="Arial"/>
          <w:sz w:val="19"/>
          <w:szCs w:val="19"/>
          <w:color w:val="auto"/>
        </w:rPr>
        <w:t>the date of payment to the Administrative Agent, at (i) in the case of a payment to be made by such Lender, a rate equal to the greater of (A) the Federal Funds Effective Rate and (B) a rate determined by the Administrative Agent in accordance with banking industry rules on interbank compensation, and (ii) in the case of a payment to be made by the Borrower, the rate per annum applicable to ABR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84" w:lineRule="exact"/>
        <w:rPr>
          <w:sz w:val="20"/>
          <w:szCs w:val="20"/>
          <w:color w:val="auto"/>
        </w:rPr>
      </w:pPr>
    </w:p>
    <w:p>
      <w:pPr>
        <w:jc w:val="both"/>
        <w:ind w:firstLine="1304"/>
        <w:spacing w:after="0" w:line="255" w:lineRule="auto"/>
        <w:tabs>
          <w:tab w:leader="none" w:pos="1944" w:val="left"/>
        </w:tabs>
        <w:numPr>
          <w:ilvl w:val="0"/>
          <w:numId w:val="44"/>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Borrower prior to the date on which any payment is due to the Administrative Agent for the account of the Lenders or the Issuing Lender hereunder 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Nothing herein shall be deemed to limit the rights of Administrative Agent or any Lender against any Loan Party.</w:t>
      </w:r>
    </w:p>
    <w:p>
      <w:pPr>
        <w:spacing w:after="0" w:line="186" w:lineRule="exact"/>
        <w:rPr>
          <w:rFonts w:ascii="Arial" w:cs="Arial" w:eastAsia="Arial" w:hAnsi="Arial"/>
          <w:sz w:val="19"/>
          <w:szCs w:val="19"/>
          <w:color w:val="auto"/>
        </w:rPr>
      </w:pPr>
    </w:p>
    <w:p>
      <w:pPr>
        <w:jc w:val="both"/>
        <w:ind w:firstLine="1304"/>
        <w:spacing w:after="0" w:line="260" w:lineRule="auto"/>
        <w:tabs>
          <w:tab w:leader="none" w:pos="1944"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If any Lender makes available to the Administrative Agent funds for any Loan to be made by such Lender as provided in the foregoing provisions of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and such funds are not made available to the Borrower by the Administrative Agent because the conditions to the applicable extension of credit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are not satisfied or waived in accordance with the terms hereof, the Administrative Agent shall return such funds (in like funds as received from such Lender) to such Lender, without interest.</w:t>
      </w:r>
    </w:p>
    <w:p>
      <w:pPr>
        <w:spacing w:after="0" w:line="180" w:lineRule="exact"/>
        <w:rPr>
          <w:rFonts w:ascii="Arial" w:cs="Arial" w:eastAsia="Arial" w:hAnsi="Arial"/>
          <w:sz w:val="19"/>
          <w:szCs w:val="19"/>
          <w:color w:val="auto"/>
        </w:rPr>
      </w:pPr>
    </w:p>
    <w:p>
      <w:pPr>
        <w:ind w:firstLine="1304"/>
        <w:spacing w:after="0" w:line="257" w:lineRule="auto"/>
        <w:tabs>
          <w:tab w:leader="none" w:pos="1944"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The obligations of the Lenders hereunder to (i) make Revolving Loans, (ii) fund its participations in L/C Disbursements in accordance with its respective L/C Percentage, (iii) fund its respective Swingline Participation Amount of any Swingline Loan, and (iv) make payments pursuant to </w:t>
      </w:r>
      <w:r>
        <w:rPr>
          <w:rFonts w:ascii="Arial" w:cs="Arial" w:eastAsia="Arial" w:hAnsi="Arial"/>
          <w:sz w:val="19"/>
          <w:szCs w:val="19"/>
          <w:u w:val="single" w:color="auto"/>
          <w:color w:val="auto"/>
        </w:rPr>
        <w:t>Section 9.7</w:t>
      </w:r>
      <w:r>
        <w:rPr>
          <w:rFonts w:ascii="Arial" w:cs="Arial" w:eastAsia="Arial" w:hAnsi="Arial"/>
          <w:sz w:val="19"/>
          <w:szCs w:val="19"/>
          <w:color w:val="auto"/>
        </w:rPr>
        <w:t xml:space="preserve">, as applicable, are several and not joint. The failure of any Lender to make any such Loan, to fund any such participation or to make any such payment under </w:t>
      </w:r>
      <w:r>
        <w:rPr>
          <w:rFonts w:ascii="Arial" w:cs="Arial" w:eastAsia="Arial" w:hAnsi="Arial"/>
          <w:sz w:val="19"/>
          <w:szCs w:val="19"/>
          <w:u w:val="single" w:color="auto"/>
          <w:color w:val="auto"/>
        </w:rPr>
        <w:t>Section 9.7</w:t>
      </w:r>
      <w:r>
        <w:rPr>
          <w:rFonts w:ascii="Arial" w:cs="Arial" w:eastAsia="Arial" w:hAnsi="Arial"/>
          <w:sz w:val="19"/>
          <w:szCs w:val="19"/>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9"/>
          <w:szCs w:val="19"/>
          <w:u w:val="single" w:color="auto"/>
          <w:color w:val="auto"/>
        </w:rPr>
        <w:t>Section 9.7</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firstLine="1304"/>
        <w:spacing w:after="0" w:line="250" w:lineRule="auto"/>
        <w:tabs>
          <w:tab w:leader="none" w:pos="1944" w:val="left"/>
        </w:tabs>
        <w:numPr>
          <w:ilvl w:val="0"/>
          <w:numId w:val="44"/>
        </w:numPr>
        <w:rPr>
          <w:rFonts w:ascii="Arial" w:cs="Arial" w:eastAsia="Arial" w:hAnsi="Arial"/>
          <w:sz w:val="20"/>
          <w:szCs w:val="20"/>
          <w:color w:val="auto"/>
        </w:rPr>
      </w:pPr>
      <w:r>
        <w:rPr>
          <w:rFonts w:ascii="Arial" w:cs="Arial" w:eastAsia="Arial" w:hAnsi="Arial"/>
          <w:sz w:val="20"/>
          <w:szCs w:val="20"/>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5" w:lineRule="exact"/>
        <w:rPr>
          <w:rFonts w:ascii="Arial" w:cs="Arial" w:eastAsia="Arial" w:hAnsi="Arial"/>
          <w:sz w:val="20"/>
          <w:szCs w:val="20"/>
          <w:color w:val="auto"/>
        </w:rPr>
      </w:pPr>
    </w:p>
    <w:p>
      <w:pPr>
        <w:jc w:val="both"/>
        <w:ind w:firstLine="1304"/>
        <w:spacing w:after="0" w:line="243" w:lineRule="auto"/>
        <w:tabs>
          <w:tab w:leader="none" w:pos="1944"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If at any time insufficient funds are received by and available to the Administrative Agent to pay fully all amounts of principal, interest and fees then due hereunder, such funds shall be applied (i)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toward payment of interest and fees and Overadvances then due hereunder, ratably among the parties entitled thereto in accordance with the amounts of interest and fees and Overadvances then due to such parties, and (ii) </w:t>
      </w:r>
      <w:r>
        <w:rPr>
          <w:rFonts w:ascii="Arial" w:cs="Arial" w:eastAsia="Arial" w:hAnsi="Arial"/>
          <w:sz w:val="20"/>
          <w:szCs w:val="20"/>
          <w:u w:val="single" w:color="auto"/>
          <w:color w:val="auto"/>
        </w:rPr>
        <w:t>second</w:t>
      </w:r>
      <w:r>
        <w:rPr>
          <w:rFonts w:ascii="Arial" w:cs="Arial" w:eastAsia="Arial" w:hAnsi="Arial"/>
          <w:sz w:val="20"/>
          <w:szCs w:val="20"/>
          <w:color w:val="auto"/>
        </w:rPr>
        <w:t>, toward payment of principal then due hereunder, ratably among the parties entitled thereto in accordance with the amounts of principal then due to such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0" w:name="page81"/>
    <w:bookmarkEnd w:id="80"/>
    <w:p>
      <w:pPr>
        <w:jc w:val="both"/>
        <w:ind w:firstLine="1304"/>
        <w:spacing w:after="0" w:line="302" w:lineRule="auto"/>
        <w:tabs>
          <w:tab w:leader="none" w:pos="1944"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If any Lender shall obtain any payment (whether voluntary, involuntary, through the exercise of any right of set-off, or otherwise) on account of the principal of or interest on any Loan made by it, its participation in the L/C Exposure or other obligations hereunder, as applicable (other than pursuant to a provision hereof providing for non-pro rata treatment), in excess of its Revolving Percentage or L/C Percentage, as applicable, of such payment on account of the Loans or participations obtained by all of the Lenders, such Lender shall (a) notify the Administrative Agent of the receipt of such payment, and (b) within five (5) Business Days of such receipt purchase (for cash at face value) from the other Revolving Lenders or L/C Lenders, as applicable (through the Administrative Agent), without recourse, such participations in the Revolving Loans made by them and/or participations in the L/C Exposure held by them, as applicable, or make such other adjustments as shall be equitable, as shall be necessary to cause such purchasing Lender to share the excess payment ratably with each of the other Lenders in accordance with their respective Revolving Percentages or L/C Percentages,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clause (k)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or sale of a participation in any of its Loans or participations in L/C Disbursements to any assignee or participant, other than to the Borrower or any of its Affiliates (as to which the provisions of this clause (k) shall apply). The Borrower agrees that any Lender so purchasing a participation from another Lender pursuant to this </w:t>
      </w:r>
      <w:r>
        <w:rPr>
          <w:rFonts w:ascii="Arial" w:cs="Arial" w:eastAsia="Arial" w:hAnsi="Arial"/>
          <w:sz w:val="16"/>
          <w:szCs w:val="16"/>
          <w:u w:val="single" w:color="auto"/>
          <w:color w:val="auto"/>
        </w:rPr>
        <w:t>Section 2.18(k)</w:t>
      </w:r>
      <w:r>
        <w:rPr>
          <w:rFonts w:ascii="Arial" w:cs="Arial" w:eastAsia="Arial" w:hAnsi="Arial"/>
          <w:sz w:val="16"/>
          <w:szCs w:val="16"/>
          <w:color w:val="auto"/>
        </w:rPr>
        <w:t xml:space="preserve"> may exercise all its rights of payment (including the right of set-off) with respect to such participation as fully as if such Lender were the direct creditor of the Borrower in the amount of such participation. No documentation other than notices and the like referred to in this </w:t>
      </w:r>
      <w:r>
        <w:rPr>
          <w:rFonts w:ascii="Arial" w:cs="Arial" w:eastAsia="Arial" w:hAnsi="Arial"/>
          <w:sz w:val="16"/>
          <w:szCs w:val="16"/>
          <w:u w:val="single" w:color="auto"/>
          <w:color w:val="auto"/>
        </w:rPr>
        <w:t>Section 2.18(k)</w:t>
      </w:r>
      <w:r>
        <w:rPr>
          <w:rFonts w:ascii="Arial" w:cs="Arial" w:eastAsia="Arial" w:hAnsi="Arial"/>
          <w:sz w:val="16"/>
          <w:szCs w:val="16"/>
          <w:color w:val="auto"/>
        </w:rPr>
        <w:t xml:space="preserve"> shall be required to implement the terms of this </w:t>
      </w:r>
      <w:r>
        <w:rPr>
          <w:rFonts w:ascii="Arial" w:cs="Arial" w:eastAsia="Arial" w:hAnsi="Arial"/>
          <w:sz w:val="16"/>
          <w:szCs w:val="16"/>
          <w:u w:val="single" w:color="auto"/>
          <w:color w:val="auto"/>
        </w:rPr>
        <w:t>Section 2.18(k)</w:t>
      </w:r>
      <w:r>
        <w:rPr>
          <w:rFonts w:ascii="Arial" w:cs="Arial" w:eastAsia="Arial" w:hAnsi="Arial"/>
          <w:sz w:val="16"/>
          <w:szCs w:val="16"/>
          <w:color w:val="auto"/>
        </w:rPr>
        <w:t xml:space="preserve">. The Administrative Agent shall keep records (which shall be conclusive and binding in the absence of manifest error) of participations purchased pursuant to this </w:t>
      </w:r>
      <w:r>
        <w:rPr>
          <w:rFonts w:ascii="Arial" w:cs="Arial" w:eastAsia="Arial" w:hAnsi="Arial"/>
          <w:sz w:val="16"/>
          <w:szCs w:val="16"/>
          <w:u w:val="single" w:color="auto"/>
          <w:color w:val="auto"/>
        </w:rPr>
        <w:t>Section 2.18(k)</w:t>
      </w:r>
      <w:r>
        <w:rPr>
          <w:rFonts w:ascii="Arial" w:cs="Arial" w:eastAsia="Arial" w:hAnsi="Arial"/>
          <w:sz w:val="16"/>
          <w:szCs w:val="16"/>
          <w:color w:val="auto"/>
        </w:rPr>
        <w:t xml:space="preserve"> and shall in each case notify the Revolving Lenders or the L/C Lenders, as applicable, following any such purchase. The provisions of this </w:t>
      </w:r>
      <w:r>
        <w:rPr>
          <w:rFonts w:ascii="Arial" w:cs="Arial" w:eastAsia="Arial" w:hAnsi="Arial"/>
          <w:sz w:val="16"/>
          <w:szCs w:val="16"/>
          <w:u w:val="single" w:color="auto"/>
          <w:color w:val="auto"/>
        </w:rPr>
        <w:t>Section 2.18(k)</w:t>
      </w:r>
      <w:r>
        <w:rPr>
          <w:rFonts w:ascii="Arial" w:cs="Arial" w:eastAsia="Arial" w:hAnsi="Arial"/>
          <w:sz w:val="16"/>
          <w:szCs w:val="16"/>
          <w:color w:val="auto"/>
        </w:rPr>
        <w:t xml:space="preserve"> shall not be construed to apply to (i) any payment made by or on behalf of the Borrower pursuant to and in accordance with the express terms of this Agreement (including the application of funds arising from the existence of a Defaulting Lender), (ii) the application of Cash Collateral provided for in </w:t>
      </w:r>
      <w:r>
        <w:rPr>
          <w:rFonts w:ascii="Arial" w:cs="Arial" w:eastAsia="Arial" w:hAnsi="Arial"/>
          <w:sz w:val="16"/>
          <w:szCs w:val="16"/>
          <w:u w:val="single" w:color="auto"/>
          <w:color w:val="auto"/>
        </w:rPr>
        <w:t>Section 3.10</w:t>
      </w:r>
      <w:r>
        <w:rPr>
          <w:rFonts w:ascii="Arial" w:cs="Arial" w:eastAsia="Arial" w:hAnsi="Arial"/>
          <w:sz w:val="16"/>
          <w:szCs w:val="16"/>
          <w:color w:val="auto"/>
        </w:rPr>
        <w:t>, or</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jc w:val="both"/>
        <w:ind w:firstLine="8"/>
        <w:spacing w:after="0" w:line="254" w:lineRule="auto"/>
        <w:tabs>
          <w:tab w:leader="none" w:pos="349"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any payment obtained by a Lender as consideration for the assignment of or sale of a participation in any of its Loans or sub-participations in any L/C Exposure to any assignee or participant, other than an assignment to the Borrower or any Affiliate thereof (as to which the provisions of this </w:t>
      </w:r>
      <w:r>
        <w:rPr>
          <w:rFonts w:ascii="Arial" w:cs="Arial" w:eastAsia="Arial" w:hAnsi="Arial"/>
          <w:sz w:val="19"/>
          <w:szCs w:val="19"/>
          <w:u w:val="single" w:color="auto"/>
          <w:color w:val="auto"/>
        </w:rPr>
        <w:t>Section 2.18(k)</w:t>
      </w:r>
      <w:r>
        <w:rPr>
          <w:rFonts w:ascii="Arial" w:cs="Arial" w:eastAsia="Arial" w:hAnsi="Arial"/>
          <w:sz w:val="19"/>
          <w:szCs w:val="19"/>
          <w:color w:val="auto"/>
        </w:rPr>
        <w:t xml:space="preserve"> shall apply). The Borrower consents on behalf of itself and each other Loan Party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 For the avoidance of doubt, no amounts received by the Administrative Agent or any Lender from any Guarantor that is not a Qualified ECP Guarantor shall be applied in partial or complete satisfaction of any Excluded Swap Obligations.</w:t>
      </w:r>
    </w:p>
    <w:p>
      <w:pPr>
        <w:spacing w:after="0" w:line="184" w:lineRule="exact"/>
        <w:rPr>
          <w:rFonts w:ascii="Arial" w:cs="Arial" w:eastAsia="Arial" w:hAnsi="Arial"/>
          <w:sz w:val="19"/>
          <w:szCs w:val="19"/>
          <w:color w:val="auto"/>
        </w:rPr>
      </w:pPr>
    </w:p>
    <w:p>
      <w:pPr>
        <w:jc w:val="both"/>
        <w:ind w:firstLine="1304"/>
        <w:spacing w:after="0" w:line="243" w:lineRule="auto"/>
        <w:tabs>
          <w:tab w:leader="none" w:pos="1944" w:val="left"/>
        </w:tabs>
        <w:numPr>
          <w:ilvl w:val="1"/>
          <w:numId w:val="46"/>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in this Agreement, the Administrative Agent may, in its discretion at any time or from time to time, without the Borrower’s request and even if the conditions set forth in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would not be satisfied, make a Revolving Loan in an amount equal to the portion of the Obligations constituting overdue interest and fees and Swingline Loans from time to time due and payable to itself, any Revolving Lender, the Swingline Lender or the Issuing Lender, and apply the proceeds of any such Revolving Loan to those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after giving effect to any such Revolving Loan, the aggregate outstanding Revolving Loans will not exceed the Total Revolving Commitments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1" w:name="page82"/>
    <w:bookmarkEnd w:id="81"/>
    <w:p>
      <w:pPr>
        <w:ind w:left="660"/>
        <w:spacing w:after="0"/>
        <w:tabs>
          <w:tab w:leader="none" w:pos="1280" w:val="left"/>
        </w:tabs>
        <w:rPr>
          <w:sz w:val="20"/>
          <w:szCs w:val="20"/>
          <w:color w:val="auto"/>
        </w:rPr>
      </w:pPr>
      <w:r>
        <w:rPr>
          <w:rFonts w:ascii="Arial" w:cs="Arial" w:eastAsia="Arial" w:hAnsi="Arial"/>
          <w:sz w:val="20"/>
          <w:szCs w:val="20"/>
          <w:b w:val="1"/>
          <w:bCs w:val="1"/>
          <w:color w:val="auto"/>
        </w:rPr>
        <w:t>2.19</w:t>
      </w:r>
      <w:r>
        <w:rPr>
          <w:sz w:val="20"/>
          <w:szCs w:val="20"/>
          <w:color w:val="auto"/>
        </w:rPr>
        <w:tab/>
      </w:r>
      <w:r>
        <w:rPr>
          <w:rFonts w:ascii="Arial" w:cs="Arial" w:eastAsia="Arial" w:hAnsi="Arial"/>
          <w:sz w:val="18"/>
          <w:szCs w:val="18"/>
          <w:b w:val="1"/>
          <w:bCs w:val="1"/>
          <w:color w:val="auto"/>
        </w:rPr>
        <w:t>Illegality; Requirements of Law</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270" w:lineRule="auto"/>
        <w:tabs>
          <w:tab w:leader="none" w:pos="194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Illegality</w:t>
      </w:r>
      <w:r>
        <w:rPr>
          <w:rFonts w:ascii="Arial" w:cs="Arial" w:eastAsia="Arial" w:hAnsi="Arial"/>
          <w:sz w:val="18"/>
          <w:szCs w:val="18"/>
          <w:color w:val="auto"/>
        </w:rPr>
        <w:t>. If any Lender determines that any Requirement of Law has made it unlawful, or that any Governmental Authority has asserted that it is unlawful, for such Lender to make, maintain or fund Eurodollar Loans,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any obligation of such Lender to make or continue Eurodollar Loans or to convert ABR Loans to Eurodollar Loans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or, if applicable, convert all Eurodollar Loans of such Lender to ABR Loans, either on the last day of the Interest Period therefor, if such Lender may lawfully continue to maintain such Eurodollar Loans to such day, or immediately, if such Lender may not lawfully continue to maintain such Eurodollar Loans. Upon any such prepayment or conversion, the Borrower shall also pay accrued interest on the amount so prepaid or converted.</w:t>
      </w:r>
    </w:p>
    <w:p>
      <w:pPr>
        <w:spacing w:after="0" w:line="175" w:lineRule="exact"/>
        <w:rPr>
          <w:rFonts w:ascii="Arial" w:cs="Arial" w:eastAsia="Arial" w:hAnsi="Arial"/>
          <w:sz w:val="18"/>
          <w:szCs w:val="18"/>
          <w:color w:val="auto"/>
        </w:rPr>
      </w:pPr>
    </w:p>
    <w:p>
      <w:pPr>
        <w:jc w:val="both"/>
        <w:ind w:firstLine="1304"/>
        <w:spacing w:after="0" w:line="246" w:lineRule="auto"/>
        <w:tabs>
          <w:tab w:leader="none" w:pos="1944"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Requirements of Law</w:t>
      </w:r>
      <w:r>
        <w:rPr>
          <w:rFonts w:ascii="Arial" w:cs="Arial" w:eastAsia="Arial" w:hAnsi="Arial"/>
          <w:sz w:val="20"/>
          <w:szCs w:val="20"/>
          <w:color w:val="auto"/>
        </w:rPr>
        <w:t>. If the adoption of or any change in any Requirement of Law or in the administration, interpretation, implementation or application thereof by any Governmental Authority, or the making or issuance of any request, rule, guideline or directive (whether or not having the force of law) by any Governmental Authority made subsequent to the date hereof:</w:t>
      </w:r>
    </w:p>
    <w:p>
      <w:pPr>
        <w:spacing w:after="0" w:line="191" w:lineRule="exact"/>
        <w:rPr>
          <w:rFonts w:ascii="Arial" w:cs="Arial" w:eastAsia="Arial" w:hAnsi="Arial"/>
          <w:sz w:val="20"/>
          <w:szCs w:val="20"/>
          <w:color w:val="auto"/>
        </w:rPr>
      </w:pPr>
    </w:p>
    <w:p>
      <w:pPr>
        <w:jc w:val="both"/>
        <w:ind w:firstLine="1952"/>
        <w:spacing w:after="0" w:line="246" w:lineRule="auto"/>
        <w:tabs>
          <w:tab w:leader="none" w:pos="2592" w:val="left"/>
        </w:tabs>
        <w:numPr>
          <w:ilvl w:val="1"/>
          <w:numId w:val="47"/>
        </w:numPr>
        <w:rPr>
          <w:rFonts w:ascii="Arial" w:cs="Arial" w:eastAsia="Arial" w:hAnsi="Arial"/>
          <w:sz w:val="20"/>
          <w:szCs w:val="20"/>
          <w:color w:val="auto"/>
        </w:rPr>
      </w:pPr>
      <w:r>
        <w:rPr>
          <w:rFonts w:ascii="Arial" w:cs="Arial" w:eastAsia="Arial" w:hAnsi="Arial"/>
          <w:sz w:val="20"/>
          <w:szCs w:val="20"/>
          <w:color w:val="auto"/>
        </w:rPr>
        <w:t>shall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91" w:lineRule="exact"/>
        <w:rPr>
          <w:rFonts w:ascii="Arial" w:cs="Arial" w:eastAsia="Arial" w:hAnsi="Arial"/>
          <w:sz w:val="20"/>
          <w:szCs w:val="20"/>
          <w:color w:val="auto"/>
        </w:rPr>
      </w:pPr>
    </w:p>
    <w:p>
      <w:pPr>
        <w:jc w:val="both"/>
        <w:ind w:firstLine="1952"/>
        <w:spacing w:after="0" w:line="250" w:lineRule="auto"/>
        <w:tabs>
          <w:tab w:leader="none" w:pos="2592" w:val="left"/>
        </w:tabs>
        <w:numPr>
          <w:ilvl w:val="1"/>
          <w:numId w:val="47"/>
        </w:numPr>
        <w:rPr>
          <w:rFonts w:ascii="Arial" w:cs="Arial" w:eastAsia="Arial" w:hAnsi="Arial"/>
          <w:sz w:val="20"/>
          <w:szCs w:val="20"/>
          <w:color w:val="auto"/>
        </w:rPr>
      </w:pPr>
      <w:r>
        <w:rPr>
          <w:rFonts w:ascii="Arial" w:cs="Arial" w:eastAsia="Arial" w:hAnsi="Arial"/>
          <w:sz w:val="20"/>
          <w:szCs w:val="20"/>
          <w:color w:val="auto"/>
        </w:rPr>
        <w:t>shall impose, modify or deem applicable any reserve, special deposit, compulsory loan, insurance charge or similar requirement against assets of, deposits with or for the account of or credit extended or participated in by, any Lender (except any reserve requirement reflected in the Eurodollar Rate); or</w:t>
      </w:r>
    </w:p>
    <w:p>
      <w:pPr>
        <w:spacing w:after="0" w:line="185" w:lineRule="exact"/>
        <w:rPr>
          <w:rFonts w:ascii="Arial" w:cs="Arial" w:eastAsia="Arial" w:hAnsi="Arial"/>
          <w:sz w:val="20"/>
          <w:szCs w:val="20"/>
          <w:color w:val="auto"/>
        </w:rPr>
      </w:pPr>
    </w:p>
    <w:p>
      <w:pPr>
        <w:ind w:firstLine="1952"/>
        <w:spacing w:after="0" w:line="316" w:lineRule="auto"/>
        <w:tabs>
          <w:tab w:leader="none" w:pos="25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impose on any Lender or the London interbank market any other condition, cost or expense (other than Taxes) affecting this Agreement or Loans made by such Lender or any Letter of Credit or participation therein;</w:t>
      </w:r>
    </w:p>
    <w:p>
      <w:pPr>
        <w:spacing w:after="0" w:line="13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and the result of any of the foregoing shall be to increase the cost to such Lender or such other Recipient of making, converting to, continuing or maintaining Loans determined with reference to the Eurodollar Rate or of maintaining its obligation to make such Loans, or to increase the cost to such Lender or such other Recipient of issuing, maintaining or participating in Letters of Credit (or of maintaining its obligation to participate in or to issue any Letter of Credit), or to reduce the amount of any sum receivable or received by such Lender or other Recipient hereunder in respect thereof (whether of principal, interest or any other amount), then, in any such case, upon the request of such Lender or other Recipient, the Borrower will promptly pay such Lender or other Recipient, as the case may be, any additional amount or amounts necessary to compensate such Lender or other Recipient, as the case may be, for such additional costs incurred or reduction suffered. If any Lender becomes entitled to claim any additional amounts pursuant to this paragraph, it shall promptly notify the Borrower (with a copy to the Administrative Agent) of the event by reason of which it has become so entitled.</w:t>
      </w:r>
    </w:p>
    <w:p>
      <w:pPr>
        <w:spacing w:after="0" w:line="200" w:lineRule="exact"/>
        <w:rPr>
          <w:sz w:val="20"/>
          <w:szCs w:val="20"/>
          <w:color w:val="auto"/>
        </w:rPr>
      </w:pPr>
    </w:p>
    <w:p>
      <w:pPr>
        <w:ind w:firstLine="1304"/>
        <w:spacing w:after="0" w:line="260" w:lineRule="auto"/>
        <w:tabs>
          <w:tab w:leader="none" w:pos="1944" w:val="left"/>
        </w:tabs>
        <w:numPr>
          <w:ilvl w:val="0"/>
          <w:numId w:val="48"/>
        </w:numPr>
        <w:rPr>
          <w:rFonts w:ascii="Arial" w:cs="Arial" w:eastAsia="Arial" w:hAnsi="Arial"/>
          <w:sz w:val="20"/>
          <w:szCs w:val="20"/>
          <w:color w:val="auto"/>
        </w:rPr>
      </w:pPr>
      <w:r>
        <w:rPr>
          <w:rFonts w:ascii="Arial" w:cs="Arial" w:eastAsia="Arial" w:hAnsi="Arial"/>
          <w:sz w:val="20"/>
          <w:szCs w:val="20"/>
          <w:color w:val="auto"/>
        </w:rPr>
        <w:t>If any Lender determines that any change in any Requirement of Law affecting such Lender or any lending office of such Lender or such Lender’s holding company, if any, regarding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82" w:name="page83"/>
    <w:bookmarkEnd w:id="82"/>
    <w:p>
      <w:pPr>
        <w:jc w:val="both"/>
        <w:spacing w:after="0" w:line="273" w:lineRule="auto"/>
        <w:rPr>
          <w:sz w:val="20"/>
          <w:szCs w:val="20"/>
          <w:color w:val="auto"/>
        </w:rPr>
      </w:pPr>
      <w:r>
        <w:rPr>
          <w:rFonts w:ascii="Arial" w:cs="Arial" w:eastAsia="Arial" w:hAnsi="Arial"/>
          <w:sz w:val="18"/>
          <w:szCs w:val="18"/>
          <w:color w:val="auto"/>
        </w:rPr>
        <w:t>capital or liquidity requirements, has or would have the effect of reducing the rate of return on such Lender’s capital or on the capital of such Lender’s holding company, if any, as a consequence of this Agreement, the Commitments of such Lender or the Loans made by, or participations in Letters of Credit or Swingline Loans held by, such Lender, or the Letters of Credit issued by the Issuing Lender, to a level below that which such Lender or such Lender’s holding company could have achieved but for such change in such Requirement of Law (taking into consideration such Lender’s policies and the policies of such Lender’s holding company with respect to capital adequacy or liquidity), then from time to time the Borrower will pay to such Lender or the Issuing Lender, as the case may be, such additional amount or amounts as will compensate such Lender or the Issuing Lender or such Lender’s or Issuing Lender’s holding company for any such reduction suffered.</w:t>
      </w:r>
    </w:p>
    <w:p>
      <w:pPr>
        <w:spacing w:after="0" w:line="168" w:lineRule="exact"/>
        <w:rPr>
          <w:sz w:val="20"/>
          <w:szCs w:val="20"/>
          <w:color w:val="auto"/>
        </w:rPr>
      </w:pPr>
    </w:p>
    <w:p>
      <w:pPr>
        <w:jc w:val="both"/>
        <w:ind w:firstLine="1304"/>
        <w:spacing w:after="0" w:line="243" w:lineRule="auto"/>
        <w:tabs>
          <w:tab w:leader="none" w:pos="1944" w:val="left"/>
        </w:tabs>
        <w:numPr>
          <w:ilvl w:val="0"/>
          <w:numId w:val="49"/>
        </w:numPr>
        <w:rPr>
          <w:rFonts w:ascii="Arial" w:cs="Arial" w:eastAsia="Arial" w:hAnsi="Arial"/>
          <w:sz w:val="20"/>
          <w:szCs w:val="20"/>
          <w:color w:val="auto"/>
        </w:rPr>
      </w:pPr>
      <w:r>
        <w:rPr>
          <w:rFonts w:ascii="Arial" w:cs="Arial" w:eastAsia="Arial" w:hAnsi="Arial"/>
          <w:sz w:val="20"/>
          <w:szCs w:val="20"/>
          <w:color w:val="auto"/>
        </w:rPr>
        <w:t>For purposes of this Agreement,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(i) and (ii) be deemed to be a change in any Requirement of Law, regardless of the date enacted, adopted or issued.</w:t>
      </w:r>
    </w:p>
    <w:p>
      <w:pPr>
        <w:spacing w:after="0" w:line="195" w:lineRule="exact"/>
        <w:rPr>
          <w:rFonts w:ascii="Arial" w:cs="Arial" w:eastAsia="Arial" w:hAnsi="Arial"/>
          <w:sz w:val="20"/>
          <w:szCs w:val="20"/>
          <w:color w:val="auto"/>
        </w:rPr>
      </w:pPr>
    </w:p>
    <w:p>
      <w:pPr>
        <w:jc w:val="both"/>
        <w:ind w:firstLine="1304"/>
        <w:spacing w:after="0" w:line="271" w:lineRule="auto"/>
        <w:tabs>
          <w:tab w:leader="none" w:pos="19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 certificate as to any additional amounts payable pursuant to paragraphs (b), (c), or (d) of this Section submitted by any Lender to the Borrower (with a copy to the Administrative Agent) shall be conclusive in the absence of manifest error. The Borrower shall pay such Lender the amount shown as due on any such certificate within 10 days after receipt thereof. Failure or delay on the part of any Lender to demand compensation pursuant to this Section shall not constitute a waiver of such Lender’s right to demand such compensation. Notwithstanding anything to the contrary in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the Borrower shall not be required to compensate a Lender pursuant to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for any amounts incurred more than nine months prior to the date that such Lender notifies the Borrower of the change in the Requirement of Law giving rise to such increased costs or reductions, and of such Lender’s intention to claim compensation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circumstances giving rise to such claim have a retroactive effect, then such nine-month period shall be extended to include the period of such retroactive effect. The obligations of the Borrower arising pursuant to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shall survive the Discharge of Obligations and the resignation of the Administrative Agent.</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2.20</w:t>
      </w:r>
      <w:r>
        <w:rPr>
          <w:sz w:val="20"/>
          <w:szCs w:val="20"/>
          <w:color w:val="auto"/>
        </w:rPr>
        <w:tab/>
      </w:r>
      <w:r>
        <w:rPr>
          <w:rFonts w:ascii="Arial" w:cs="Arial" w:eastAsia="Arial" w:hAnsi="Arial"/>
          <w:sz w:val="16"/>
          <w:szCs w:val="16"/>
          <w:b w:val="1"/>
          <w:bCs w:val="1"/>
          <w:color w:val="auto"/>
        </w:rPr>
        <w:t>Taxes</w:t>
      </w:r>
      <w:r>
        <w:rPr>
          <w:rFonts w:ascii="Arial" w:cs="Arial" w:eastAsia="Arial" w:hAnsi="Arial"/>
          <w:sz w:val="16"/>
          <w:szCs w:val="16"/>
          <w:color w:val="auto"/>
        </w:rPr>
        <w:t>.</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For purposes of this </w:t>
      </w:r>
      <w:r>
        <w:rPr>
          <w:rFonts w:ascii="Arial" w:cs="Arial" w:eastAsia="Arial" w:hAnsi="Arial"/>
          <w:sz w:val="20"/>
          <w:szCs w:val="20"/>
          <w:u w:val="single" w:color="auto"/>
          <w:color w:val="auto"/>
        </w:rPr>
        <w:t>Section 2.20</w:t>
      </w:r>
      <w:r>
        <w:rPr>
          <w:rFonts w:ascii="Arial" w:cs="Arial" w:eastAsia="Arial" w:hAnsi="Arial"/>
          <w:sz w:val="20"/>
          <w:szCs w:val="20"/>
          <w:color w:val="auto"/>
        </w:rPr>
        <w:t>, the term “Lender” includes the Issuing Lender and the term “applicable law” includes FATCA.</w:t>
      </w:r>
    </w:p>
    <w:p>
      <w:pPr>
        <w:spacing w:after="0" w:line="177" w:lineRule="exact"/>
        <w:rPr>
          <w:sz w:val="20"/>
          <w:szCs w:val="20"/>
          <w:color w:val="auto"/>
        </w:rPr>
      </w:pPr>
    </w:p>
    <w:p>
      <w:pPr>
        <w:jc w:val="both"/>
        <w:ind w:firstLine="1304"/>
        <w:spacing w:after="0" w:line="255" w:lineRule="auto"/>
        <w:tabs>
          <w:tab w:leader="none" w:pos="1944"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xml:space="preserve">. Any and all payments by or on account of any obligation of any Loan Party under any Loan Document shall be made without deduction or withholding for any Taxes, except as required by applicable law, and the Borrower shall, and shall cause each other Loan Party, to comply with the requirements set forth in this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If any applicable Requirements of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19"/>
          <w:szCs w:val="19"/>
          <w:u w:val="single" w:color="auto"/>
          <w:color w:val="auto"/>
        </w:rPr>
        <w:t>Section 2.20</w:t>
      </w:r>
      <w:r>
        <w:rPr>
          <w:rFonts w:ascii="Arial" w:cs="Arial" w:eastAsia="Arial" w:hAnsi="Arial"/>
          <w:sz w:val="19"/>
          <w:szCs w:val="19"/>
          <w:color w:val="auto"/>
        </w:rPr>
        <w:t>) the applicable Recipient receives an amount equal to the sum it would have received had no such deduction or withholding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3" w:name="page84"/>
    <w:bookmarkEnd w:id="83"/>
    <w:p>
      <w:pPr>
        <w:jc w:val="both"/>
        <w:ind w:firstLine="1304"/>
        <w:spacing w:after="0" w:line="250" w:lineRule="auto"/>
        <w:tabs>
          <w:tab w:leader="none" w:pos="1944"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Payment of Other Taxes</w:t>
      </w:r>
      <w:r>
        <w:rPr>
          <w:rFonts w:ascii="Arial" w:cs="Arial" w:eastAsia="Arial" w:hAnsi="Arial"/>
          <w:sz w:val="20"/>
          <w:szCs w:val="20"/>
          <w:color w:val="auto"/>
        </w:rPr>
        <w:t>. The Borrower shall and shall cause each other Loan Party to, timely pay to the relevant Governmental Authority in accordance with applicable law, or at the option of the Administrative Agent timely reimburse it for the payment of, any Other Taxes applicable to such Loan Party.</w:t>
      </w:r>
    </w:p>
    <w:p>
      <w:pPr>
        <w:spacing w:after="0" w:line="185" w:lineRule="exact"/>
        <w:rPr>
          <w:rFonts w:ascii="Arial" w:cs="Arial" w:eastAsia="Arial" w:hAnsi="Arial"/>
          <w:sz w:val="20"/>
          <w:szCs w:val="20"/>
          <w:color w:val="auto"/>
        </w:rPr>
      </w:pPr>
    </w:p>
    <w:p>
      <w:pPr>
        <w:jc w:val="both"/>
        <w:ind w:firstLine="1304"/>
        <w:spacing w:after="0" w:line="244" w:lineRule="auto"/>
        <w:tabs>
          <w:tab w:leader="none" w:pos="1944"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xml:space="preserve">. As soon as practicable after any payment of Taxes by any Loan Party to a Governmental Authority pursuant to this </w:t>
      </w:r>
      <w:r>
        <w:rPr>
          <w:rFonts w:ascii="Arial" w:cs="Arial" w:eastAsia="Arial" w:hAnsi="Arial"/>
          <w:sz w:val="20"/>
          <w:szCs w:val="20"/>
          <w:u w:val="single" w:color="auto"/>
          <w:color w:val="auto"/>
        </w:rPr>
        <w:t>Section 2.20</w:t>
      </w:r>
      <w:r>
        <w:rPr>
          <w:rFonts w:ascii="Arial" w:cs="Arial" w:eastAsia="Arial" w:hAnsi="Arial"/>
          <w:sz w:val="20"/>
          <w:szCs w:val="20"/>
          <w:color w:val="auto"/>
        </w:rPr>
        <w:t>, the Borrower shall, or shall cause such other Loan Party to,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4" w:lineRule="exact"/>
        <w:rPr>
          <w:rFonts w:ascii="Arial" w:cs="Arial" w:eastAsia="Arial" w:hAnsi="Arial"/>
          <w:sz w:val="20"/>
          <w:szCs w:val="20"/>
          <w:color w:val="auto"/>
        </w:rPr>
      </w:pPr>
    </w:p>
    <w:p>
      <w:pPr>
        <w:jc w:val="both"/>
        <w:ind w:firstLine="1304"/>
        <w:spacing w:after="0" w:line="257" w:lineRule="auto"/>
        <w:tabs>
          <w:tab w:leader="none" w:pos="1944"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Indemnification by Loan Parties</w:t>
      </w:r>
      <w:r>
        <w:rPr>
          <w:rFonts w:ascii="Arial" w:cs="Arial" w:eastAsia="Arial" w:hAnsi="Arial"/>
          <w:sz w:val="19"/>
          <w:szCs w:val="19"/>
          <w:color w:val="auto"/>
        </w:rPr>
        <w:t xml:space="preserve">. The Borrower shall, and shall cause each other Loan Party to, jointly and severally indemnify each Recipient, within ten (10) days after written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 2.20</w:t>
      </w:r>
      <w:r>
        <w:rPr>
          <w:rFonts w:ascii="Arial" w:cs="Arial" w:eastAsia="Arial" w:hAnsi="Arial"/>
          <w:sz w:val="19"/>
          <w:szCs w:val="19"/>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0" w:lineRule="exact"/>
        <w:rPr>
          <w:rFonts w:ascii="Arial" w:cs="Arial" w:eastAsia="Arial" w:hAnsi="Arial"/>
          <w:sz w:val="19"/>
          <w:szCs w:val="19"/>
          <w:color w:val="auto"/>
        </w:rPr>
      </w:pPr>
    </w:p>
    <w:p>
      <w:pPr>
        <w:jc w:val="both"/>
        <w:ind w:firstLine="1304"/>
        <w:spacing w:after="0" w:line="255" w:lineRule="auto"/>
        <w:tabs>
          <w:tab w:leader="none" w:pos="1944"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Indemnification by Lenders</w:t>
      </w:r>
      <w:r>
        <w:rPr>
          <w:rFonts w:ascii="Arial" w:cs="Arial" w:eastAsia="Arial" w:hAnsi="Arial"/>
          <w:sz w:val="19"/>
          <w:szCs w:val="19"/>
          <w:color w:val="auto"/>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9"/>
          <w:szCs w:val="19"/>
          <w:u w:val="single" w:color="auto"/>
          <w:color w:val="auto"/>
        </w:rPr>
        <w:t>Section 2.20(e)</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ind w:left="1960" w:hanging="656"/>
        <w:spacing w:after="0"/>
        <w:tabs>
          <w:tab w:leader="none" w:pos="196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952"/>
        <w:spacing w:after="0" w:line="271" w:lineRule="auto"/>
        <w:tabs>
          <w:tab w:leader="none" w:pos="2592"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Sections 2.20(f)(ii)(A)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the Lender is not legally entitled to complete, execute or deliver such documentation or, in the Lender’s reasonable judgment, such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4" w:name="page85"/>
    <w:bookmarkEnd w:id="84"/>
    <w:p>
      <w:pPr>
        <w:spacing w:after="0" w:line="260" w:lineRule="auto"/>
        <w:rPr>
          <w:sz w:val="20"/>
          <w:szCs w:val="20"/>
          <w:color w:val="auto"/>
        </w:rPr>
      </w:pPr>
      <w:r>
        <w:rPr>
          <w:rFonts w:ascii="Arial" w:cs="Arial" w:eastAsia="Arial" w:hAnsi="Arial"/>
          <w:sz w:val="20"/>
          <w:szCs w:val="20"/>
          <w:color w:val="auto"/>
        </w:rPr>
        <w:t>execution or submission would subject such Lender to any material unreimbursed cost or expense or would materially prejudice the legal or commercial position of such Lender.</w:t>
      </w:r>
    </w:p>
    <w:p>
      <w:pPr>
        <w:spacing w:after="0" w:line="177" w:lineRule="exact"/>
        <w:rPr>
          <w:sz w:val="20"/>
          <w:szCs w:val="20"/>
          <w:color w:val="auto"/>
        </w:rPr>
      </w:pPr>
    </w:p>
    <w:p>
      <w:pPr>
        <w:ind w:left="2600" w:hanging="648"/>
        <w:spacing w:after="0"/>
        <w:tabs>
          <w:tab w:leader="none" w:pos="2600" w:val="left"/>
        </w:tabs>
        <w:numPr>
          <w:ilvl w:val="0"/>
          <w:numId w:val="52"/>
        </w:numPr>
        <w:rPr>
          <w:rFonts w:ascii="Arial" w:cs="Arial" w:eastAsia="Arial" w:hAnsi="Arial"/>
          <w:sz w:val="19"/>
          <w:szCs w:val="19"/>
          <w:color w:val="auto"/>
        </w:rPr>
      </w:pPr>
      <w:r>
        <w:rPr>
          <w:rFonts w:ascii="Arial" w:cs="Arial" w:eastAsia="Arial" w:hAnsi="Arial"/>
          <w:sz w:val="19"/>
          <w:szCs w:val="19"/>
          <w:color w:val="auto"/>
        </w:rPr>
        <w:t>Without limiting the generality of the foregoing, in the event that the Borrower is a U.S.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Person,</w:t>
      </w:r>
    </w:p>
    <w:p>
      <w:pPr>
        <w:spacing w:after="0" w:line="200" w:lineRule="exact"/>
        <w:rPr>
          <w:sz w:val="20"/>
          <w:szCs w:val="20"/>
          <w:color w:val="auto"/>
        </w:rPr>
      </w:pPr>
    </w:p>
    <w:p>
      <w:pPr>
        <w:jc w:val="both"/>
        <w:ind w:firstLine="2600"/>
        <w:spacing w:after="0" w:line="263" w:lineRule="auto"/>
        <w:tabs>
          <w:tab w:leader="none" w:pos="32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76" w:lineRule="exact"/>
        <w:rPr>
          <w:rFonts w:ascii="Arial" w:cs="Arial" w:eastAsia="Arial" w:hAnsi="Arial"/>
          <w:sz w:val="19"/>
          <w:szCs w:val="19"/>
          <w:color w:val="auto"/>
        </w:rPr>
      </w:pPr>
    </w:p>
    <w:p>
      <w:pPr>
        <w:jc w:val="both"/>
        <w:ind w:firstLine="2600"/>
        <w:spacing w:after="0" w:line="282" w:lineRule="auto"/>
        <w:tabs>
          <w:tab w:leader="none" w:pos="3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61" w:lineRule="exact"/>
        <w:rPr>
          <w:rFonts w:ascii="Arial" w:cs="Arial" w:eastAsia="Arial" w:hAnsi="Arial"/>
          <w:sz w:val="18"/>
          <w:szCs w:val="18"/>
          <w:color w:val="auto"/>
        </w:rPr>
      </w:pPr>
    </w:p>
    <w:p>
      <w:pPr>
        <w:jc w:val="both"/>
        <w:ind w:firstLine="3248"/>
        <w:spacing w:after="0" w:line="257" w:lineRule="auto"/>
        <w:tabs>
          <w:tab w:leader="none" w:pos="3888" w:val="left"/>
        </w:tabs>
        <w:numPr>
          <w:ilvl w:val="1"/>
          <w:numId w:val="53"/>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originals of IRS Form W-8BEN or IRS Form W-8BEN-E, as applicable (or any successor form) establishing an exemption from, or reduction of, U.S. federal withholding Tax pursuant to the “interest” article of such tax treaty and (y) with respect to any other applicable payments under any Loan Document, IRS Form W-8BEN or IRS Form W-8BEN-E, as applicable (or any successor form) establishing an exemption from, or reduction of, U.S. federal withholding Tax pursuant to the “business profits” or “other income” article of such tax treaty;</w:t>
      </w:r>
    </w:p>
    <w:p>
      <w:pPr>
        <w:spacing w:after="0" w:line="184" w:lineRule="exact"/>
        <w:rPr>
          <w:rFonts w:ascii="Arial" w:cs="Arial" w:eastAsia="Arial" w:hAnsi="Arial"/>
          <w:sz w:val="19"/>
          <w:szCs w:val="19"/>
          <w:color w:val="auto"/>
        </w:rPr>
      </w:pPr>
    </w:p>
    <w:p>
      <w:pPr>
        <w:ind w:left="3900" w:hanging="652"/>
        <w:spacing w:after="0"/>
        <w:tabs>
          <w:tab w:leader="none" w:pos="39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215" w:lineRule="exact"/>
        <w:rPr>
          <w:rFonts w:ascii="Arial" w:cs="Arial" w:eastAsia="Arial" w:hAnsi="Arial"/>
          <w:sz w:val="20"/>
          <w:szCs w:val="20"/>
          <w:color w:val="auto"/>
        </w:rPr>
      </w:pPr>
    </w:p>
    <w:p>
      <w:pPr>
        <w:jc w:val="both"/>
        <w:ind w:firstLine="3248"/>
        <w:spacing w:after="0" w:line="259" w:lineRule="auto"/>
        <w:tabs>
          <w:tab w:leader="none" w:pos="3888" w:val="left"/>
        </w:tabs>
        <w:numPr>
          <w:ilvl w:val="1"/>
          <w:numId w:val="53"/>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and (y) executed copies of IRS Form W-8BEN or IRS Form W-8BEN-E, as applicable (or any successor form); or</w:t>
      </w:r>
    </w:p>
    <w:p>
      <w:pPr>
        <w:spacing w:after="0" w:line="178" w:lineRule="exact"/>
        <w:rPr>
          <w:rFonts w:ascii="Arial" w:cs="Arial" w:eastAsia="Arial" w:hAnsi="Arial"/>
          <w:sz w:val="19"/>
          <w:szCs w:val="19"/>
          <w:color w:val="auto"/>
        </w:rPr>
      </w:pPr>
    </w:p>
    <w:p>
      <w:pPr>
        <w:jc w:val="both"/>
        <w:ind w:firstLine="3248"/>
        <w:spacing w:after="0" w:line="243" w:lineRule="auto"/>
        <w:tabs>
          <w:tab w:leader="none" w:pos="3888" w:val="left"/>
        </w:tabs>
        <w:numPr>
          <w:ilvl w:val="1"/>
          <w:numId w:val="53"/>
        </w:numPr>
        <w:rPr>
          <w:rFonts w:ascii="Arial" w:cs="Arial" w:eastAsia="Arial" w:hAnsi="Arial"/>
          <w:sz w:val="20"/>
          <w:szCs w:val="20"/>
          <w:color w:val="auto"/>
        </w:rPr>
      </w:pPr>
      <w:r>
        <w:rPr>
          <w:rFonts w:ascii="Arial" w:cs="Arial" w:eastAsia="Arial" w:hAnsi="Arial"/>
          <w:sz w:val="20"/>
          <w:szCs w:val="20"/>
          <w:color w:val="auto"/>
        </w:rPr>
        <w:t>to the extent a Foreign Lender is not the beneficial owner, executed copies of IRS Form W-8IMY, accompanied by IRS Form W-8ECI, IRS Form W-8BEN or IRS Form W-8BEN-E, as applicable (or any successor form), a U.S. Tax Compliance Certificate substantially in the form of Exhibit F-2 or Exhibit F-3,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spacing w:after="0" w:line="192" w:lineRule="exact"/>
        <w:rPr>
          <w:rFonts w:ascii="Arial" w:cs="Arial" w:eastAsia="Arial" w:hAnsi="Arial"/>
          <w:sz w:val="20"/>
          <w:szCs w:val="20"/>
          <w:color w:val="auto"/>
        </w:rPr>
      </w:pPr>
    </w:p>
    <w:p>
      <w:pPr>
        <w:jc w:val="both"/>
        <w:ind w:firstLine="2600"/>
        <w:spacing w:after="0" w:line="244" w:lineRule="auto"/>
        <w:tabs>
          <w:tab w:leader="none" w:pos="32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5" w:name="page86"/>
    <w:bookmarkEnd w:id="85"/>
    <w:p>
      <w:pPr>
        <w:jc w:val="both"/>
        <w:spacing w:after="0" w:line="250" w:lineRule="auto"/>
        <w:rPr>
          <w:sz w:val="20"/>
          <w:szCs w:val="20"/>
          <w:color w:val="auto"/>
        </w:rPr>
      </w:pPr>
      <w:r>
        <w:rPr>
          <w:rFonts w:ascii="Arial" w:cs="Arial" w:eastAsia="Arial" w:hAnsi="Arial"/>
          <w:sz w:val="20"/>
          <w:szCs w:val="20"/>
          <w:color w:val="auto"/>
        </w:rPr>
        <w:t>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6" w:lineRule="exact"/>
        <w:rPr>
          <w:sz w:val="20"/>
          <w:szCs w:val="20"/>
          <w:color w:val="auto"/>
        </w:rPr>
      </w:pPr>
    </w:p>
    <w:p>
      <w:pPr>
        <w:jc w:val="both"/>
        <w:ind w:firstLine="2600"/>
        <w:spacing w:after="0" w:line="271" w:lineRule="auto"/>
        <w:tabs>
          <w:tab w:leader="none" w:pos="3240" w:val="left"/>
        </w:tabs>
        <w:numPr>
          <w:ilvl w:val="2"/>
          <w:numId w:val="54"/>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73" w:lineRule="exact"/>
        <w:rPr>
          <w:rFonts w:ascii="Arial" w:cs="Arial" w:eastAsia="Arial" w:hAnsi="Arial"/>
          <w:sz w:val="18"/>
          <w:szCs w:val="18"/>
          <w:color w:val="auto"/>
        </w:rPr>
      </w:pPr>
    </w:p>
    <w:p>
      <w:pPr>
        <w:jc w:val="both"/>
        <w:ind w:firstLine="1952"/>
        <w:spacing w:after="0" w:line="260" w:lineRule="auto"/>
        <w:tabs>
          <w:tab w:leader="none" w:pos="2592" w:val="left"/>
        </w:tabs>
        <w:numPr>
          <w:ilvl w:val="1"/>
          <w:numId w:val="55"/>
        </w:numPr>
        <w:rPr>
          <w:rFonts w:ascii="Arial" w:cs="Arial" w:eastAsia="Arial" w:hAnsi="Arial"/>
          <w:sz w:val="19"/>
          <w:szCs w:val="19"/>
          <w:color w:val="auto"/>
        </w:rPr>
      </w:pPr>
      <w:r>
        <w:rPr>
          <w:rFonts w:ascii="Arial" w:cs="Arial" w:eastAsia="Arial" w:hAnsi="Arial"/>
          <w:sz w:val="19"/>
          <w:szCs w:val="19"/>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Each Foreign Lender shall promptly notify the Borrower at any time it determines that it is no longer in a position to provide any previously delivered certificate to the Borrower (or any other form of certification adopted by the U.S. taxing authorities for such purpose).</w:t>
      </w:r>
    </w:p>
    <w:p>
      <w:pPr>
        <w:spacing w:after="0" w:line="180" w:lineRule="exact"/>
        <w:rPr>
          <w:rFonts w:ascii="Arial" w:cs="Arial" w:eastAsia="Arial" w:hAnsi="Arial"/>
          <w:sz w:val="19"/>
          <w:szCs w:val="19"/>
          <w:color w:val="auto"/>
        </w:rPr>
      </w:pPr>
    </w:p>
    <w:p>
      <w:pPr>
        <w:jc w:val="both"/>
        <w:ind w:firstLine="1304"/>
        <w:spacing w:after="0" w:line="269" w:lineRule="auto"/>
        <w:tabs>
          <w:tab w:leader="none" w:pos="194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(including by the payment of additional amounts pursuant to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8"/>
          <w:szCs w:val="18"/>
          <w:u w:val="single" w:color="auto"/>
          <w:color w:val="auto"/>
        </w:rPr>
        <w:t>Section 2.20(g)</w:t>
      </w:r>
      <w:r>
        <w:rPr>
          <w:rFonts w:ascii="Arial" w:cs="Arial" w:eastAsia="Arial" w:hAnsi="Arial"/>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8"/>
          <w:szCs w:val="18"/>
          <w:u w:val="single" w:color="auto"/>
          <w:color w:val="auto"/>
        </w:rPr>
        <w:t>Section 2.20(g)</w:t>
      </w:r>
      <w:r>
        <w:rPr>
          <w:rFonts w:ascii="Arial" w:cs="Arial" w:eastAsia="Arial" w:hAnsi="Arial"/>
          <w:sz w:val="18"/>
          <w:szCs w:val="18"/>
          <w:color w:val="auto"/>
        </w:rPr>
        <w:t xml:space="preserve">, in no event will the indemnified party be required to pay any amount to an indemnifying party pursuant to this </w:t>
      </w:r>
      <w:r>
        <w:rPr>
          <w:rFonts w:ascii="Arial" w:cs="Arial" w:eastAsia="Arial" w:hAnsi="Arial"/>
          <w:sz w:val="18"/>
          <w:szCs w:val="18"/>
          <w:u w:val="single" w:color="auto"/>
          <w:color w:val="auto"/>
        </w:rPr>
        <w:t>Section 2.20(g)</w:t>
      </w:r>
      <w:r>
        <w:rPr>
          <w:rFonts w:ascii="Arial" w:cs="Arial" w:eastAsia="Arial" w:hAnsi="Arial"/>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76" w:lineRule="exact"/>
        <w:rPr>
          <w:rFonts w:ascii="Arial" w:cs="Arial" w:eastAsia="Arial" w:hAnsi="Arial"/>
          <w:sz w:val="18"/>
          <w:szCs w:val="18"/>
          <w:color w:val="auto"/>
        </w:rPr>
      </w:pPr>
    </w:p>
    <w:p>
      <w:pPr>
        <w:jc w:val="both"/>
        <w:ind w:firstLine="1304"/>
        <w:spacing w:after="0" w:line="250" w:lineRule="auto"/>
        <w:tabs>
          <w:tab w:leader="none" w:pos="1944"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2.20</w:t>
      </w:r>
      <w:r>
        <w:rPr>
          <w:rFonts w:ascii="Arial" w:cs="Arial" w:eastAsia="Arial" w:hAnsi="Arial"/>
          <w:sz w:val="20"/>
          <w:szCs w:val="20"/>
          <w:color w:val="auto"/>
        </w:rPr>
        <w:t xml:space="preserve"> shall survive the resignation or replacement of the Administrative Agent or any assignment of rights by, or the replacement of, a Lender and the Discharge of Obligations.</w:t>
      </w:r>
    </w:p>
    <w:p>
      <w:pPr>
        <w:spacing w:after="0" w:line="1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2.21 Indemnity</w:t>
      </w:r>
      <w:r>
        <w:rPr>
          <w:rFonts w:ascii="Arial" w:cs="Arial" w:eastAsia="Arial" w:hAnsi="Arial"/>
          <w:sz w:val="20"/>
          <w:szCs w:val="20"/>
          <w:color w:val="auto"/>
        </w:rPr>
        <w:t>. The Borrower agrees to indemnify each Lender for, and to hold each Lender harmless from,</w:t>
      </w:r>
      <w:r>
        <w:rPr>
          <w:rFonts w:ascii="Arial" w:cs="Arial" w:eastAsia="Arial" w:hAnsi="Arial"/>
          <w:sz w:val="20"/>
          <w:szCs w:val="20"/>
          <w:b w:val="1"/>
          <w:bCs w:val="1"/>
          <w:color w:val="auto"/>
        </w:rPr>
        <w:t xml:space="preserve"> </w:t>
      </w:r>
      <w:r>
        <w:rPr>
          <w:rFonts w:ascii="Arial" w:cs="Arial" w:eastAsia="Arial" w:hAnsi="Arial"/>
          <w:sz w:val="20"/>
          <w:szCs w:val="20"/>
          <w:color w:val="auto"/>
        </w:rPr>
        <w:t>any loss or expense that such Lender may sustain or incur as a consequence of (a) a default by the Borrower in making a borrowing of, conversion into or continuation of Eurodollar Loans after the Borrower has given a notice requesting the same in accordance with the provisions of this Agreement,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6" w:name="page87"/>
    <w:bookmarkEnd w:id="86"/>
    <w:p>
      <w:pPr>
        <w:jc w:val="both"/>
        <w:spacing w:after="0" w:line="269" w:lineRule="auto"/>
        <w:rPr>
          <w:sz w:val="20"/>
          <w:szCs w:val="20"/>
          <w:color w:val="auto"/>
        </w:rPr>
      </w:pPr>
      <w:r>
        <w:rPr>
          <w:rFonts w:ascii="Arial" w:cs="Arial" w:eastAsia="Arial" w:hAnsi="Arial"/>
          <w:sz w:val="18"/>
          <w:szCs w:val="18"/>
          <w:color w:val="auto"/>
        </w:rPr>
        <w:t>a default by the Borrower in making any prepayment of or conversion from Eurodollar Loans after the Borrower has given a notice thereof in accordance with the provisions of this Agreement, or (c) for any reason, the making of a prepayment of Eurodollar Loans on a day that is not the last day of an Interest Period with respect thereto. Such losses and expenses shall be equal to the excess, if any, of (i) the amount of interest that would have accrued on the amount so prepaid, or not so borrowed, reduced, converted or continued, for the period from the date of such prepayment or of such failure to borrow, reduce, convert or continue to the last day of such Interest Period (or, in the case of a failure to borrow, reduce, convert or continue, the Interest Period that would have commenced on the date of such failure) in each case at the applicable rate of interest or other return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eurodollar market, in each case, other than as a result of a default by the Administrative Agent or any Lender, as determined by a final and nonappealable decision of a court of competent jurisdiction. A certificate as to any amounts payable pursuant to this Section submitted to the Borrower by any Lender shall be conclusive in the absence of manifest error. This covenant shall survive the Discharge of Obligations.</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2.22 Change of Lending Office</w:t>
      </w:r>
      <w:r>
        <w:rPr>
          <w:rFonts w:ascii="Arial" w:cs="Arial" w:eastAsia="Arial" w:hAnsi="Arial"/>
          <w:sz w:val="18"/>
          <w:szCs w:val="18"/>
          <w:color w:val="auto"/>
        </w:rPr>
        <w:t>. Each Lender agrees that, upon the occurrence of any event giving rise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operation of </w:t>
      </w:r>
      <w:r>
        <w:rPr>
          <w:rFonts w:ascii="Arial" w:cs="Arial" w:eastAsia="Arial" w:hAnsi="Arial"/>
          <w:sz w:val="18"/>
          <w:szCs w:val="18"/>
          <w:u w:val="single" w:color="auto"/>
          <w:color w:val="auto"/>
        </w:rPr>
        <w:t>Section 2.19(b)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2.20(d)</w:t>
      </w:r>
      <w:r>
        <w:rPr>
          <w:rFonts w:ascii="Arial" w:cs="Arial" w:eastAsia="Arial" w:hAnsi="Arial"/>
          <w:sz w:val="18"/>
          <w:szCs w:val="18"/>
          <w:color w:val="auto"/>
        </w:rPr>
        <w:t xml:space="preserve"> with respect to such Lender, it will, if requested by the Borrower, use reasonable efforts (subject to overall policy considerations of such Lender) to designate a different lending office for funding or booking its Loans affected by such event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as the case may be, in the future, and (ii) would not subject such Lender to any unreimbursed cost or expense and would not otherwise be disadvantageous to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Section shall affect or postpone any of the obligations of the Borrower or the rights of any Lender pursuant to </w:t>
      </w:r>
      <w:r>
        <w:rPr>
          <w:rFonts w:ascii="Arial" w:cs="Arial" w:eastAsia="Arial" w:hAnsi="Arial"/>
          <w:sz w:val="18"/>
          <w:szCs w:val="18"/>
          <w:u w:val="single" w:color="auto"/>
          <w:color w:val="auto"/>
        </w:rPr>
        <w:t>Section 2.19(b)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2.20(d)</w:t>
      </w:r>
      <w:r>
        <w:rPr>
          <w:rFonts w:ascii="Arial" w:cs="Arial" w:eastAsia="Arial" w:hAnsi="Arial"/>
          <w:sz w:val="18"/>
          <w:szCs w:val="18"/>
          <w:color w:val="auto"/>
        </w:rPr>
        <w:t>. The Borrower hereby agrees to pay all reasonable and documented costs and expenses incurred by any Lender in connection with any such designation or assignment made at the request of the Borrower.</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2.23</w:t>
      </w:r>
      <w:r>
        <w:rPr>
          <w:sz w:val="20"/>
          <w:szCs w:val="20"/>
          <w:color w:val="auto"/>
        </w:rPr>
        <w:tab/>
      </w:r>
      <w:r>
        <w:rPr>
          <w:rFonts w:ascii="Arial" w:cs="Arial" w:eastAsia="Arial" w:hAnsi="Arial"/>
          <w:sz w:val="18"/>
          <w:szCs w:val="18"/>
          <w:b w:val="1"/>
          <w:bCs w:val="1"/>
          <w:color w:val="auto"/>
        </w:rPr>
        <w:t>Substitution of Lenders</w:t>
      </w:r>
      <w:r>
        <w:rPr>
          <w:rFonts w:ascii="Arial" w:cs="Arial" w:eastAsia="Arial" w:hAnsi="Arial"/>
          <w:sz w:val="18"/>
          <w:szCs w:val="18"/>
          <w:color w:val="auto"/>
        </w:rPr>
        <w:t>. Upon the receipt by the Borrower of any of the following (or in the case of clause</w:t>
      </w:r>
    </w:p>
    <w:p>
      <w:pPr>
        <w:spacing w:after="0" w:line="22" w:lineRule="exact"/>
        <w:rPr>
          <w:sz w:val="20"/>
          <w:szCs w:val="20"/>
          <w:color w:val="auto"/>
        </w:rPr>
      </w:pPr>
    </w:p>
    <w:p>
      <w:pPr>
        <w:ind w:firstLine="8"/>
        <w:spacing w:after="0" w:line="244" w:lineRule="auto"/>
        <w:tabs>
          <w:tab w:leader="none" w:pos="285" w:val="left"/>
        </w:tabs>
        <w:numPr>
          <w:ilvl w:val="0"/>
          <w:numId w:val="57"/>
        </w:numPr>
        <w:rPr>
          <w:rFonts w:ascii="Arial" w:cs="Arial" w:eastAsia="Arial" w:hAnsi="Arial"/>
          <w:sz w:val="20"/>
          <w:szCs w:val="20"/>
          <w:color w:val="auto"/>
        </w:rPr>
      </w:pPr>
      <w:r>
        <w:rPr>
          <w:rFonts w:ascii="Arial" w:cs="Arial" w:eastAsia="Arial" w:hAnsi="Arial"/>
          <w:sz w:val="20"/>
          <w:szCs w:val="20"/>
          <w:color w:val="auto"/>
        </w:rPr>
        <w:t>below, if the Borrower is required to pay any such amount), with respect to any Lender (any such Lender described in clauses (a) through (c) below being referred to as an “</w:t>
      </w:r>
      <w:r>
        <w:rPr>
          <w:rFonts w:ascii="Arial" w:cs="Arial" w:eastAsia="Arial" w:hAnsi="Arial"/>
          <w:sz w:val="20"/>
          <w:szCs w:val="20"/>
          <w:b w:val="1"/>
          <w:bCs w:val="1"/>
          <w:i w:val="1"/>
          <w:iCs w:val="1"/>
          <w:color w:val="auto"/>
        </w:rPr>
        <w:t>Affected Lender</w:t>
      </w:r>
      <w:r>
        <w:rPr>
          <w:rFonts w:ascii="Arial" w:cs="Arial" w:eastAsia="Arial" w:hAnsi="Arial"/>
          <w:sz w:val="20"/>
          <w:szCs w:val="20"/>
          <w:color w:val="auto"/>
        </w:rPr>
        <w:t>” hereunder):</w:t>
      </w:r>
    </w:p>
    <w:p>
      <w:pPr>
        <w:spacing w:after="0" w:line="191" w:lineRule="exact"/>
        <w:rPr>
          <w:rFonts w:ascii="Arial" w:cs="Arial" w:eastAsia="Arial" w:hAnsi="Arial"/>
          <w:sz w:val="20"/>
          <w:szCs w:val="20"/>
          <w:color w:val="auto"/>
        </w:rPr>
      </w:pPr>
    </w:p>
    <w:p>
      <w:pPr>
        <w:jc w:val="both"/>
        <w:ind w:firstLine="1304"/>
        <w:spacing w:after="0" w:line="291" w:lineRule="auto"/>
        <w:tabs>
          <w:tab w:leader="none" w:pos="1944"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 request from a Lender for payment of Indemnified Taxes or additional amounts under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or of increased costs pursuant to </w:t>
      </w:r>
      <w:r>
        <w:rPr>
          <w:rFonts w:ascii="Arial" w:cs="Arial" w:eastAsia="Arial" w:hAnsi="Arial"/>
          <w:sz w:val="18"/>
          <w:szCs w:val="18"/>
          <w:u w:val="single" w:color="auto"/>
          <w:color w:val="auto"/>
        </w:rPr>
        <w:t>Section 2.19(b)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(and, in any such case, such Lender has declined or is unable to designate a different lending office in accordance with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or is a Non-Consenting Lender);</w:t>
      </w:r>
    </w:p>
    <w:p>
      <w:pPr>
        <w:spacing w:after="0" w:line="151" w:lineRule="exact"/>
        <w:rPr>
          <w:rFonts w:ascii="Arial" w:cs="Arial" w:eastAsia="Arial" w:hAnsi="Arial"/>
          <w:sz w:val="18"/>
          <w:szCs w:val="18"/>
          <w:color w:val="auto"/>
        </w:rPr>
      </w:pPr>
    </w:p>
    <w:p>
      <w:pPr>
        <w:jc w:val="both"/>
        <w:ind w:firstLine="1304"/>
        <w:spacing w:after="0" w:line="250" w:lineRule="auto"/>
        <w:tabs>
          <w:tab w:leader="none" w:pos="1944" w:val="left"/>
        </w:tabs>
        <w:numPr>
          <w:ilvl w:val="1"/>
          <w:numId w:val="57"/>
        </w:numPr>
        <w:rPr>
          <w:rFonts w:ascii="Arial" w:cs="Arial" w:eastAsia="Arial" w:hAnsi="Arial"/>
          <w:sz w:val="20"/>
          <w:szCs w:val="20"/>
          <w:color w:val="auto"/>
        </w:rPr>
      </w:pPr>
      <w:r>
        <w:rPr>
          <w:rFonts w:ascii="Arial" w:cs="Arial" w:eastAsia="Arial" w:hAnsi="Arial"/>
          <w:sz w:val="20"/>
          <w:szCs w:val="20"/>
          <w:color w:val="auto"/>
        </w:rPr>
        <w:t xml:space="preserve">a notice from the Administrative Agent under </w:t>
      </w:r>
      <w:r>
        <w:rPr>
          <w:rFonts w:ascii="Arial" w:cs="Arial" w:eastAsia="Arial" w:hAnsi="Arial"/>
          <w:sz w:val="20"/>
          <w:szCs w:val="20"/>
          <w:u w:val="single" w:color="auto"/>
          <w:color w:val="auto"/>
        </w:rPr>
        <w:t>Section 10.1(b)</w:t>
      </w:r>
      <w:r>
        <w:rPr>
          <w:rFonts w:ascii="Arial" w:cs="Arial" w:eastAsia="Arial" w:hAnsi="Arial"/>
          <w:sz w:val="20"/>
          <w:szCs w:val="20"/>
          <w:color w:val="auto"/>
        </w:rPr>
        <w:t xml:space="preserve"> that one or more Minority Lenders are unwilling to agree to an amendment or other modification approved by the Required Lenders and the Administrative Agent; or</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1"/>
          <w:numId w:val="57"/>
        </w:numPr>
        <w:rPr>
          <w:rFonts w:ascii="Arial" w:cs="Arial" w:eastAsia="Arial" w:hAnsi="Arial"/>
          <w:sz w:val="20"/>
          <w:szCs w:val="20"/>
          <w:color w:val="auto"/>
        </w:rPr>
      </w:pPr>
      <w:r>
        <w:rPr>
          <w:rFonts w:ascii="Arial" w:cs="Arial" w:eastAsia="Arial" w:hAnsi="Arial"/>
          <w:sz w:val="20"/>
          <w:szCs w:val="20"/>
          <w:color w:val="auto"/>
        </w:rPr>
        <w:t>notice from the Administrative Agent that a Lender is a Defaulting Lender;</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then the Borrower may, at its sole expense and effort, upon notice to such Lender and the Administrative Agent and such Affected Lender: (i) request that one or more of the other Lenders acquire and assume all or part of such Affected Lender’s Loans and Commitment; or (ii) designate a replacement lending institution (which shall be an Eligible Assignee) to acquire and assume all or a ratable part of such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7" w:name="page88"/>
    <w:bookmarkEnd w:id="87"/>
    <w:p>
      <w:pPr>
        <w:jc w:val="both"/>
        <w:spacing w:after="0" w:line="268" w:lineRule="auto"/>
        <w:rPr>
          <w:sz w:val="20"/>
          <w:szCs w:val="20"/>
          <w:color w:val="auto"/>
        </w:rPr>
      </w:pPr>
      <w:r>
        <w:rPr>
          <w:rFonts w:ascii="Arial" w:cs="Arial" w:eastAsia="Arial" w:hAnsi="Arial"/>
          <w:sz w:val="18"/>
          <w:szCs w:val="18"/>
          <w:color w:val="auto"/>
        </w:rPr>
        <w:t>Lender’s Loans and Commitment (the replacing Lender or lender in (i) or (ii) being a “</w:t>
      </w:r>
      <w:r>
        <w:rPr>
          <w:rFonts w:ascii="Arial" w:cs="Arial" w:eastAsia="Arial" w:hAnsi="Arial"/>
          <w:sz w:val="18"/>
          <w:szCs w:val="18"/>
          <w:b w:val="1"/>
          <w:bCs w:val="1"/>
          <w:i w:val="1"/>
          <w:iCs w:val="1"/>
          <w:color w:val="auto"/>
        </w:rPr>
        <w:t>Replacement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 shall be liable for the payment upon demand of all costs and other amounts arising under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that result from the acquisition of any Affected Lender’s Loan and/or Commitment (or any portion thereof) by a Lender or Replacement Lender, as the case may be, on a date other than the last day of the applicable Interest Period with respect to any Eurodollar Loans then outstanding; and provided further, however, that if the Borrower elects to exercise such right with respect to any Affected Lender under clauses (a) or (b) of this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then the Borrower shall be obligated to replace all Affected Lenders under such clauses. The Affected Lender replaced pursuant to this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shall be required to assign and delegate, without recourse, all of its interests, rights and obligations under this Agreement and the related Loan Documents to one or more Replacement Lenders that so agree to acquire and assume all or a ratable part of such Affected Lender’s Loans and Commitment upon payment to such Affected Lender of an amount (in the aggregate for all Replacement Lenders) equal to 100% of the outstanding principal of the Affected Lender’s Loans, accrued interest thereon, accrued fees and all other amounts payable to it hereunder and under the other Loan Documents from such Replacement Lenders (to the extent of such outstanding principal and accrued interest and fees) or the Borrower (in the case of all other amounts, including amounts under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hereof). Any such designation of a Replacement Lender shall be effected in accordance with, and subject to the terms and conditions of, the assignment provisions contained in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(with the assignment fee to be paid by the Borrower in such instance), and, if such Replacement Lender is not already a Lender hereunder or an Affiliate of a Lender or an Approved Fund, shall be subject to the prior written consent of the Administrative Agent (which consent shall not be unreasonably withheld). Notwithstanding the foregoing, with respect to any assignment pursuant to this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(a) in the case of any such assignment resulting from a claim for compensation under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such assignment shall result in a reduction in such compensation or payments thereafter; (b) such assignment shall not conflict with applicable law and (c) in the case of any assignment resulting from a Lender being a Minority Lender referred to in clause (b) of this </w:t>
      </w:r>
      <w:r>
        <w:rPr>
          <w:rFonts w:ascii="Arial" w:cs="Arial" w:eastAsia="Arial" w:hAnsi="Arial"/>
          <w:sz w:val="18"/>
          <w:szCs w:val="18"/>
          <w:u w:val="single" w:color="auto"/>
          <w:color w:val="auto"/>
        </w:rPr>
        <w:t>Section 2.23</w:t>
      </w:r>
      <w:r>
        <w:rPr>
          <w:rFonts w:ascii="Arial" w:cs="Arial" w:eastAsia="Arial" w:hAnsi="Arial"/>
          <w:sz w:val="18"/>
          <w:szCs w:val="18"/>
          <w:color w:val="auto"/>
        </w:rPr>
        <w:t>, the applicable assignee shall have consented to the applicable amendment, waiver or consent. Notwithstanding the foregoing, an Affected Lender shall not be required to make any such assignment or delegation if, prior thereto, as a result of a waiver by such Affected Lender or otherwise, the circumstances entitling the Borrower to require such assignment and delegation cease to apply.</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2.24</w:t>
      </w:r>
      <w:r>
        <w:rPr>
          <w:sz w:val="20"/>
          <w:szCs w:val="20"/>
          <w:color w:val="auto"/>
        </w:rPr>
        <w:tab/>
      </w:r>
      <w:r>
        <w:rPr>
          <w:rFonts w:ascii="Arial" w:cs="Arial" w:eastAsia="Arial" w:hAnsi="Arial"/>
          <w:sz w:val="16"/>
          <w:szCs w:val="16"/>
          <w:b w:val="1"/>
          <w:bCs w:val="1"/>
          <w:color w:val="auto"/>
        </w:rPr>
        <w:t>Defaulting Lenders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50" w:lineRule="auto"/>
        <w:tabs>
          <w:tab w:leader="none" w:pos="1944"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Defaulting Lender Adjustments</w:t>
      </w:r>
      <w:r>
        <w:rPr>
          <w:rFonts w:ascii="Arial" w:cs="Arial" w:eastAsia="Arial" w:hAnsi="Arial"/>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85" w:lineRule="exact"/>
        <w:rPr>
          <w:rFonts w:ascii="Arial" w:cs="Arial" w:eastAsia="Arial" w:hAnsi="Arial"/>
          <w:sz w:val="20"/>
          <w:szCs w:val="20"/>
          <w:color w:val="auto"/>
        </w:rPr>
      </w:pPr>
    </w:p>
    <w:p>
      <w:pPr>
        <w:jc w:val="both"/>
        <w:ind w:firstLine="1952"/>
        <w:spacing w:after="0" w:line="250" w:lineRule="auto"/>
        <w:tabs>
          <w:tab w:leader="none" w:pos="2592" w:val="left"/>
        </w:tabs>
        <w:numPr>
          <w:ilvl w:val="1"/>
          <w:numId w:val="58"/>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xml:space="preserve">. Such Defaulting Lender’s right to approve or disapprove any amendment, waiver or consent with respect to this Agreement shall be restricted as set forth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and in the definition of Required Lenders.</w:t>
      </w:r>
    </w:p>
    <w:p>
      <w:pPr>
        <w:spacing w:after="0" w:line="185" w:lineRule="exact"/>
        <w:rPr>
          <w:rFonts w:ascii="Arial" w:cs="Arial" w:eastAsia="Arial" w:hAnsi="Arial"/>
          <w:sz w:val="20"/>
          <w:szCs w:val="20"/>
          <w:color w:val="auto"/>
        </w:rPr>
      </w:pPr>
    </w:p>
    <w:p>
      <w:pPr>
        <w:jc w:val="both"/>
        <w:ind w:firstLine="1952"/>
        <w:spacing w:after="0" w:line="256" w:lineRule="auto"/>
        <w:tabs>
          <w:tab w:leader="none" w:pos="2592"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Defaulting Lender Waterfall</w:t>
      </w:r>
      <w:r>
        <w:rPr>
          <w:rFonts w:ascii="Arial" w:cs="Arial" w:eastAsia="Arial" w:hAnsi="Arial"/>
          <w:sz w:val="19"/>
          <w:szCs w:val="19"/>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or otherwise, and including any amounts made available to the Administrative Agent by such Defaulting Lender pursuant to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payment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of any amounts owing by such Defaulting Lender to the Issuing Lender or to the Swingline Lender hereunder;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be held as Cash Collateral for the funding obligations of such Defaulting Lender of any participation in any Letter of Credit; </w:t>
      </w:r>
      <w:r>
        <w:rPr>
          <w:rFonts w:ascii="Arial" w:cs="Arial" w:eastAsia="Arial" w:hAnsi="Arial"/>
          <w:sz w:val="19"/>
          <w:szCs w:val="19"/>
          <w:u w:val="single" w:color="auto"/>
          <w:color w:val="auto"/>
        </w:rPr>
        <w:t>fourth</w:t>
      </w:r>
      <w:r>
        <w:rPr>
          <w:rFonts w:ascii="Arial" w:cs="Arial" w:eastAsia="Arial" w:hAnsi="Arial"/>
          <w:sz w:val="19"/>
          <w:szCs w:val="19"/>
          <w:color w:val="auto"/>
        </w:rPr>
        <w:t>, as the Borrower may request (so long as no Default or Event of Default exists), to the funding of any Loan in respect of which such 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8" w:name="page89"/>
    <w:bookmarkEnd w:id="88"/>
    <w:p>
      <w:pPr>
        <w:spacing w:after="0" w:line="275" w:lineRule="auto"/>
        <w:rPr>
          <w:sz w:val="20"/>
          <w:szCs w:val="20"/>
          <w:color w:val="auto"/>
        </w:rPr>
      </w:pPr>
      <w:r>
        <w:rPr>
          <w:rFonts w:ascii="Arial" w:cs="Arial" w:eastAsia="Arial" w:hAnsi="Arial"/>
          <w:sz w:val="18"/>
          <w:szCs w:val="18"/>
          <w:color w:val="auto"/>
        </w:rPr>
        <w:t xml:space="preserve">Lender has failed to fund its portion thereof as required by this Agreement, as determined by the Administrative Agent; </w:t>
      </w:r>
      <w:r>
        <w:rPr>
          <w:rFonts w:ascii="Arial" w:cs="Arial" w:eastAsia="Arial" w:hAnsi="Arial"/>
          <w:sz w:val="18"/>
          <w:szCs w:val="18"/>
          <w:u w:val="single" w:color="auto"/>
          <w:color w:val="auto"/>
        </w:rPr>
        <w:t>fifth</w:t>
      </w:r>
      <w:r>
        <w:rPr>
          <w:rFonts w:ascii="Arial" w:cs="Arial" w:eastAsia="Arial" w:hAnsi="Arial"/>
          <w:sz w:val="18"/>
          <w:szCs w:val="18"/>
          <w:color w:val="auto"/>
        </w:rPr>
        <w:t>, if so determined by the Administrative Agent and the Borrower, to be held in a Deposit Account and released pro rata to</w:t>
      </w:r>
    </w:p>
    <w:p>
      <w:pPr>
        <w:spacing w:after="0" w:line="1" w:lineRule="exact"/>
        <w:rPr>
          <w:sz w:val="20"/>
          <w:szCs w:val="20"/>
          <w:color w:val="auto"/>
        </w:rPr>
      </w:pPr>
    </w:p>
    <w:p>
      <w:pPr>
        <w:ind w:left="300" w:hanging="292"/>
        <w:spacing w:after="0"/>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satisfy such Defaulting Lender’s potential future funding obligations with respect to Loans under this Agreement, and</w:t>
      </w:r>
    </w:p>
    <w:p>
      <w:pPr>
        <w:spacing w:after="0" w:line="22" w:lineRule="exact"/>
        <w:rPr>
          <w:rFonts w:ascii="Arial" w:cs="Arial" w:eastAsia="Arial" w:hAnsi="Arial"/>
          <w:sz w:val="18"/>
          <w:szCs w:val="18"/>
          <w:color w:val="auto"/>
        </w:rPr>
      </w:pPr>
    </w:p>
    <w:p>
      <w:pPr>
        <w:jc w:val="both"/>
        <w:ind w:firstLine="8"/>
        <w:spacing w:after="0" w:line="253" w:lineRule="auto"/>
        <w:tabs>
          <w:tab w:leader="none" w:pos="284"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be held as Cash Collateral for the future funding obligations of such Defaulting Lender of any participation in any future Letter of Credit; </w:t>
      </w:r>
      <w:r>
        <w:rPr>
          <w:rFonts w:ascii="Arial" w:cs="Arial" w:eastAsia="Arial" w:hAnsi="Arial"/>
          <w:sz w:val="19"/>
          <w:szCs w:val="19"/>
          <w:u w:val="single" w:color="auto"/>
          <w:color w:val="auto"/>
        </w:rPr>
        <w:t>sixth</w:t>
      </w:r>
      <w:r>
        <w:rPr>
          <w:rFonts w:ascii="Arial" w:cs="Arial" w:eastAsia="Arial" w:hAnsi="Arial"/>
          <w:sz w:val="19"/>
          <w:szCs w:val="19"/>
          <w:color w:val="auto"/>
        </w:rPr>
        <w:t xml:space="preserve">, to the payment of any amounts owing to any L/C Lender, Issuing Lender or Swingline Lender as a result of any judgment of a court of competent jurisdiction obtained by any L/C Lender, Issuing Lender or Swingline Lender against such Defaulting Lender as a result of such Defaulting Lender’s breach of its obligations under this Agreement; </w:t>
      </w:r>
      <w:r>
        <w:rPr>
          <w:rFonts w:ascii="Arial" w:cs="Arial" w:eastAsia="Arial" w:hAnsi="Arial"/>
          <w:sz w:val="19"/>
          <w:szCs w:val="19"/>
          <w:u w:val="single" w:color="auto"/>
          <w:color w:val="auto"/>
        </w:rPr>
        <w:t>seventh</w:t>
      </w:r>
      <w:r>
        <w:rPr>
          <w:rFonts w:ascii="Arial" w:cs="Arial" w:eastAsia="Arial" w:hAnsi="Arial"/>
          <w:sz w:val="19"/>
          <w:szCs w:val="19"/>
          <w:color w:val="auto"/>
        </w:rPr>
        <w:t xml:space="preserve">, so long as no Default or Event of Default has occurred and is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9"/>
          <w:szCs w:val="19"/>
          <w:u w:val="single" w:color="auto"/>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such payment is a payment of the principal amount of any Loans or L/C Advances in respect of which such Defaulting Lender has not fully funded its appropriate share and (B) such Loans or L/C Advances were made at a time when the conditions set forth in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were satisfied or waived, such payment shall be applied solely to pay the Loans of, and L/C Advances owed to, all Non-Defaulting Lenders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prior to being applied to the payment of any Loans of, or L/C Advances owed to, such Defaulting Lender until such time as all Loans and funded and unfunded participations in L/C Advances and Swingline Loans are held by the Lenders pro rata in accordance with the Commitments under the applicable Facility without giving effect to </w:t>
      </w:r>
      <w:r>
        <w:rPr>
          <w:rFonts w:ascii="Arial" w:cs="Arial" w:eastAsia="Arial" w:hAnsi="Arial"/>
          <w:sz w:val="19"/>
          <w:szCs w:val="19"/>
          <w:u w:val="single" w:color="auto"/>
          <w:color w:val="auto"/>
        </w:rPr>
        <w:t>Section 2.24(a)(iv)</w:t>
      </w:r>
      <w:r>
        <w:rPr>
          <w:rFonts w:ascii="Arial" w:cs="Arial" w:eastAsia="Arial" w:hAnsi="Arial"/>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2.24(a)(ii)</w:t>
      </w:r>
      <w:r>
        <w:rPr>
          <w:rFonts w:ascii="Arial" w:cs="Arial" w:eastAsia="Arial" w:hAnsi="Arial"/>
          <w:sz w:val="19"/>
          <w:szCs w:val="19"/>
          <w:color w:val="auto"/>
        </w:rPr>
        <w:t xml:space="preserve"> shall be deemed paid to and redirected by such Defaulting Lender, and each Lender irrevocably consents hereto.</w:t>
      </w:r>
    </w:p>
    <w:p>
      <w:pPr>
        <w:spacing w:after="0" w:line="185" w:lineRule="exact"/>
        <w:rPr>
          <w:rFonts w:ascii="Arial" w:cs="Arial" w:eastAsia="Arial" w:hAnsi="Arial"/>
          <w:sz w:val="19"/>
          <w:szCs w:val="19"/>
          <w:color w:val="auto"/>
        </w:rPr>
      </w:pPr>
    </w:p>
    <w:p>
      <w:pPr>
        <w:ind w:left="2600" w:hanging="648"/>
        <w:spacing w:after="0"/>
        <w:tabs>
          <w:tab w:leader="none" w:pos="2600" w:val="left"/>
        </w:tabs>
        <w:numPr>
          <w:ilvl w:val="1"/>
          <w:numId w:val="59"/>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2600"/>
        <w:spacing w:after="0" w:line="269" w:lineRule="auto"/>
        <w:tabs>
          <w:tab w:leader="none" w:pos="3240" w:val="left"/>
        </w:tabs>
        <w:numPr>
          <w:ilvl w:val="2"/>
          <w:numId w:val="59"/>
        </w:numPr>
        <w:rPr>
          <w:rFonts w:ascii="Arial" w:cs="Arial" w:eastAsia="Arial" w:hAnsi="Arial"/>
          <w:sz w:val="19"/>
          <w:szCs w:val="19"/>
          <w:color w:val="auto"/>
        </w:rPr>
      </w:pPr>
      <w:r>
        <w:rPr>
          <w:rFonts w:ascii="Arial" w:cs="Arial" w:eastAsia="Arial" w:hAnsi="Arial"/>
          <w:sz w:val="19"/>
          <w:szCs w:val="19"/>
          <w:color w:val="auto"/>
        </w:rPr>
        <w:t xml:space="preserve">No Defaulting Lender shall be entitled to receive any fee pursuant to </w:t>
      </w:r>
      <w:r>
        <w:rPr>
          <w:rFonts w:ascii="Arial" w:cs="Arial" w:eastAsia="Arial" w:hAnsi="Arial"/>
          <w:sz w:val="19"/>
          <w:szCs w:val="19"/>
          <w:u w:val="single" w:color="auto"/>
          <w:color w:val="auto"/>
        </w:rPr>
        <w:t>Section 2.9(b)</w:t>
      </w:r>
      <w:r>
        <w:rPr>
          <w:rFonts w:ascii="Arial" w:cs="Arial" w:eastAsia="Arial" w:hAnsi="Arial"/>
          <w:sz w:val="19"/>
          <w:szCs w:val="19"/>
          <w:color w:val="auto"/>
        </w:rPr>
        <w:t xml:space="preserve"> for any period during which such Lender is a Defaulting Lender (and the Borrower shall not be required to pay any such fee that otherwise would have been required to have been paid to such Defaulting Lender).</w:t>
      </w:r>
    </w:p>
    <w:p>
      <w:pPr>
        <w:spacing w:after="0" w:line="169" w:lineRule="exact"/>
        <w:rPr>
          <w:rFonts w:ascii="Arial" w:cs="Arial" w:eastAsia="Arial" w:hAnsi="Arial"/>
          <w:sz w:val="19"/>
          <w:szCs w:val="19"/>
          <w:color w:val="auto"/>
        </w:rPr>
      </w:pPr>
    </w:p>
    <w:p>
      <w:pPr>
        <w:ind w:left="3240" w:hanging="640"/>
        <w:spacing w:after="0"/>
        <w:tabs>
          <w:tab w:leader="none" w:pos="3240" w:val="left"/>
        </w:tabs>
        <w:numPr>
          <w:ilvl w:val="2"/>
          <w:numId w:val="59"/>
        </w:numPr>
        <w:rPr>
          <w:rFonts w:ascii="Arial" w:cs="Arial" w:eastAsia="Arial" w:hAnsi="Arial"/>
          <w:sz w:val="18"/>
          <w:szCs w:val="18"/>
          <w:color w:val="auto"/>
        </w:rPr>
      </w:pPr>
      <w:r>
        <w:rPr>
          <w:rFonts w:ascii="Arial" w:cs="Arial" w:eastAsia="Arial" w:hAnsi="Arial"/>
          <w:sz w:val="18"/>
          <w:szCs w:val="18"/>
          <w:color w:val="auto"/>
        </w:rPr>
        <w:t>Each Defaulting Lender shall be limited in its right to receive Letter of Credit Fees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 xml:space="preserve">as provided in </w:t>
      </w:r>
      <w:r>
        <w:rPr>
          <w:rFonts w:ascii="Arial" w:cs="Arial" w:eastAsia="Arial" w:hAnsi="Arial"/>
          <w:sz w:val="20"/>
          <w:szCs w:val="20"/>
          <w:u w:val="single" w:color="auto"/>
          <w:color w:val="auto"/>
        </w:rPr>
        <w:t>Section 3.3(d)</w:t>
      </w:r>
      <w:r>
        <w:rPr>
          <w:rFonts w:ascii="Arial" w:cs="Arial" w:eastAsia="Arial" w:hAnsi="Arial"/>
          <w:sz w:val="20"/>
          <w:szCs w:val="20"/>
          <w:color w:val="auto"/>
        </w:rPr>
        <w:t>.</w:t>
      </w:r>
    </w:p>
    <w:p>
      <w:pPr>
        <w:spacing w:after="0" w:line="199" w:lineRule="exact"/>
        <w:rPr>
          <w:rFonts w:ascii="Arial" w:cs="Arial" w:eastAsia="Arial" w:hAnsi="Arial"/>
          <w:sz w:val="18"/>
          <w:szCs w:val="18"/>
          <w:color w:val="auto"/>
        </w:rPr>
      </w:pPr>
    </w:p>
    <w:p>
      <w:pPr>
        <w:jc w:val="both"/>
        <w:ind w:firstLine="2600"/>
        <w:spacing w:after="0" w:line="274" w:lineRule="auto"/>
        <w:tabs>
          <w:tab w:leader="none" w:pos="3240" w:val="left"/>
        </w:tabs>
        <w:numPr>
          <w:ilvl w:val="2"/>
          <w:numId w:val="59"/>
        </w:numPr>
        <w:rPr>
          <w:rFonts w:ascii="Arial" w:cs="Arial" w:eastAsia="Arial" w:hAnsi="Arial"/>
          <w:sz w:val="18"/>
          <w:szCs w:val="18"/>
          <w:color w:val="auto"/>
        </w:rPr>
      </w:pPr>
      <w:r>
        <w:rPr>
          <w:rFonts w:ascii="Arial" w:cs="Arial" w:eastAsia="Arial" w:hAnsi="Arial"/>
          <w:sz w:val="18"/>
          <w:szCs w:val="18"/>
          <w:color w:val="auto"/>
        </w:rPr>
        <w:t>With respect to any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the Issuing Lender and the Swingline Lender, as applicable, the amount of any such fee otherwise payable to such Defaulting Lender to the extent allocable to the Issuing Lender’s or the Swingline Lender’s Fronting Exposure to such Defaulting Lender, and (z) not be required to pay the remaining amount of any such fee.</w:t>
      </w:r>
    </w:p>
    <w:p>
      <w:pPr>
        <w:spacing w:after="0" w:line="168" w:lineRule="exact"/>
        <w:rPr>
          <w:rFonts w:ascii="Arial" w:cs="Arial" w:eastAsia="Arial" w:hAnsi="Arial"/>
          <w:sz w:val="18"/>
          <w:szCs w:val="18"/>
          <w:color w:val="auto"/>
        </w:rPr>
      </w:pPr>
    </w:p>
    <w:p>
      <w:pPr>
        <w:jc w:val="both"/>
        <w:ind w:firstLine="1952"/>
        <w:spacing w:after="0" w:line="243" w:lineRule="auto"/>
        <w:tabs>
          <w:tab w:leader="none" w:pos="2592" w:val="left"/>
        </w:tabs>
        <w:numPr>
          <w:ilvl w:val="1"/>
          <w:numId w:val="59"/>
        </w:numPr>
        <w:rPr>
          <w:rFonts w:ascii="Arial" w:cs="Arial" w:eastAsia="Arial" w:hAnsi="Arial"/>
          <w:sz w:val="20"/>
          <w:szCs w:val="20"/>
          <w:color w:val="auto"/>
        </w:rPr>
      </w:pPr>
      <w:r>
        <w:rPr>
          <w:rFonts w:ascii="Arial" w:cs="Arial" w:eastAsia="Arial" w:hAnsi="Arial"/>
          <w:sz w:val="20"/>
          <w:szCs w:val="20"/>
          <w:u w:val="single" w:color="auto"/>
          <w:color w:val="auto"/>
        </w:rPr>
        <w:t>Reallocation of Pro Rata Share to Reduce Fronting Exposure</w:t>
      </w:r>
      <w:r>
        <w:rPr>
          <w:rFonts w:ascii="Arial" w:cs="Arial" w:eastAsia="Arial" w:hAnsi="Arial"/>
          <w:sz w:val="20"/>
          <w:szCs w:val="20"/>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Arial" w:cs="Arial" w:eastAsia="Arial" w:hAnsi="Arial"/>
          <w:sz w:val="20"/>
          <w:szCs w:val="20"/>
          <w:u w:val="single" w:color="auto"/>
          <w:color w:val="auto"/>
        </w:rPr>
        <w:t>Section 3.4</w:t>
      </w:r>
      <w:r>
        <w:rPr>
          <w:rFonts w:ascii="Arial" w:cs="Arial" w:eastAsia="Arial" w:hAnsi="Arial"/>
          <w:sz w:val="20"/>
          <w:szCs w:val="20"/>
          <w:color w:val="auto"/>
        </w:rPr>
        <w:t xml:space="preserve"> or in Swingline Loans pursuant to </w:t>
      </w:r>
      <w:r>
        <w:rPr>
          <w:rFonts w:ascii="Arial" w:cs="Arial" w:eastAsia="Arial" w:hAnsi="Arial"/>
          <w:sz w:val="20"/>
          <w:szCs w:val="20"/>
          <w:u w:val="single" w:color="auto"/>
          <w:color w:val="auto"/>
        </w:rPr>
        <w:t>Section 2.7(c)</w:t>
      </w:r>
      <w:r>
        <w:rPr>
          <w:rFonts w:ascii="Arial" w:cs="Arial" w:eastAsia="Arial" w:hAnsi="Arial"/>
          <w:sz w:val="20"/>
          <w:szCs w:val="20"/>
          <w:color w:val="auto"/>
        </w:rPr>
        <w:t xml:space="preserve">, the L/C Percentage of each Non-Defaulting Lender of any such Letter of Credit and the Revolving Percentage of each Non-Defaulting Lender of any such Swingline Loan, as the case may be, shall be computed without giving effect to the Revolving Commitment of such Defaulting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each such reallocation shall be given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9" w:name="page90"/>
    <w:bookmarkEnd w:id="89"/>
    <w:p>
      <w:pPr>
        <w:jc w:val="both"/>
        <w:spacing w:after="0" w:line="273" w:lineRule="auto"/>
        <w:rPr>
          <w:sz w:val="20"/>
          <w:szCs w:val="20"/>
          <w:color w:val="auto"/>
        </w:rPr>
      </w:pPr>
      <w:r>
        <w:rPr>
          <w:rFonts w:ascii="Arial" w:cs="Arial" w:eastAsia="Arial" w:hAnsi="Arial"/>
          <w:sz w:val="18"/>
          <w:szCs w:val="18"/>
          <w:color w:val="auto"/>
        </w:rPr>
        <w:t xml:space="preserve">only if, at the date the applicable Lender becomes a Defaulting Lender, no Event of Default has occurred and is continuing; and (B) the aggregate obligations of each Non-Defaulting Lender to acquire, refinance or fund participations in Letters of Credit and Swingline Loans shall not exceed the positive difference, if any, of (1) the Revolving Commitment of that Non-Defaulting Lender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the aggregate outstanding amount of the Revolving Loans of that Lender plus the aggregate amount of that Lender’s L/C Percentage of the then outstanding Letters of Credit. Subject to </w:t>
      </w:r>
      <w:r>
        <w:rPr>
          <w:rFonts w:ascii="Arial" w:cs="Arial" w:eastAsia="Arial" w:hAnsi="Arial"/>
          <w:sz w:val="18"/>
          <w:szCs w:val="18"/>
          <w:u w:val="single" w:color="auto"/>
          <w:color w:val="auto"/>
        </w:rPr>
        <w:t>Section 10.21</w:t>
      </w:r>
      <w:r>
        <w:rPr>
          <w:rFonts w:ascii="Arial" w:cs="Arial" w:eastAsia="Arial" w:hAnsi="Arial"/>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8" w:lineRule="exact"/>
        <w:rPr>
          <w:sz w:val="20"/>
          <w:szCs w:val="20"/>
          <w:color w:val="auto"/>
        </w:rPr>
      </w:pPr>
    </w:p>
    <w:p>
      <w:pPr>
        <w:ind w:left="2600" w:hanging="648"/>
        <w:spacing w:after="0"/>
        <w:tabs>
          <w:tab w:leader="none" w:pos="2600" w:val="left"/>
        </w:tabs>
        <w:numPr>
          <w:ilvl w:val="2"/>
          <w:numId w:val="60"/>
        </w:numPr>
        <w:rPr>
          <w:rFonts w:ascii="Arial" w:cs="Arial" w:eastAsia="Arial" w:hAnsi="Arial"/>
          <w:sz w:val="19"/>
          <w:szCs w:val="19"/>
          <w:color w:val="auto"/>
        </w:rPr>
      </w:pPr>
      <w:r>
        <w:rPr>
          <w:rFonts w:ascii="Arial" w:cs="Arial" w:eastAsia="Arial" w:hAnsi="Arial"/>
          <w:sz w:val="19"/>
          <w:szCs w:val="19"/>
          <w:u w:val="single" w:color="auto"/>
          <w:color w:val="auto"/>
        </w:rPr>
        <w:t>Cash Collateral, Repayment of Swingline Loans</w:t>
      </w:r>
      <w:r>
        <w:rPr>
          <w:rFonts w:ascii="Arial" w:cs="Arial" w:eastAsia="Arial" w:hAnsi="Arial"/>
          <w:sz w:val="19"/>
          <w:szCs w:val="19"/>
          <w:color w:val="auto"/>
        </w:rPr>
        <w:t>.  If the reallocation described in clause</w:t>
      </w:r>
    </w:p>
    <w:p>
      <w:pPr>
        <w:spacing w:after="0" w:line="27" w:lineRule="exact"/>
        <w:rPr>
          <w:rFonts w:ascii="Arial" w:cs="Arial" w:eastAsia="Arial" w:hAnsi="Arial"/>
          <w:sz w:val="19"/>
          <w:szCs w:val="19"/>
          <w:color w:val="auto"/>
        </w:rPr>
      </w:pPr>
    </w:p>
    <w:p>
      <w:pPr>
        <w:jc w:val="both"/>
        <w:ind w:firstLine="8"/>
        <w:spacing w:after="0" w:line="241" w:lineRule="auto"/>
        <w:tabs>
          <w:tab w:leader="none" w:pos="337"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above cannot, or can only partially, be effected, the Borrower shall, without prejudice to any right or remedy available to it hereunder or under law, (x)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prepay Swingline Loans in an amount equal to the Swingline Lender’s Fronting Exposure and (y)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Cash Collateralize the Issuing Lender’s Fronting Exposure in accordance with the procedures set forth in </w:t>
      </w:r>
      <w:r>
        <w:rPr>
          <w:rFonts w:ascii="Arial" w:cs="Arial" w:eastAsia="Arial" w:hAnsi="Arial"/>
          <w:sz w:val="20"/>
          <w:szCs w:val="20"/>
          <w:u w:val="single" w:color="auto"/>
          <w:color w:val="auto"/>
        </w:rPr>
        <w:t>Section 3.10</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firstLine="1304"/>
        <w:spacing w:after="0" w:line="270" w:lineRule="auto"/>
        <w:tabs>
          <w:tab w:leader="none" w:pos="1944"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Borrower, the Administrative Agent, the Swingline Lender and the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the Lenders in accordance with their respective Revolving Percentages and L/C Percentages, as applicable (without giving effect to </w:t>
      </w:r>
      <w:r>
        <w:rPr>
          <w:rFonts w:ascii="Arial" w:cs="Arial" w:eastAsia="Arial" w:hAnsi="Arial"/>
          <w:sz w:val="18"/>
          <w:szCs w:val="18"/>
          <w:u w:val="single" w:color="auto"/>
          <w:color w:val="auto"/>
        </w:rPr>
        <w:t>Section 2.24(a)(iv)</w:t>
      </w:r>
      <w:r>
        <w:rPr>
          <w:rFonts w:ascii="Arial" w:cs="Arial" w:eastAsia="Arial" w:hAnsi="Arial"/>
          <w:sz w:val="18"/>
          <w:szCs w:val="18"/>
          <w:color w:val="auto"/>
        </w:rPr>
        <w:t xml:space="preserve">),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such Lender was a Defaulting Lender;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175" w:lineRule="exact"/>
        <w:rPr>
          <w:rFonts w:ascii="Arial" w:cs="Arial" w:eastAsia="Arial" w:hAnsi="Arial"/>
          <w:sz w:val="18"/>
          <w:szCs w:val="18"/>
          <w:color w:val="auto"/>
        </w:rPr>
      </w:pPr>
    </w:p>
    <w:p>
      <w:pPr>
        <w:jc w:val="both"/>
        <w:ind w:firstLine="1304"/>
        <w:spacing w:after="0" w:line="244" w:lineRule="auto"/>
        <w:tabs>
          <w:tab w:leader="none" w:pos="1944" w:val="left"/>
        </w:tabs>
        <w:numPr>
          <w:ilvl w:val="1"/>
          <w:numId w:val="61"/>
        </w:numPr>
        <w:rPr>
          <w:rFonts w:ascii="Arial" w:cs="Arial" w:eastAsia="Arial" w:hAnsi="Arial"/>
          <w:sz w:val="20"/>
          <w:szCs w:val="20"/>
          <w:color w:val="auto"/>
        </w:rPr>
      </w:pPr>
      <w:r>
        <w:rPr>
          <w:rFonts w:ascii="Arial" w:cs="Arial" w:eastAsia="Arial" w:hAnsi="Arial"/>
          <w:sz w:val="20"/>
          <w:szCs w:val="20"/>
          <w:u w:val="single" w:color="auto"/>
          <w:color w:val="auto"/>
        </w:rPr>
        <w:t>New Swingline Loans/Letters of Credit</w:t>
      </w:r>
      <w:r>
        <w:rPr>
          <w:rFonts w:ascii="Arial" w:cs="Arial" w:eastAsia="Arial" w:hAnsi="Arial"/>
          <w:sz w:val="20"/>
          <w:szCs w:val="20"/>
          <w:color w:val="auto"/>
        </w:rPr>
        <w:t>. So long as any Lender is a Defaulting Lender, (i) the Swingline Lender shall not be required to fund any Swingline Loans unless it is satisfied that it will have no Fronting Exposure after giving effect to such Swingline Loan, and (ii) the Issuing Lender shall not be required to issue, extend, renew or increase any Letter of Credit unless it is satisfied that it will have no Fronting Exposure in respect of Letters of Credit after giving effect thereto.</w:t>
      </w:r>
    </w:p>
    <w:p>
      <w:pPr>
        <w:spacing w:after="0" w:line="194" w:lineRule="exact"/>
        <w:rPr>
          <w:rFonts w:ascii="Arial" w:cs="Arial" w:eastAsia="Arial" w:hAnsi="Arial"/>
          <w:sz w:val="20"/>
          <w:szCs w:val="20"/>
          <w:color w:val="auto"/>
        </w:rPr>
      </w:pPr>
    </w:p>
    <w:p>
      <w:pPr>
        <w:jc w:val="both"/>
        <w:ind w:firstLine="1304"/>
        <w:spacing w:after="0" w:line="242" w:lineRule="auto"/>
        <w:tabs>
          <w:tab w:leader="none" w:pos="1944" w:val="left"/>
        </w:tabs>
        <w:numPr>
          <w:ilvl w:val="1"/>
          <w:numId w:val="61"/>
        </w:numPr>
        <w:rPr>
          <w:rFonts w:ascii="Arial" w:cs="Arial" w:eastAsia="Arial" w:hAnsi="Arial"/>
          <w:sz w:val="20"/>
          <w:szCs w:val="20"/>
          <w:color w:val="auto"/>
        </w:rPr>
      </w:pPr>
      <w:r>
        <w:rPr>
          <w:rFonts w:ascii="Arial" w:cs="Arial" w:eastAsia="Arial" w:hAnsi="Arial"/>
          <w:sz w:val="20"/>
          <w:szCs w:val="20"/>
          <w:u w:val="single" w:color="auto"/>
          <w:color w:val="auto"/>
        </w:rPr>
        <w:t>Termination of Defaulting Lender</w:t>
      </w:r>
      <w:r>
        <w:rPr>
          <w:rFonts w:ascii="Arial" w:cs="Arial" w:eastAsia="Arial" w:hAnsi="Arial"/>
          <w:sz w:val="20"/>
          <w:szCs w:val="20"/>
          <w:color w:val="auto"/>
        </w:rPr>
        <w:t xml:space="preserve">. The Borrower may terminate the unused amount of the Revolving Commitment of any Revolving Lender that is a Defaulting Lender upon not less than ten Business Days’ prior notice to the Administrative Agent (which shall promptly notify the Lenders thereof), and in such event the provisions of </w:t>
      </w:r>
      <w:r>
        <w:rPr>
          <w:rFonts w:ascii="Arial" w:cs="Arial" w:eastAsia="Arial" w:hAnsi="Arial"/>
          <w:sz w:val="20"/>
          <w:szCs w:val="20"/>
          <w:u w:val="single" w:color="auto"/>
          <w:color w:val="auto"/>
        </w:rPr>
        <w:t>Section 2.24(a)(ii)</w:t>
      </w:r>
      <w:r>
        <w:rPr>
          <w:rFonts w:ascii="Arial" w:cs="Arial" w:eastAsia="Arial" w:hAnsi="Arial"/>
          <w:sz w:val="20"/>
          <w:szCs w:val="20"/>
          <w:color w:val="auto"/>
        </w:rPr>
        <w:t xml:space="preserve"> will apply to all amounts thereafter paid by the Borrower for the account of such Defaulting Lender under this Agreement (whether on account of principal, interest, fees, indemnity or other amounts);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no Event of Default shall have occurred and be continuing, and (ii) such termination shall not be deemed to be a waiver or release of any claim the Borrower, the Administrative Agent, the Issuing Lender, the Swingline Lender or any other Lender may have against such Defaulting Lender.</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2.25</w:t>
      </w:r>
      <w:r>
        <w:rPr>
          <w:sz w:val="20"/>
          <w:szCs w:val="20"/>
          <w:color w:val="auto"/>
        </w:rPr>
        <w:tab/>
      </w:r>
      <w:r>
        <w:rPr>
          <w:rFonts w:ascii="Arial" w:cs="Arial" w:eastAsia="Arial" w:hAnsi="Arial"/>
          <w:sz w:val="18"/>
          <w:szCs w:val="18"/>
          <w:b w:val="1"/>
          <w:bCs w:val="1"/>
          <w:color w:val="auto"/>
        </w:rPr>
        <w:t>Joint and Several Liability of the Borrowers</w:t>
      </w:r>
      <w:r>
        <w:rPr>
          <w:rFonts w:ascii="Arial" w:cs="Arial" w:eastAsia="Arial" w:hAnsi="Arial"/>
          <w:sz w:val="18"/>
          <w:szCs w:val="18"/>
          <w:color w:val="auto"/>
        </w:rPr>
        <w:t>.</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at any time there is more than one Person composing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0" w:name="page91"/>
    <w:bookmarkEnd w:id="90"/>
    <w:p>
      <w:pPr>
        <w:jc w:val="both"/>
        <w:ind w:firstLine="1304"/>
        <w:spacing w:after="0" w:line="246" w:lineRule="auto"/>
        <w:tabs>
          <w:tab w:leader="none" w:pos="1944" w:val="left"/>
        </w:tabs>
        <w:numPr>
          <w:ilvl w:val="0"/>
          <w:numId w:val="62"/>
        </w:numPr>
        <w:rPr>
          <w:rFonts w:ascii="Arial" w:cs="Arial" w:eastAsia="Arial" w:hAnsi="Arial"/>
          <w:sz w:val="20"/>
          <w:szCs w:val="20"/>
          <w:color w:val="auto"/>
        </w:rPr>
      </w:pPr>
      <w:r>
        <w:rPr>
          <w:rFonts w:ascii="Arial" w:cs="Arial" w:eastAsia="Arial" w:hAnsi="Arial"/>
          <w:sz w:val="20"/>
          <w:szCs w:val="20"/>
          <w:color w:val="auto"/>
        </w:rPr>
        <w:t>Each Borrower is accepting joint and several liability hereunder and under the other Loan Documents in consideration of the financial accommodations to be provided by the Lenders under this Agreement, for the mutual benefit, directly and indirectly, of each Borrower and in consideration of the undertakings of the other Borrowers to accept joint and several liability for the Obligations.</w:t>
      </w:r>
    </w:p>
    <w:p>
      <w:pPr>
        <w:spacing w:after="0" w:line="191" w:lineRule="exact"/>
        <w:rPr>
          <w:rFonts w:ascii="Arial" w:cs="Arial" w:eastAsia="Arial" w:hAnsi="Arial"/>
          <w:sz w:val="20"/>
          <w:szCs w:val="20"/>
          <w:color w:val="auto"/>
        </w:rPr>
      </w:pPr>
    </w:p>
    <w:p>
      <w:pPr>
        <w:jc w:val="both"/>
        <w:ind w:firstLine="1304"/>
        <w:spacing w:after="0" w:line="244" w:lineRule="auto"/>
        <w:tabs>
          <w:tab w:leader="none" w:pos="1944"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Arial" w:cs="Arial" w:eastAsia="Arial" w:hAnsi="Arial"/>
          <w:sz w:val="20"/>
          <w:szCs w:val="20"/>
          <w:u w:val="single" w:color="auto"/>
          <w:color w:val="auto"/>
        </w:rPr>
        <w:t>Section 2.25</w:t>
      </w:r>
      <w:r>
        <w:rPr>
          <w:rFonts w:ascii="Arial" w:cs="Arial" w:eastAsia="Arial" w:hAnsi="Arial"/>
          <w:sz w:val="20"/>
          <w:szCs w:val="20"/>
          <w:color w:val="auto"/>
        </w:rPr>
        <w:t>), it being the intention of the parties hereto that all the Obligations shall be the joint and several obligations of each Borrower without preferences or distinction among them.</w:t>
      </w:r>
    </w:p>
    <w:p>
      <w:pPr>
        <w:spacing w:after="0" w:line="194" w:lineRule="exact"/>
        <w:rPr>
          <w:rFonts w:ascii="Arial" w:cs="Arial" w:eastAsia="Arial" w:hAnsi="Arial"/>
          <w:sz w:val="20"/>
          <w:szCs w:val="20"/>
          <w:color w:val="auto"/>
        </w:rPr>
      </w:pPr>
    </w:p>
    <w:p>
      <w:pPr>
        <w:jc w:val="both"/>
        <w:ind w:firstLine="1304"/>
        <w:spacing w:after="0" w:line="269" w:lineRule="auto"/>
        <w:tabs>
          <w:tab w:leader="none" w:pos="1944" w:val="left"/>
        </w:tabs>
        <w:numPr>
          <w:ilvl w:val="0"/>
          <w:numId w:val="62"/>
        </w:numPr>
        <w:rPr>
          <w:rFonts w:ascii="Arial" w:cs="Arial" w:eastAsia="Arial" w:hAnsi="Arial"/>
          <w:sz w:val="19"/>
          <w:szCs w:val="19"/>
          <w:color w:val="auto"/>
        </w:rPr>
      </w:pPr>
      <w:r>
        <w:rPr>
          <w:rFonts w:ascii="Arial" w:cs="Arial" w:eastAsia="Arial" w:hAnsi="Arial"/>
          <w:sz w:val="19"/>
          <w:szCs w:val="19"/>
          <w:color w:val="auto"/>
        </w:rPr>
        <w:t>If and to the extent that any Borrower shall fail to make any payment with respect to any of the Obligations as and when due or to perform any of the Obligations in accordance with the terms thereof, then in each such event the other Borrowers will make such payment with respect to, or perform, such Obligations.</w:t>
      </w:r>
    </w:p>
    <w:p>
      <w:pPr>
        <w:spacing w:after="0" w:line="169" w:lineRule="exact"/>
        <w:rPr>
          <w:rFonts w:ascii="Arial" w:cs="Arial" w:eastAsia="Arial" w:hAnsi="Arial"/>
          <w:sz w:val="19"/>
          <w:szCs w:val="19"/>
          <w:color w:val="auto"/>
        </w:rPr>
      </w:pPr>
    </w:p>
    <w:p>
      <w:pPr>
        <w:jc w:val="both"/>
        <w:ind w:firstLine="1304"/>
        <w:spacing w:after="0" w:line="246" w:lineRule="auto"/>
        <w:tabs>
          <w:tab w:leader="none" w:pos="1944"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The Obligations of each Borrower under the provisions of this </w:t>
      </w:r>
      <w:r>
        <w:rPr>
          <w:rFonts w:ascii="Arial" w:cs="Arial" w:eastAsia="Arial" w:hAnsi="Arial"/>
          <w:sz w:val="20"/>
          <w:szCs w:val="20"/>
          <w:u w:val="single" w:color="auto"/>
          <w:color w:val="auto"/>
        </w:rPr>
        <w:t>Section 2.25</w:t>
      </w:r>
      <w:r>
        <w:rPr>
          <w:rFonts w:ascii="Arial" w:cs="Arial" w:eastAsia="Arial" w:hAnsi="Arial"/>
          <w:sz w:val="20"/>
          <w:szCs w:val="20"/>
          <w:color w:val="auto"/>
        </w:rPr>
        <w:t xml:space="preserve"> constitute the absolute and unconditional, full recourse Obligations of each Borrower enforceable against each Borrower to the full extent of its properties and assets, irrespective of the validity, regularity or enforceability of this Agreement or any other circumstances whatsoever.</w:t>
      </w:r>
    </w:p>
    <w:p>
      <w:pPr>
        <w:spacing w:after="0" w:line="191" w:lineRule="exact"/>
        <w:rPr>
          <w:rFonts w:ascii="Arial" w:cs="Arial" w:eastAsia="Arial" w:hAnsi="Arial"/>
          <w:sz w:val="20"/>
          <w:szCs w:val="20"/>
          <w:color w:val="auto"/>
        </w:rPr>
      </w:pPr>
    </w:p>
    <w:p>
      <w:pPr>
        <w:jc w:val="both"/>
        <w:ind w:firstLine="1304"/>
        <w:spacing w:after="0" w:line="268" w:lineRule="auto"/>
        <w:tabs>
          <w:tab w:leader="none" w:pos="19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in this Agreement, each Borrower hereby waives notice of acceptance of its joint and several liability, notice of any Loans made or Letters of Credit issued under or pursuant to this Agreement, notice of the occurrence of any Default, Event of Default, or of any demand for any payment under this Agreement, notice of any action at any time taken or omitted by the Administrative Agent or Lenders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the Administrative Agent or Lenders at any time or times in respect of any default by any Borrower in the performance or satisfaction of any term, covenant, condition or provision of this Agreement, any and all other indulgences whatsoever by the Administrative Agent or Lenders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the Administrative Agent or Lender with respect to the failure by any Borrower to comply with any of its respective Obligations, including, without limitation, any failure strictly or diligently to assert any right or to pursue any remedy or to comply fully with applicable laws or regulations thereunder, which might, but for the provisions of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afford grounds for terminating, discharging or relieving any Borrower, in whole or in part, from any of its Obligations under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it being the intention of each Borrower that, so long as any of the Obligations hereunder remain unsatisfied, the Obligations of each Borrower under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shall not be discharged except by performance and then only to the extent of such performance. The Obligations of each Borrower under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shall not be diminished or rendered unenforceable by any winding up, reorganization, arrangement, liquidation, reconstruction or similar proceeding with respect to any Borrower, the Administrative Agent or any Lender.</w:t>
      </w:r>
    </w:p>
    <w:p>
      <w:pPr>
        <w:spacing w:after="0" w:line="178" w:lineRule="exact"/>
        <w:rPr>
          <w:rFonts w:ascii="Arial" w:cs="Arial" w:eastAsia="Arial" w:hAnsi="Arial"/>
          <w:sz w:val="18"/>
          <w:szCs w:val="18"/>
          <w:color w:val="auto"/>
        </w:rPr>
      </w:pPr>
    </w:p>
    <w:p>
      <w:pPr>
        <w:ind w:firstLine="1304"/>
        <w:spacing w:after="0" w:line="260" w:lineRule="auto"/>
        <w:tabs>
          <w:tab w:leader="none" w:pos="1944" w:val="left"/>
        </w:tabs>
        <w:numPr>
          <w:ilvl w:val="0"/>
          <w:numId w:val="62"/>
        </w:numPr>
        <w:rPr>
          <w:rFonts w:ascii="Arial" w:cs="Arial" w:eastAsia="Arial" w:hAnsi="Arial"/>
          <w:sz w:val="20"/>
          <w:szCs w:val="20"/>
          <w:color w:val="auto"/>
        </w:rPr>
      </w:pPr>
      <w:r>
        <w:rPr>
          <w:rFonts w:ascii="Arial" w:cs="Arial" w:eastAsia="Arial" w:hAnsi="Arial"/>
          <w:sz w:val="20"/>
          <w:szCs w:val="20"/>
          <w:color w:val="auto"/>
        </w:rPr>
        <w:t>Each Borrower represents and warrants to the Administrative Agent and Lenders that such Borrower is currently informed of the financial condition of the Borrowers and of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1" w:name="page92"/>
    <w:bookmarkEnd w:id="91"/>
    <w:p>
      <w:pPr>
        <w:jc w:val="both"/>
        <w:spacing w:after="0" w:line="278" w:lineRule="auto"/>
        <w:rPr>
          <w:sz w:val="20"/>
          <w:szCs w:val="20"/>
          <w:color w:val="auto"/>
        </w:rPr>
      </w:pPr>
      <w:r>
        <w:rPr>
          <w:rFonts w:ascii="Arial" w:cs="Arial" w:eastAsia="Arial" w:hAnsi="Arial"/>
          <w:sz w:val="18"/>
          <w:szCs w:val="18"/>
          <w:color w:val="auto"/>
        </w:rPr>
        <w:t>circumstances which a diligent inquiry would reveal and which bear upon the risk of nonpayment of the Obligations. Each Borrower further represents and warrants to the Administrative Agent and Lenders that such Borrower has read and understands the terms and conditions of the Loan Documents. Each Borrower hereby covenants that such Borrower will continue to keep informed of the Borrowers’ financial condition, the financial condition of other guarantors, if any, and of all other circumstances which bear upon the risk of nonpayment or nonperformance of the Obligations.</w:t>
      </w:r>
    </w:p>
    <w:p>
      <w:pPr>
        <w:spacing w:after="0" w:line="165" w:lineRule="exact"/>
        <w:rPr>
          <w:sz w:val="20"/>
          <w:szCs w:val="20"/>
          <w:color w:val="auto"/>
        </w:rPr>
      </w:pPr>
    </w:p>
    <w:p>
      <w:pPr>
        <w:jc w:val="both"/>
        <w:ind w:firstLine="1304"/>
        <w:spacing w:after="0" w:line="274" w:lineRule="auto"/>
        <w:tabs>
          <w:tab w:leader="none" w:pos="19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Borrower waives all rights and defenses (i) arising out of an election of remedies by the Administrative Agent or any Lender, even though that election of remedies, such as a nonjudicial foreclosure with respect to security for a guaranteed obligation, has destroyed such Borrower’s rights of subrogation and reimbursement against any applicable Loan Party by the operation of Section 580 or 726 of the California Code of Civil Procedure or otherwise, and (ii) relating to any suretyship defenses available to it under the Uniform Commercial Code or any other applicable law, including, without limitation, the benefit of California Civil Code Section 2815 permitting revocation as to future transactions and the benefit of California Civil Code Sections 1432, 2787 through 2855, 2899 and 3433.</w:t>
      </w:r>
    </w:p>
    <w:p>
      <w:pPr>
        <w:spacing w:after="0" w:line="168" w:lineRule="exact"/>
        <w:rPr>
          <w:rFonts w:ascii="Arial" w:cs="Arial" w:eastAsia="Arial" w:hAnsi="Arial"/>
          <w:sz w:val="18"/>
          <w:szCs w:val="18"/>
          <w:color w:val="auto"/>
        </w:rPr>
      </w:pPr>
    </w:p>
    <w:p>
      <w:pPr>
        <w:ind w:firstLine="1304"/>
        <w:spacing w:after="0" w:line="260" w:lineRule="auto"/>
        <w:tabs>
          <w:tab w:leader="none" w:pos="1944" w:val="left"/>
        </w:tabs>
        <w:numPr>
          <w:ilvl w:val="0"/>
          <w:numId w:val="63"/>
        </w:numPr>
        <w:rPr>
          <w:rFonts w:ascii="Arial" w:cs="Arial" w:eastAsia="Arial" w:hAnsi="Arial"/>
          <w:sz w:val="20"/>
          <w:szCs w:val="20"/>
          <w:color w:val="auto"/>
        </w:rPr>
      </w:pPr>
      <w:r>
        <w:rPr>
          <w:rFonts w:ascii="Arial" w:cs="Arial" w:eastAsia="Arial" w:hAnsi="Arial"/>
          <w:sz w:val="20"/>
          <w:szCs w:val="20"/>
          <w:color w:val="auto"/>
        </w:rPr>
        <w:t>Each Borrower waives all rights and defenses that such Borrower may have because the Obligations are secured by real property at any time. This means, among other things:</w:t>
      </w:r>
    </w:p>
    <w:p>
      <w:pPr>
        <w:spacing w:after="0" w:line="176" w:lineRule="exact"/>
        <w:rPr>
          <w:rFonts w:ascii="Arial" w:cs="Arial" w:eastAsia="Arial" w:hAnsi="Arial"/>
          <w:sz w:val="20"/>
          <w:szCs w:val="20"/>
          <w:color w:val="auto"/>
        </w:rPr>
      </w:pPr>
    </w:p>
    <w:p>
      <w:pPr>
        <w:ind w:right="20" w:firstLine="1952"/>
        <w:spacing w:after="0" w:line="260" w:lineRule="auto"/>
        <w:tabs>
          <w:tab w:leader="none" w:pos="2592"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Administrative Agent and Lenders may collect from such Borrower without first foreclosing on any real or personal property Collateral pledged by the Borrowers.</w:t>
      </w:r>
    </w:p>
    <w:p>
      <w:pPr>
        <w:spacing w:after="0" w:line="176" w:lineRule="exact"/>
        <w:rPr>
          <w:rFonts w:ascii="Arial" w:cs="Arial" w:eastAsia="Arial" w:hAnsi="Arial"/>
          <w:sz w:val="20"/>
          <w:szCs w:val="20"/>
          <w:color w:val="auto"/>
        </w:rPr>
      </w:pPr>
    </w:p>
    <w:p>
      <w:pPr>
        <w:ind w:firstLine="1952"/>
        <w:spacing w:after="0" w:line="260" w:lineRule="auto"/>
        <w:tabs>
          <w:tab w:leader="none" w:pos="2592" w:val="left"/>
        </w:tabs>
        <w:numPr>
          <w:ilvl w:val="1"/>
          <w:numId w:val="63"/>
        </w:numPr>
        <w:rPr>
          <w:rFonts w:ascii="Arial" w:cs="Arial" w:eastAsia="Arial" w:hAnsi="Arial"/>
          <w:sz w:val="20"/>
          <w:szCs w:val="20"/>
          <w:color w:val="auto"/>
        </w:rPr>
      </w:pPr>
      <w:r>
        <w:rPr>
          <w:rFonts w:ascii="Arial" w:cs="Arial" w:eastAsia="Arial" w:hAnsi="Arial"/>
          <w:sz w:val="20"/>
          <w:szCs w:val="20"/>
          <w:color w:val="auto"/>
        </w:rPr>
        <w:t>If the Administrative Agent or any Lender forecloses on any Collateral consisting of real property pledged by the Borrowers:</w:t>
      </w:r>
    </w:p>
    <w:p>
      <w:pPr>
        <w:spacing w:after="0" w:line="176" w:lineRule="exact"/>
        <w:rPr>
          <w:rFonts w:ascii="Arial" w:cs="Arial" w:eastAsia="Arial" w:hAnsi="Arial"/>
          <w:sz w:val="20"/>
          <w:szCs w:val="20"/>
          <w:color w:val="auto"/>
        </w:rPr>
      </w:pPr>
    </w:p>
    <w:p>
      <w:pPr>
        <w:ind w:left="3240" w:hanging="640"/>
        <w:spacing w:after="0"/>
        <w:tabs>
          <w:tab w:leader="none" w:pos="3240" w:val="left"/>
        </w:tabs>
        <w:numPr>
          <w:ilvl w:val="2"/>
          <w:numId w:val="63"/>
        </w:numPr>
        <w:rPr>
          <w:rFonts w:ascii="Arial" w:cs="Arial" w:eastAsia="Arial" w:hAnsi="Arial"/>
          <w:sz w:val="19"/>
          <w:szCs w:val="19"/>
          <w:color w:val="auto"/>
        </w:rPr>
      </w:pPr>
      <w:r>
        <w:rPr>
          <w:rFonts w:ascii="Arial" w:cs="Arial" w:eastAsia="Arial" w:hAnsi="Arial"/>
          <w:sz w:val="19"/>
          <w:szCs w:val="19"/>
          <w:color w:val="auto"/>
        </w:rPr>
        <w:t>The amount of the Obligations may be reduced only by the price for which that</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collateral is sold at the foreclosure sale, even if the collateral is worth more than the sale price.</w:t>
      </w:r>
    </w:p>
    <w:p>
      <w:pPr>
        <w:spacing w:after="0" w:line="199" w:lineRule="exact"/>
        <w:rPr>
          <w:rFonts w:ascii="Arial" w:cs="Arial" w:eastAsia="Arial" w:hAnsi="Arial"/>
          <w:sz w:val="19"/>
          <w:szCs w:val="19"/>
          <w:color w:val="auto"/>
        </w:rPr>
      </w:pPr>
    </w:p>
    <w:p>
      <w:pPr>
        <w:jc w:val="both"/>
        <w:ind w:firstLine="2600"/>
        <w:spacing w:after="0" w:line="250" w:lineRule="auto"/>
        <w:tabs>
          <w:tab w:leader="none" w:pos="3240" w:val="left"/>
        </w:tabs>
        <w:numPr>
          <w:ilvl w:val="2"/>
          <w:numId w:val="63"/>
        </w:numPr>
        <w:rPr>
          <w:rFonts w:ascii="Arial" w:cs="Arial" w:eastAsia="Arial" w:hAnsi="Arial"/>
          <w:sz w:val="20"/>
          <w:szCs w:val="20"/>
          <w:color w:val="auto"/>
        </w:rPr>
      </w:pPr>
      <w:r>
        <w:rPr>
          <w:rFonts w:ascii="Arial" w:cs="Arial" w:eastAsia="Arial" w:hAnsi="Arial"/>
          <w:sz w:val="20"/>
          <w:szCs w:val="20"/>
          <w:color w:val="auto"/>
        </w:rPr>
        <w:t>The Administrative Agent and Lenders may collect from such Borrower even if the Administrative Agent or Lenders, by foreclosing on real property, has destroyed any right such Borrower may have to collect from the other Borrowers.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is an unconditional and irrevocable waiver of any rights and defenses such Borrower may have because the Obligations are secured by real property. These rights and defenses include, but are not limited to, any rights or defenses based upon Section 580a, 580b, 580d or 726 of the California Code of Civil Procedure.</w:t>
      </w:r>
    </w:p>
    <w:p>
      <w:pPr>
        <w:spacing w:after="0" w:line="186" w:lineRule="exact"/>
        <w:rPr>
          <w:sz w:val="20"/>
          <w:szCs w:val="20"/>
          <w:color w:val="auto"/>
        </w:rPr>
      </w:pPr>
    </w:p>
    <w:p>
      <w:pPr>
        <w:jc w:val="both"/>
        <w:ind w:firstLine="1304"/>
        <w:spacing w:after="0" w:line="271" w:lineRule="auto"/>
        <w:tabs>
          <w:tab w:leader="none" w:pos="1944"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are made for the benefit of the Administrative Agent, the Lenders, and their respective successors and assigns, and may be enforced by it or them from time to time against any or all the Borrowers as often as occasion therefor may arise and without requirement on the part of the Administrative Agent, any Lender, any successor or any assign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2.25</w:t>
      </w:r>
      <w:r>
        <w:rPr>
          <w:rFonts w:ascii="Arial" w:cs="Arial" w:eastAsia="Arial" w:hAnsi="Arial"/>
          <w:sz w:val="18"/>
          <w:szCs w:val="18"/>
          <w:color w:val="auto"/>
        </w:rPr>
        <w:t xml:space="preserve"> shall remain in effect until all of the Obligations shall have been paid in full or otherwise fully satisfied (other than with respect to unasserted contingent liabilities). If at any time, any payment, or any part thereof, made in respect of any of the Obligations, is rescinded or must otherwise be restored or returned by the Administrative Agent or any Lender upon the insolvency, bankruptcy or reorganization of any Borrower, or otherwise, the provisions of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will forthwith be reinstated in effect, as though such payment had not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2" w:name="page93"/>
    <w:bookmarkEnd w:id="92"/>
    <w:p>
      <w:pPr>
        <w:jc w:val="both"/>
        <w:ind w:firstLine="1304"/>
        <w:spacing w:after="0" w:line="267" w:lineRule="auto"/>
        <w:tabs>
          <w:tab w:leader="none" w:pos="1944" w:val="left"/>
        </w:tabs>
        <w:numPr>
          <w:ilvl w:val="1"/>
          <w:numId w:val="65"/>
        </w:numPr>
        <w:rPr>
          <w:rFonts w:ascii="Arial" w:cs="Arial" w:eastAsia="Arial" w:hAnsi="Arial"/>
          <w:sz w:val="18"/>
          <w:szCs w:val="18"/>
          <w:color w:val="auto"/>
        </w:rPr>
      </w:pPr>
      <w:r>
        <w:rPr>
          <w:rFonts w:ascii="Arial" w:cs="Arial" w:eastAsia="Arial" w:hAnsi="Arial"/>
          <w:sz w:val="18"/>
          <w:szCs w:val="18"/>
          <w:color w:val="auto"/>
        </w:rPr>
        <w:t>Each Borrower hereby agrees that it will not enforce any of its rights of contribution or subrogation against any other Borrower with respect to any liability incurred by it hereunder or under any of the other Loan Documents, any payments made by it to the Administrative Agent or Lenders with respect to any of the Obligations or any collateral security therefor until such time as all of the Obligations have been paid in full in cash (other than with respect to unasserted contingent liabilities). Any claim which any Borrower may have against any other Borrower with respect to any payments to the Administrative Agent or Lender hereunder or under any other Loan Documents are hereby expressly made subordinate and junior in right of payment, without limitation as to any increases in the Obligations arising hereunder or thereunder, to the prior payment in full in cash of the Obligations (other than with respect to unasserted contingent liabilities) and, in the event of any insolvency, bankruptcy, receivership, liquidation, reorganization or other similar proceeding under the laws of any jurisdiction relating to any Borrower, its debts or its assets, whether voluntary or involuntary, all such Obligations (other than with respect to unasserted contingent liabilities) shall be paid in full in cash before any payment or distribution of any character, whether in cash, securities or other property, shall be made to any other Borrower therefor.</w:t>
      </w:r>
    </w:p>
    <w:p>
      <w:pPr>
        <w:spacing w:after="0" w:line="6" w:lineRule="exact"/>
        <w:rPr>
          <w:rFonts w:ascii="Arial" w:cs="Arial" w:eastAsia="Arial" w:hAnsi="Arial"/>
          <w:sz w:val="18"/>
          <w:szCs w:val="18"/>
          <w:color w:val="auto"/>
        </w:rPr>
      </w:pPr>
    </w:p>
    <w:p>
      <w:pPr>
        <w:jc w:val="both"/>
        <w:ind w:firstLine="103"/>
        <w:spacing w:after="0" w:line="255" w:lineRule="auto"/>
        <w:rPr>
          <w:rFonts w:ascii="Arial" w:cs="Arial" w:eastAsia="Arial" w:hAnsi="Arial"/>
          <w:sz w:val="18"/>
          <w:szCs w:val="18"/>
          <w:color w:val="auto"/>
        </w:rPr>
      </w:pPr>
      <w:r>
        <w:rPr>
          <w:rFonts w:ascii="Arial" w:cs="Arial" w:eastAsia="Arial" w:hAnsi="Arial"/>
          <w:sz w:val="19"/>
          <w:szCs w:val="19"/>
          <w:color w:val="auto"/>
        </w:rPr>
        <w:t xml:space="preserve">Notwithstanding anything to the contrary contained in this </w:t>
      </w:r>
      <w:r>
        <w:rPr>
          <w:rFonts w:ascii="Arial" w:cs="Arial" w:eastAsia="Arial" w:hAnsi="Arial"/>
          <w:sz w:val="19"/>
          <w:szCs w:val="19"/>
          <w:u w:val="single" w:color="auto"/>
          <w:color w:val="auto"/>
        </w:rPr>
        <w:t>Section 2.25</w:t>
      </w:r>
      <w:r>
        <w:rPr>
          <w:rFonts w:ascii="Arial" w:cs="Arial" w:eastAsia="Arial" w:hAnsi="Arial"/>
          <w:sz w:val="19"/>
          <w:szCs w:val="19"/>
          <w:color w:val="auto"/>
        </w:rPr>
        <w:t>, no Borrower shall exercise any rights of subrogation, contribution, indemnity, reimbursement or other similar rights against, and shall not proceed or seek recourse against or with respect to any property or asset of, any other Borrower (the “</w:t>
      </w:r>
      <w:r>
        <w:rPr>
          <w:rFonts w:ascii="Arial" w:cs="Arial" w:eastAsia="Arial" w:hAnsi="Arial"/>
          <w:sz w:val="19"/>
          <w:szCs w:val="19"/>
          <w:b w:val="1"/>
          <w:bCs w:val="1"/>
          <w:i w:val="1"/>
          <w:iCs w:val="1"/>
          <w:color w:val="auto"/>
        </w:rPr>
        <w:t>Foreclosed Borrower</w:t>
      </w:r>
      <w:r>
        <w:rPr>
          <w:rFonts w:ascii="Arial" w:cs="Arial" w:eastAsia="Arial" w:hAnsi="Arial"/>
          <w:sz w:val="19"/>
          <w:szCs w:val="19"/>
          <w:color w:val="auto"/>
        </w:rPr>
        <w:t>”), including after payment in full of the Obligations (other than with respect to unasserted contingent liabilities), if all or any portion of the Obligations have been satisfied in connection with an exercise of remedies in respect of the Capital Stock of such Foreclosed Borrower whether pursuant to the Security Documents or otherwise.</w:t>
      </w:r>
    </w:p>
    <w:p>
      <w:pPr>
        <w:spacing w:after="0" w:line="184" w:lineRule="exact"/>
        <w:rPr>
          <w:rFonts w:ascii="Arial" w:cs="Arial" w:eastAsia="Arial" w:hAnsi="Arial"/>
          <w:sz w:val="18"/>
          <w:szCs w:val="18"/>
          <w:color w:val="auto"/>
        </w:rPr>
      </w:pPr>
    </w:p>
    <w:p>
      <w:pPr>
        <w:jc w:val="both"/>
        <w:ind w:firstLine="1304"/>
        <w:spacing w:after="0" w:line="271" w:lineRule="auto"/>
        <w:tabs>
          <w:tab w:leader="none" w:pos="1944" w:val="left"/>
        </w:tabs>
        <w:numPr>
          <w:ilvl w:val="1"/>
          <w:numId w:val="65"/>
        </w:numPr>
        <w:rPr>
          <w:rFonts w:ascii="Arial" w:cs="Arial" w:eastAsia="Arial" w:hAnsi="Arial"/>
          <w:sz w:val="18"/>
          <w:szCs w:val="18"/>
          <w:color w:val="auto"/>
        </w:rPr>
      </w:pPr>
      <w:r>
        <w:rPr>
          <w:rFonts w:ascii="Arial" w:cs="Arial" w:eastAsia="Arial" w:hAnsi="Arial"/>
          <w:sz w:val="18"/>
          <w:szCs w:val="18"/>
          <w:color w:val="auto"/>
        </w:rPr>
        <w:t>Each Borrower hereby agrees that, after the occurrence and during the continuance of any Default or Event of Default, the payment of any amounts due with respect to the indebtedness owing by any Borrower to any other Borrower is hereby subordinated to the prior payment in full in cash of the Obligations (other than with respect to unasserted contingent liabilities). Each Borrower hereby agrees that after the occurrence and during the continuance of any Default or Event of Default, such Borrower will not demand, sue for or otherwise attempt to collect any indebtedness of any other Borrower owing to such Borrower until the Obligations (other than with respect to unasserted contingent liabilities) shall have been paid in full in cash. If, notwithstanding the foregoing sentence, such Borrower shall collect, enforce or receive any amounts in respect of such indebtedness, such amounts shall be collected, enforced and received by such Borrower as trustee for the Administrative Agent, and such Borrower shall deliver any such amounts to the Administrative Agent for application to the Obligations in accordance with the terms of this Agreement.</w:t>
      </w:r>
    </w:p>
    <w:p>
      <w:pPr>
        <w:spacing w:after="0" w:line="173" w:lineRule="exact"/>
        <w:rPr>
          <w:rFonts w:ascii="Arial" w:cs="Arial" w:eastAsia="Arial" w:hAnsi="Arial"/>
          <w:sz w:val="18"/>
          <w:szCs w:val="18"/>
          <w:color w:val="auto"/>
        </w:rPr>
      </w:pPr>
    </w:p>
    <w:p>
      <w:pPr>
        <w:jc w:val="both"/>
        <w:ind w:firstLine="1304"/>
        <w:spacing w:after="0" w:line="267" w:lineRule="auto"/>
        <w:tabs>
          <w:tab w:leader="none" w:pos="1944" w:val="left"/>
        </w:tabs>
        <w:numPr>
          <w:ilvl w:val="1"/>
          <w:numId w:val="65"/>
        </w:numPr>
        <w:rPr>
          <w:rFonts w:ascii="Arial" w:cs="Arial" w:eastAsia="Arial" w:hAnsi="Arial"/>
          <w:sz w:val="18"/>
          <w:szCs w:val="18"/>
          <w:color w:val="auto"/>
        </w:rPr>
      </w:pPr>
      <w:r>
        <w:rPr>
          <w:rFonts w:ascii="Arial" w:cs="Arial" w:eastAsia="Arial" w:hAnsi="Arial"/>
          <w:sz w:val="18"/>
          <w:szCs w:val="18"/>
          <w:color w:val="auto"/>
        </w:rPr>
        <w:t>Subject to the foregoing, to the extent that any Borrower shall, under this Agreement as a joint and several obligor, repay any of the Obligations made to another Borrower hereunder or other Obligations incurred directly and primarily by any other Borrower (an “</w:t>
      </w:r>
      <w:r>
        <w:rPr>
          <w:rFonts w:ascii="Arial" w:cs="Arial" w:eastAsia="Arial" w:hAnsi="Arial"/>
          <w:sz w:val="18"/>
          <w:szCs w:val="18"/>
          <w:b w:val="1"/>
          <w:bCs w:val="1"/>
          <w:i w:val="1"/>
          <w:iCs w:val="1"/>
          <w:color w:val="auto"/>
        </w:rPr>
        <w:t>Accommodation Payment</w:t>
      </w:r>
      <w:r>
        <w:rPr>
          <w:rFonts w:ascii="Arial" w:cs="Arial" w:eastAsia="Arial" w:hAnsi="Arial"/>
          <w:sz w:val="18"/>
          <w:szCs w:val="18"/>
          <w:color w:val="auto"/>
        </w:rPr>
        <w:t>”), then the Borrower making such Accommodation Payment shall be entitled to contribution and indemnification from, and be reimbursed by, each other Borrower in an amount, for each of such other Borrower, equal to a fraction of such Accommodation Payment, the numerator of which fraction is such other Borrower’s Allocable Amount and the denominator of which is the sum of the Allocable Amounts of all of the Borrowers. As of any date of determination, the “</w:t>
      </w:r>
      <w:r>
        <w:rPr>
          <w:rFonts w:ascii="Arial" w:cs="Arial" w:eastAsia="Arial" w:hAnsi="Arial"/>
          <w:sz w:val="18"/>
          <w:szCs w:val="18"/>
          <w:b w:val="1"/>
          <w:bCs w:val="1"/>
          <w:i w:val="1"/>
          <w:iCs w:val="1"/>
          <w:color w:val="auto"/>
        </w:rPr>
        <w:t>Allocable Amount</w:t>
      </w:r>
      <w:r>
        <w:rPr>
          <w:rFonts w:ascii="Arial" w:cs="Arial" w:eastAsia="Arial" w:hAnsi="Arial"/>
          <w:sz w:val="18"/>
          <w:szCs w:val="18"/>
          <w:color w:val="auto"/>
        </w:rPr>
        <w:t>” of each Borrower shall be equal to the maximum amount of liability for Accommodation Payments which could be asserted against such Borrower hereunder without (a) rendering such Borrower “insolvent” within the meaning of Section 101(31) of the Bankruptcy Code, Section 2 of the Uniform Fraudulent Transfer Act (“</w:t>
      </w:r>
      <w:r>
        <w:rPr>
          <w:rFonts w:ascii="Arial" w:cs="Arial" w:eastAsia="Arial" w:hAnsi="Arial"/>
          <w:sz w:val="18"/>
          <w:szCs w:val="18"/>
          <w:b w:val="1"/>
          <w:bCs w:val="1"/>
          <w:i w:val="1"/>
          <w:iCs w:val="1"/>
          <w:color w:val="auto"/>
        </w:rPr>
        <w:t>UFTA</w:t>
      </w:r>
      <w:r>
        <w:rPr>
          <w:rFonts w:ascii="Arial" w:cs="Arial" w:eastAsia="Arial" w:hAnsi="Arial"/>
          <w:sz w:val="18"/>
          <w:szCs w:val="18"/>
          <w:color w:val="auto"/>
        </w:rPr>
        <w:t>”) or Section 2 of the Uniform Fraudulent Conveyance Act (“</w:t>
      </w:r>
      <w:r>
        <w:rPr>
          <w:rFonts w:ascii="Arial" w:cs="Arial" w:eastAsia="Arial" w:hAnsi="Arial"/>
          <w:sz w:val="18"/>
          <w:szCs w:val="18"/>
          <w:b w:val="1"/>
          <w:bCs w:val="1"/>
          <w:i w:val="1"/>
          <w:iCs w:val="1"/>
          <w:color w:val="auto"/>
        </w:rPr>
        <w:t>UFCA</w:t>
      </w:r>
      <w:r>
        <w:rPr>
          <w:rFonts w:ascii="Arial" w:cs="Arial" w:eastAsia="Arial" w:hAnsi="Arial"/>
          <w:sz w:val="18"/>
          <w:szCs w:val="18"/>
          <w:color w:val="auto"/>
        </w:rPr>
        <w:t>”),</w:t>
      </w:r>
    </w:p>
    <w:p>
      <w:pPr>
        <w:spacing w:after="0" w:line="8" w:lineRule="exact"/>
        <w:rPr>
          <w:rFonts w:ascii="Arial" w:cs="Arial" w:eastAsia="Arial" w:hAnsi="Arial"/>
          <w:sz w:val="18"/>
          <w:szCs w:val="18"/>
          <w:color w:val="auto"/>
        </w:rPr>
      </w:pPr>
    </w:p>
    <w:p>
      <w:pPr>
        <w:jc w:val="both"/>
        <w:ind w:firstLine="67"/>
        <w:spacing w:after="0" w:line="241" w:lineRule="auto"/>
        <w:tabs>
          <w:tab w:leader="none" w:pos="348" w:val="left"/>
        </w:tabs>
        <w:numPr>
          <w:ilvl w:val="0"/>
          <w:numId w:val="66"/>
        </w:numPr>
        <w:rPr>
          <w:rFonts w:ascii="Arial" w:cs="Arial" w:eastAsia="Arial" w:hAnsi="Arial"/>
          <w:sz w:val="20"/>
          <w:szCs w:val="20"/>
          <w:color w:val="auto"/>
        </w:rPr>
      </w:pPr>
      <w:r>
        <w:rPr>
          <w:rFonts w:ascii="Arial" w:cs="Arial" w:eastAsia="Arial" w:hAnsi="Arial"/>
          <w:sz w:val="20"/>
          <w:szCs w:val="20"/>
          <w:color w:val="auto"/>
        </w:rPr>
        <w:t>leaving such Borrower with unreasonably small capital or assets, within the meaning of Section 548 of the Bankruptcy Code, Section 4 of the UFTA, or Section 5 of the UFCA, or (c) leaving such Borrower unable to pay its debts as they become due within the meaning of Section 548 of the Bankruptcy Code or Section 4 of the UFTA, or Section 5 of the UFCA.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3" w:name="page94"/>
    <w:bookmarkEnd w:id="93"/>
    <w:p>
      <w:pPr>
        <w:jc w:val="both"/>
        <w:ind w:firstLine="1304"/>
        <w:spacing w:after="0" w:line="271" w:lineRule="auto"/>
        <w:tabs>
          <w:tab w:leader="none" w:pos="19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entity composing the Borrower hereby irrevocably appoints Axcelis Technologies, Inc. as the borrowing agent and attorney-in-fact for all entities composing the Borrower (the “</w:t>
      </w:r>
      <w:r>
        <w:rPr>
          <w:rFonts w:ascii="Arial" w:cs="Arial" w:eastAsia="Arial" w:hAnsi="Arial"/>
          <w:sz w:val="18"/>
          <w:szCs w:val="18"/>
          <w:b w:val="1"/>
          <w:bCs w:val="1"/>
          <w:i w:val="1"/>
          <w:iCs w:val="1"/>
          <w:color w:val="auto"/>
        </w:rPr>
        <w:t>Administrative Borrower</w:t>
      </w:r>
      <w:r>
        <w:rPr>
          <w:rFonts w:ascii="Arial" w:cs="Arial" w:eastAsia="Arial" w:hAnsi="Arial"/>
          <w:sz w:val="18"/>
          <w:szCs w:val="18"/>
          <w:color w:val="auto"/>
        </w:rPr>
        <w:t>”) which appointment shall remain in full force and effect unless and until the Administrative Agent shall have received prior written notice signed by each entity composing the Borrower that such appointment has been revoked and that another entity composing the Borrower has been appointed Administrative Borrower. Each entity composing the Borrower hereby irrevocably appoints and authorizes the Administrative Borrower (a) to provide Agent with all notices with respect to Loans and Letters of Credit obtained for the benefit of any entity composing the Borrower and all other notices and instructions under this Agreement and the other Loan Documents, and (b) to take such action as the Administrative Borrower deems appropriate on its behalf to obtain Loans and Letters of Credit and to exercise such other powers as are reasonably incidental thereto to carry out the purposes of this Agreement and the other Loan Documents.</w:t>
      </w:r>
    </w:p>
    <w:p>
      <w:pPr>
        <w:spacing w:after="0" w:line="1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2.26 Notes</w:t>
      </w:r>
      <w:r>
        <w:rPr>
          <w:rFonts w:ascii="Arial" w:cs="Arial" w:eastAsia="Arial" w:hAnsi="Arial"/>
          <w:sz w:val="20"/>
          <w:szCs w:val="20"/>
          <w:color w:val="auto"/>
        </w:rPr>
        <w:t>. If so requested by any Lender by written notice to the Borrower (with a copy to the Administrative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Agent), the Borrower shall execute and deliver to such Lender (and/or, if applicable and if so specified in such notice, to any Person who is an assignee of such Lender pursuant to </w:t>
      </w:r>
      <w:r>
        <w:rPr>
          <w:rFonts w:ascii="Arial" w:cs="Arial" w:eastAsia="Arial" w:hAnsi="Arial"/>
          <w:sz w:val="20"/>
          <w:szCs w:val="20"/>
          <w:u w:val="single" w:color="auto"/>
          <w:color w:val="auto"/>
        </w:rPr>
        <w:t>Section 10.6</w:t>
      </w:r>
      <w:r>
        <w:rPr>
          <w:rFonts w:ascii="Arial" w:cs="Arial" w:eastAsia="Arial" w:hAnsi="Arial"/>
          <w:sz w:val="20"/>
          <w:szCs w:val="20"/>
          <w:color w:val="auto"/>
        </w:rPr>
        <w:t>) (promptly after the Borrower’s receipt of such notice) a Note or Notes to evidence such Lender’s Loans.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2.27</w:t>
      </w:r>
      <w:r>
        <w:rPr>
          <w:sz w:val="20"/>
          <w:szCs w:val="20"/>
          <w:color w:val="auto"/>
        </w:rPr>
        <w:tab/>
      </w:r>
      <w:r>
        <w:rPr>
          <w:rFonts w:ascii="Arial" w:cs="Arial" w:eastAsia="Arial" w:hAnsi="Arial"/>
          <w:sz w:val="18"/>
          <w:szCs w:val="18"/>
          <w:b w:val="1"/>
          <w:bCs w:val="1"/>
          <w:color w:val="auto"/>
        </w:rPr>
        <w:t>Incremental Facility</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268" w:lineRule="auto"/>
        <w:tabs>
          <w:tab w:leader="none" w:pos="19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At any time during the Revolving Commitment Period, the Borrower may request from time to time from one or more existing Lenders or from other Eligible Assignees reasonably acceptable to the Administrative Agent, the Issuing Lender, the Swingline Lender and the Borrower (but subject to the conditions set forth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that the Total Revolving Commitments be increased by an amount not to exceed the Available Revolving Increase Amount (each such increase, an “</w:t>
      </w:r>
      <w:r>
        <w:rPr>
          <w:rFonts w:ascii="Arial" w:cs="Arial" w:eastAsia="Arial" w:hAnsi="Arial"/>
          <w:sz w:val="18"/>
          <w:szCs w:val="18"/>
          <w:b w:val="1"/>
          <w:bCs w:val="1"/>
          <w:i w:val="1"/>
          <w:iCs w:val="1"/>
          <w:color w:val="auto"/>
        </w:rPr>
        <w:t>Increase</w:t>
      </w:r>
      <w:r>
        <w:rPr>
          <w:rFonts w:ascii="Arial" w:cs="Arial" w:eastAsia="Arial" w:hAnsi="Arial"/>
          <w:sz w:val="18"/>
          <w:szCs w:val="18"/>
          <w:color w:val="auto"/>
        </w:rPr>
        <w:t>”); provided that the Borrower may not request an Increase on more than three occasions during the Revolving Commitment Period. No Lender shall be obligated to increase its Revolving Commitments in connection with a proposed Increase. The Administrative Agent shall invite each Lender to provide a portion of the Increase ratably in accordance with its Revolving Percentage of each requested Increase (it being agreed that no Lender shall be obligated to provide an Increase and that any Lender may elect to participate in such Increase in an amount that is less than its Revolving Percentage of such requested Increase or more than its Revolving Percentage of such requested Increase if other Lenders have elected not to participate in any applicable requested Increase in accordance with their Revolving Percentage) and to the extent, five (5) Business Days after receipt of invitation, sufficient Lenders do not agree to provide the full amount of such Increase (and any Lender that does not respond in writing to such request within such five (5) Business Day period shall be deemed to have declined to provide such Increase), then the Administrative Agent may invite any prospective lender that satisfies the criteria of being an “Eligible Assignee” to become a Lender in connection with the proposed Increase. Any Increase shall be in an amount of at least $10,000,000 (or, if the Available Revolving Increase Amount is less than $10,000,000, such remaining Available Revolving Increase Amount) and integral multiples of $1,000,000 in excess thereof. Additionally, for the avoidance of doubt, it is understood and agreed that in no event shall the aggregate amount of the Increases to the Revolving Commitments exceed the Available Revolving Increase Amount during the term of the Agreement.</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the following shall be conditions precedent to any Increase of the Revolving Commitments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 connection therewith:</w:t>
      </w:r>
    </w:p>
    <w:p>
      <w:pPr>
        <w:spacing w:after="0" w:line="199" w:lineRule="exact"/>
        <w:rPr>
          <w:rFonts w:ascii="Arial" w:cs="Arial" w:eastAsia="Arial" w:hAnsi="Arial"/>
          <w:sz w:val="18"/>
          <w:szCs w:val="18"/>
          <w:color w:val="auto"/>
        </w:rPr>
      </w:pPr>
    </w:p>
    <w:p>
      <w:pPr>
        <w:jc w:val="both"/>
        <w:ind w:firstLine="1952"/>
        <w:spacing w:after="0" w:line="246" w:lineRule="auto"/>
        <w:tabs>
          <w:tab w:leader="none" w:pos="2592" w:val="left"/>
        </w:tabs>
        <w:numPr>
          <w:ilvl w:val="1"/>
          <w:numId w:val="68"/>
        </w:numPr>
        <w:rPr>
          <w:rFonts w:ascii="Arial" w:cs="Arial" w:eastAsia="Arial" w:hAnsi="Arial"/>
          <w:sz w:val="20"/>
          <w:szCs w:val="20"/>
          <w:color w:val="auto"/>
        </w:rPr>
      </w:pPr>
      <w:r>
        <w:rPr>
          <w:rFonts w:ascii="Arial" w:cs="Arial" w:eastAsia="Arial" w:hAnsi="Arial"/>
          <w:sz w:val="20"/>
          <w:szCs w:val="20"/>
          <w:color w:val="auto"/>
        </w:rPr>
        <w:t xml:space="preserve">any Increase shall be on the same terms (including the interest rate, and maturity date), as applicable, as, and pursuant to documentation applicable to, the Revolving Facility then in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Increase may provide for terms (including interest rate) more favorable to such Increase lenders, if any existing Revolving Loans and Revolving Commitments at the time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4" w:name="page95"/>
    <w:bookmarkEnd w:id="94"/>
    <w:p>
      <w:pPr>
        <w:jc w:val="both"/>
        <w:ind w:right="20"/>
        <w:spacing w:after="0" w:line="250" w:lineRule="auto"/>
        <w:rPr>
          <w:sz w:val="20"/>
          <w:szCs w:val="20"/>
          <w:color w:val="auto"/>
        </w:rPr>
      </w:pPr>
      <w:r>
        <w:rPr>
          <w:rFonts w:ascii="Arial" w:cs="Arial" w:eastAsia="Arial" w:hAnsi="Arial"/>
          <w:sz w:val="20"/>
          <w:szCs w:val="20"/>
          <w:color w:val="auto"/>
        </w:rPr>
        <w:t xml:space="preserve">Increase are also provided the benefit of such more favorable terms (and the consent of any existing Revolving Lender shall not be required to implement such terms);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any upfront fees shall be agreed between the Borrower and the lenders providing such Increase;</w:t>
      </w:r>
    </w:p>
    <w:p>
      <w:pPr>
        <w:spacing w:after="0" w:line="186" w:lineRule="exact"/>
        <w:rPr>
          <w:sz w:val="20"/>
          <w:szCs w:val="20"/>
          <w:color w:val="auto"/>
        </w:rPr>
      </w:pPr>
    </w:p>
    <w:p>
      <w:pPr>
        <w:jc w:val="both"/>
        <w:ind w:firstLine="1952"/>
        <w:spacing w:after="0" w:line="269" w:lineRule="auto"/>
        <w:tabs>
          <w:tab w:leader="none" w:pos="2592" w:val="left"/>
        </w:tabs>
        <w:numPr>
          <w:ilvl w:val="1"/>
          <w:numId w:val="69"/>
        </w:numPr>
        <w:rPr>
          <w:rFonts w:ascii="Arial" w:cs="Arial" w:eastAsia="Arial" w:hAnsi="Arial"/>
          <w:sz w:val="19"/>
          <w:szCs w:val="19"/>
          <w:color w:val="auto"/>
        </w:rPr>
      </w:pPr>
      <w:r>
        <w:rPr>
          <w:rFonts w:ascii="Arial" w:cs="Arial" w:eastAsia="Arial" w:hAnsi="Arial"/>
          <w:sz w:val="19"/>
          <w:szCs w:val="19"/>
          <w:color w:val="auto"/>
        </w:rPr>
        <w:t>the Borrower shall have delivered a written request for such Increase at least fifteen (15) Business Days prior to the requested establishment of such Increase (or such later date as may be reasonably approved by the Administrative Agent), which request shall set forth the amount and proposed terms of the Increase;</w:t>
      </w:r>
    </w:p>
    <w:p>
      <w:pPr>
        <w:spacing w:after="0" w:line="169" w:lineRule="exact"/>
        <w:rPr>
          <w:rFonts w:ascii="Arial" w:cs="Arial" w:eastAsia="Arial" w:hAnsi="Arial"/>
          <w:sz w:val="19"/>
          <w:szCs w:val="19"/>
          <w:color w:val="auto"/>
        </w:rPr>
      </w:pPr>
    </w:p>
    <w:p>
      <w:pPr>
        <w:jc w:val="both"/>
        <w:ind w:firstLine="1952"/>
        <w:spacing w:after="0" w:line="273" w:lineRule="auto"/>
        <w:tabs>
          <w:tab w:leader="none" w:pos="2592"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each lender agreeing to such Increase, the Borrower and the Administrative Agent shall have signed an Increase Joinder (any Increase Joinder may, with the consent of the Administrative Agent, the Borrower and the lenders agreeing to such Increase, effect such amendments to this Agreement and the other Loan Documents as may be necessary or appropriate to effectuate the provisions of this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(including the preceding clause (i)) and the Borrower shall have executed any Notes requested by any Lender in writing prior to such Increase in connection with the making of the Increase. Notwithstanding anything to the contrary in this Agreement or in any other Loan Document, an Increase Joinder reasonably satisfactory to the Administrative Agent, and the amendments to this Agreement effected thereby, shall not require the consent of any Lender other than the Lender(s) agreeing to establish such Increase;</w:t>
      </w:r>
    </w:p>
    <w:p>
      <w:pPr>
        <w:spacing w:after="0" w:line="168" w:lineRule="exact"/>
        <w:rPr>
          <w:rFonts w:ascii="Arial" w:cs="Arial" w:eastAsia="Arial" w:hAnsi="Arial"/>
          <w:sz w:val="18"/>
          <w:szCs w:val="18"/>
          <w:color w:val="auto"/>
        </w:rPr>
      </w:pPr>
    </w:p>
    <w:p>
      <w:pPr>
        <w:ind w:firstLine="1952"/>
        <w:spacing w:after="0" w:line="260" w:lineRule="auto"/>
        <w:tabs>
          <w:tab w:leader="none" w:pos="2592" w:val="left"/>
        </w:tabs>
        <w:numPr>
          <w:ilvl w:val="1"/>
          <w:numId w:val="69"/>
        </w:numPr>
        <w:rPr>
          <w:rFonts w:ascii="Arial" w:cs="Arial" w:eastAsia="Arial" w:hAnsi="Arial"/>
          <w:sz w:val="20"/>
          <w:szCs w:val="20"/>
          <w:color w:val="auto"/>
        </w:rPr>
      </w:pPr>
      <w:r>
        <w:rPr>
          <w:rFonts w:ascii="Arial" w:cs="Arial" w:eastAsia="Arial" w:hAnsi="Arial"/>
          <w:sz w:val="20"/>
          <w:szCs w:val="20"/>
          <w:color w:val="auto"/>
        </w:rPr>
        <w:t xml:space="preserve">immediately after giving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effect to such Increase and the use of proceeds thereof, each of the conditions precedent in </w:t>
      </w:r>
      <w:r>
        <w:rPr>
          <w:rFonts w:ascii="Arial" w:cs="Arial" w:eastAsia="Arial" w:hAnsi="Arial"/>
          <w:sz w:val="20"/>
          <w:szCs w:val="20"/>
          <w:u w:val="single" w:color="auto"/>
          <w:color w:val="auto"/>
        </w:rPr>
        <w:t>Section 5.2(a)</w:t>
      </w:r>
      <w:r>
        <w:rPr>
          <w:rFonts w:ascii="Arial" w:cs="Arial" w:eastAsia="Arial" w:hAnsi="Arial"/>
          <w:sz w:val="20"/>
          <w:szCs w:val="20"/>
          <w:color w:val="auto"/>
        </w:rPr>
        <w:t xml:space="preserve"> are satisfied;</w:t>
      </w:r>
    </w:p>
    <w:p>
      <w:pPr>
        <w:spacing w:after="0" w:line="176" w:lineRule="exact"/>
        <w:rPr>
          <w:rFonts w:ascii="Arial" w:cs="Arial" w:eastAsia="Arial" w:hAnsi="Arial"/>
          <w:sz w:val="20"/>
          <w:szCs w:val="20"/>
          <w:color w:val="auto"/>
        </w:rPr>
      </w:pPr>
    </w:p>
    <w:p>
      <w:pPr>
        <w:jc w:val="both"/>
        <w:ind w:firstLine="1952"/>
        <w:spacing w:after="0" w:line="256" w:lineRule="auto"/>
        <w:tabs>
          <w:tab w:leader="none" w:pos="2592"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immediately after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to such Increase and the use of proceeds thereof (and assuming that such Increase was fully drawn), (A) no Default or Event of Default shall have occurred and be continuing at the time of such Increase, (B) the Borrower shall be in compliance with the financial covenants set forth in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hereof as of the end of the most recently ended month and quarter for which financial statements are internally available to the Loan Parties prior to such Increase and (C) the Consolidated Senior Leverage Ratio is at least 0.25:1.00 less than the maximum Consolidated Senior Leverage Ratio then permitted under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as of the end of the most recently ended month and quarter for which financial statements are internally available to the Loan Parties prior to such Increase, and the Borrower shall have delivered to the Administrative Agent a Compliance Certificate evidencing compliance with the requirements of this </w:t>
      </w:r>
      <w:r>
        <w:rPr>
          <w:rFonts w:ascii="Arial" w:cs="Arial" w:eastAsia="Arial" w:hAnsi="Arial"/>
          <w:sz w:val="19"/>
          <w:szCs w:val="19"/>
          <w:u w:val="single" w:color="auto"/>
          <w:color w:val="auto"/>
        </w:rPr>
        <w:t>clause (v)</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firstLine="1952"/>
        <w:spacing w:after="0" w:line="270" w:lineRule="auto"/>
        <w:tabs>
          <w:tab w:leader="none" w:pos="2592" w:val="left"/>
        </w:tabs>
        <w:numPr>
          <w:ilvl w:val="1"/>
          <w:numId w:val="6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clauses (iv) and (v) above, to the extent that the proceeds of any Increase are to be used to finance a Limited Condition Acquisition, the availability thereof shall be subject to customary “SunGard” or “certain funds” conditionality to the extent agreed by the Borrower and the Lenders providing such Increase; provided further, that if customary “SunGard” or “certain funds” conditionality applies,</w:t>
      </w:r>
    </w:p>
    <w:p>
      <w:pPr>
        <w:spacing w:after="0" w:line="2" w:lineRule="exact"/>
        <w:rPr>
          <w:rFonts w:ascii="Arial" w:cs="Arial" w:eastAsia="Arial" w:hAnsi="Arial"/>
          <w:sz w:val="18"/>
          <w:szCs w:val="18"/>
          <w:color w:val="auto"/>
        </w:rPr>
      </w:pPr>
    </w:p>
    <w:p>
      <w:pPr>
        <w:jc w:val="both"/>
        <w:ind w:firstLine="8"/>
        <w:spacing w:after="0" w:line="241" w:lineRule="auto"/>
        <w:tabs>
          <w:tab w:leader="none" w:pos="322" w:val="left"/>
        </w:tabs>
        <w:numPr>
          <w:ilvl w:val="0"/>
          <w:numId w:val="70"/>
        </w:numPr>
        <w:rPr>
          <w:rFonts w:ascii="Arial" w:cs="Arial" w:eastAsia="Arial" w:hAnsi="Arial"/>
          <w:sz w:val="20"/>
          <w:szCs w:val="20"/>
          <w:color w:val="auto"/>
        </w:rPr>
      </w:pPr>
      <w:r>
        <w:rPr>
          <w:rFonts w:ascii="Arial" w:cs="Arial" w:eastAsia="Arial" w:hAnsi="Arial"/>
          <w:sz w:val="20"/>
          <w:szCs w:val="20"/>
          <w:color w:val="auto"/>
        </w:rPr>
        <w:t>no Event of Default shall exist at, or occur immediately after, the signing of the applicable definitive acquisition agreement for such Limited Condition Acquisition and (y) no Event of Default under Section 8.1(a) or 8.1(f) shall exist before or immediately after giving effect to such Increase, the borrowings thereunder and the consummation of such Limited Condition Acquisition;</w:t>
      </w:r>
    </w:p>
    <w:p>
      <w:pPr>
        <w:spacing w:after="0" w:line="194" w:lineRule="exact"/>
        <w:rPr>
          <w:rFonts w:ascii="Arial" w:cs="Arial" w:eastAsia="Arial" w:hAnsi="Arial"/>
          <w:sz w:val="20"/>
          <w:szCs w:val="20"/>
          <w:color w:val="auto"/>
        </w:rPr>
      </w:pPr>
    </w:p>
    <w:p>
      <w:pPr>
        <w:jc w:val="both"/>
        <w:ind w:right="20" w:firstLine="1952"/>
        <w:spacing w:after="0" w:line="250" w:lineRule="auto"/>
        <w:tabs>
          <w:tab w:leader="none" w:pos="2591" w:val="left"/>
        </w:tabs>
        <w:numPr>
          <w:ilvl w:val="1"/>
          <w:numId w:val="70"/>
        </w:numPr>
        <w:rPr>
          <w:rFonts w:ascii="Arial" w:cs="Arial" w:eastAsia="Arial" w:hAnsi="Arial"/>
          <w:sz w:val="20"/>
          <w:szCs w:val="20"/>
          <w:color w:val="auto"/>
        </w:rPr>
      </w:pPr>
      <w:r>
        <w:rPr>
          <w:rFonts w:ascii="Arial" w:cs="Arial" w:eastAsia="Arial" w:hAnsi="Arial"/>
          <w:sz w:val="20"/>
          <w:szCs w:val="20"/>
          <w:color w:val="auto"/>
        </w:rPr>
        <w:t>in connection with such Increase, the Borrower shall pay to the Administrative Agent, for the benefit of the Administrative Agent or the Increase lenders, as applicable, all fees that the Borrower has agreed to pay in connection with such Increase (including pursuant to the Fee Letter); and</w:t>
      </w:r>
    </w:p>
    <w:p>
      <w:pPr>
        <w:spacing w:after="0" w:line="185" w:lineRule="exact"/>
        <w:rPr>
          <w:rFonts w:ascii="Arial" w:cs="Arial" w:eastAsia="Arial" w:hAnsi="Arial"/>
          <w:sz w:val="20"/>
          <w:szCs w:val="20"/>
          <w:color w:val="auto"/>
        </w:rPr>
      </w:pPr>
    </w:p>
    <w:p>
      <w:pPr>
        <w:ind w:firstLine="1952"/>
        <w:spacing w:after="0" w:line="260" w:lineRule="auto"/>
        <w:tabs>
          <w:tab w:leader="none" w:pos="2592" w:val="left"/>
        </w:tabs>
        <w:numPr>
          <w:ilvl w:val="1"/>
          <w:numId w:val="70"/>
        </w:numPr>
        <w:rPr>
          <w:rFonts w:ascii="Arial" w:cs="Arial" w:eastAsia="Arial" w:hAnsi="Arial"/>
          <w:sz w:val="20"/>
          <w:szCs w:val="20"/>
          <w:color w:val="auto"/>
        </w:rPr>
      </w:pPr>
      <w:r>
        <w:rPr>
          <w:rFonts w:ascii="Arial" w:cs="Arial" w:eastAsia="Arial" w:hAnsi="Arial"/>
          <w:sz w:val="20"/>
          <w:szCs w:val="20"/>
          <w:color w:val="auto"/>
        </w:rPr>
        <w:t xml:space="preserve">upon each Increase in accordance with this </w:t>
      </w:r>
      <w:r>
        <w:rPr>
          <w:rFonts w:ascii="Arial" w:cs="Arial" w:eastAsia="Arial" w:hAnsi="Arial"/>
          <w:sz w:val="20"/>
          <w:szCs w:val="20"/>
          <w:u w:val="single" w:color="auto"/>
          <w:color w:val="auto"/>
        </w:rPr>
        <w:t>Section 2.27</w:t>
      </w:r>
      <w:r>
        <w:rPr>
          <w:rFonts w:ascii="Arial" w:cs="Arial" w:eastAsia="Arial" w:hAnsi="Arial"/>
          <w:sz w:val="20"/>
          <w:szCs w:val="20"/>
          <w:color w:val="auto"/>
        </w:rPr>
        <w:t>, all outstanding Loans, participations hereunder in Letters of Credit and participations hereunder in Swingline Loans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5" w:name="page96"/>
    <w:bookmarkEnd w:id="95"/>
    <w:p>
      <w:pPr>
        <w:jc w:val="both"/>
        <w:spacing w:after="0" w:line="250" w:lineRule="auto"/>
        <w:rPr>
          <w:sz w:val="20"/>
          <w:szCs w:val="20"/>
          <w:color w:val="auto"/>
        </w:rPr>
      </w:pPr>
      <w:r>
        <w:rPr>
          <w:rFonts w:ascii="Arial" w:cs="Arial" w:eastAsia="Arial" w:hAnsi="Arial"/>
          <w:sz w:val="20"/>
          <w:szCs w:val="20"/>
          <w:color w:val="auto"/>
        </w:rPr>
        <w:t>by each Lender shall be reallocated among the Lenders (including any newly added Lenders) in accordance with the Lenders’ respective revised Revolving Percentages and L/C Percentages, pursuant to procedures reasonably determined by the Administrative Agent in consultation with the Borrower.</w:t>
      </w:r>
    </w:p>
    <w:p>
      <w:pPr>
        <w:spacing w:after="0" w:line="186" w:lineRule="exact"/>
        <w:rPr>
          <w:sz w:val="20"/>
          <w:szCs w:val="20"/>
          <w:color w:val="auto"/>
        </w:rPr>
      </w:pPr>
    </w:p>
    <w:p>
      <w:pPr>
        <w:jc w:val="both"/>
        <w:ind w:firstLine="1304"/>
        <w:spacing w:after="0" w:line="278" w:lineRule="auto"/>
        <w:tabs>
          <w:tab w:leader="none" w:pos="19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Upon the effectiveness of any Increase, (i) all references in this Agreement and any other Loan Document to the Revolving Loans shall be deemed, unless the context otherwise requires, to include such Increase advanced pursuant to this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and any amendments effected through the Increase Joinder and (ii) all references in this Agreement and any other Loan Document to the Revolving Commitment shall be deemed, unless the context otherwise requires, to include the commitment to advance an amount equal to such Increase pursuant to this </w:t>
      </w:r>
      <w:r>
        <w:rPr>
          <w:rFonts w:ascii="Arial" w:cs="Arial" w:eastAsia="Arial" w:hAnsi="Arial"/>
          <w:sz w:val="18"/>
          <w:szCs w:val="18"/>
          <w:u w:val="single" w:color="auto"/>
          <w:color w:val="auto"/>
        </w:rPr>
        <w:t>Section 2.27</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jc w:val="both"/>
        <w:ind w:firstLine="1304"/>
        <w:spacing w:after="0" w:line="243" w:lineRule="auto"/>
        <w:tabs>
          <w:tab w:leader="none" w:pos="1944" w:val="left"/>
        </w:tabs>
        <w:numPr>
          <w:ilvl w:val="0"/>
          <w:numId w:val="71"/>
        </w:numPr>
        <w:rPr>
          <w:rFonts w:ascii="Arial" w:cs="Arial" w:eastAsia="Arial" w:hAnsi="Arial"/>
          <w:sz w:val="20"/>
          <w:szCs w:val="20"/>
          <w:color w:val="auto"/>
        </w:rPr>
      </w:pPr>
      <w:r>
        <w:rPr>
          <w:rFonts w:ascii="Arial" w:cs="Arial" w:eastAsia="Arial" w:hAnsi="Arial"/>
          <w:sz w:val="20"/>
          <w:szCs w:val="20"/>
          <w:color w:val="auto"/>
        </w:rPr>
        <w:t xml:space="preserve">The Revolving Loans and Revolving Commitments established pursuant to this </w:t>
      </w:r>
      <w:r>
        <w:rPr>
          <w:rFonts w:ascii="Arial" w:cs="Arial" w:eastAsia="Arial" w:hAnsi="Arial"/>
          <w:sz w:val="20"/>
          <w:szCs w:val="20"/>
          <w:u w:val="single" w:color="auto"/>
          <w:color w:val="auto"/>
        </w:rPr>
        <w:t>Section 2.27</w:t>
      </w:r>
      <w:r>
        <w:rPr>
          <w:rFonts w:ascii="Arial" w:cs="Arial" w:eastAsia="Arial" w:hAnsi="Arial"/>
          <w:sz w:val="20"/>
          <w:szCs w:val="20"/>
          <w:color w:val="auto"/>
        </w:rPr>
        <w:t xml:space="preserve"> shall constitute Revolving Loans and Revolving Commitments under, and shall be entitled to all the benefits afforded by, this Agreement and the other Loan Documents, and shall, without limiting the foregoing, benefit equally and ratably from any guarantees and the security interests created by the Loan Documents. The Borrower shall take any actions reasonably required by Administrative Agent, if any, to ensure and demonstrate that the Liens and security interests granted by the Loan Documents continue to be perfected under the UCC or otherwise after giving effect to the establishment of any such new Revolving Commitments.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LETTERS OF CREDIT</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8"/>
          <w:szCs w:val="18"/>
          <w:b w:val="1"/>
          <w:bCs w:val="1"/>
          <w:color w:val="auto"/>
        </w:rPr>
        <w:t>L/C Commitment</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271" w:lineRule="auto"/>
        <w:tabs>
          <w:tab w:leader="none" w:pos="19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Subject to the terms and conditions hereof, the Issuing Lender agrees to issue letters of credit (“</w:t>
      </w:r>
      <w:r>
        <w:rPr>
          <w:rFonts w:ascii="Arial" w:cs="Arial" w:eastAsia="Arial" w:hAnsi="Arial"/>
          <w:sz w:val="18"/>
          <w:szCs w:val="18"/>
          <w:b w:val="1"/>
          <w:bCs w:val="1"/>
          <w:i w:val="1"/>
          <w:iCs w:val="1"/>
          <w:color w:val="auto"/>
        </w:rPr>
        <w:t>Letters of Credit</w:t>
      </w:r>
      <w:r>
        <w:rPr>
          <w:rFonts w:ascii="Arial" w:cs="Arial" w:eastAsia="Arial" w:hAnsi="Arial"/>
          <w:sz w:val="18"/>
          <w:szCs w:val="18"/>
          <w:color w:val="auto"/>
        </w:rPr>
        <w:t xml:space="preserve">”) for the account of the Borrower (or any other Group Member so long as the Borrower is the applicant on the applicable Application and such Group Member has furnished any documentation required by the Issuing Lender pursuant to “know-your-customer” or any internal requirements) on any Business Day during the Letter of Credit Availability Period in such form as may reasonably be approved from time to time by the Issuing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Issuing Lender shall have no obligation to issue any Letter of Credit if, after giving effect to such issuance, the L/C Exposure would exceed either the Total L/C Commitments or the Available Revolving Commitment at such time. Unless otherwise agreed to by the Administrative Agent in its sole discretion, each Letter of Credit shall (i) be denominated in Dollars and (ii) expire no later than the earlier of (x) the first anniversary of its date of issuance and (y) the Letter of Credit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Letter of Credit with a one-year term may provide for the renewal thereof for additional one-year periods (which shall in no event extend beyond the date referred to in clause (y) above).</w:t>
      </w:r>
    </w:p>
    <w:p>
      <w:pPr>
        <w:spacing w:after="0" w:line="169" w:lineRule="exact"/>
        <w:rPr>
          <w:rFonts w:ascii="Arial" w:cs="Arial" w:eastAsia="Arial" w:hAnsi="Arial"/>
          <w:sz w:val="18"/>
          <w:szCs w:val="18"/>
          <w:color w:val="auto"/>
        </w:rPr>
      </w:pPr>
    </w:p>
    <w:p>
      <w:pPr>
        <w:ind w:left="1960" w:hanging="656"/>
        <w:spacing w:after="0"/>
        <w:tabs>
          <w:tab w:leader="none" w:pos="19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Issuing Lender shall not at any time be obligated to issue any Letter of Credit if:</w:t>
      </w:r>
    </w:p>
    <w:p>
      <w:pPr>
        <w:spacing w:after="0" w:line="215" w:lineRule="exact"/>
        <w:rPr>
          <w:rFonts w:ascii="Arial" w:cs="Arial" w:eastAsia="Arial" w:hAnsi="Arial"/>
          <w:sz w:val="20"/>
          <w:szCs w:val="20"/>
          <w:color w:val="auto"/>
        </w:rPr>
      </w:pPr>
    </w:p>
    <w:p>
      <w:pPr>
        <w:ind w:firstLine="1952"/>
        <w:spacing w:after="0" w:line="260" w:lineRule="auto"/>
        <w:tabs>
          <w:tab w:leader="none" w:pos="2592" w:val="left"/>
        </w:tabs>
        <w:numPr>
          <w:ilvl w:val="1"/>
          <w:numId w:val="72"/>
        </w:numPr>
        <w:rPr>
          <w:rFonts w:ascii="Arial" w:cs="Arial" w:eastAsia="Arial" w:hAnsi="Arial"/>
          <w:sz w:val="20"/>
          <w:szCs w:val="20"/>
          <w:color w:val="auto"/>
        </w:rPr>
      </w:pPr>
      <w:r>
        <w:rPr>
          <w:rFonts w:ascii="Arial" w:cs="Arial" w:eastAsia="Arial" w:hAnsi="Arial"/>
          <w:sz w:val="20"/>
          <w:szCs w:val="20"/>
          <w:color w:val="auto"/>
        </w:rPr>
        <w:t>such issuance would conflict with, or cause the Issuing Lender or any L/C Lender to exceed any limits imposed by, any applicable Requirement of Law;</w:t>
      </w:r>
    </w:p>
    <w:p>
      <w:pPr>
        <w:spacing w:after="0" w:line="176" w:lineRule="exact"/>
        <w:rPr>
          <w:rFonts w:ascii="Arial" w:cs="Arial" w:eastAsia="Arial" w:hAnsi="Arial"/>
          <w:sz w:val="20"/>
          <w:szCs w:val="20"/>
          <w:color w:val="auto"/>
        </w:rPr>
      </w:pPr>
    </w:p>
    <w:p>
      <w:pPr>
        <w:jc w:val="both"/>
        <w:ind w:firstLine="1952"/>
        <w:spacing w:after="0" w:line="243" w:lineRule="auto"/>
        <w:tabs>
          <w:tab w:leader="none" w:pos="2592" w:val="left"/>
        </w:tabs>
        <w:numPr>
          <w:ilvl w:val="1"/>
          <w:numId w:val="72"/>
        </w:numPr>
        <w:rPr>
          <w:rFonts w:ascii="Arial" w:cs="Arial" w:eastAsia="Arial" w:hAnsi="Arial"/>
          <w:sz w:val="20"/>
          <w:szCs w:val="20"/>
          <w:color w:val="auto"/>
        </w:rPr>
      </w:pPr>
      <w:r>
        <w:rPr>
          <w:rFonts w:ascii="Arial" w:cs="Arial" w:eastAsia="Arial" w:hAnsi="Arial"/>
          <w:sz w:val="20"/>
          <w:szCs w:val="20"/>
          <w:color w:val="auto"/>
        </w:rPr>
        <w:t>any order, judgment or decree of any Governmental Authority or arbitrator shall by its terms purport to enjoin or restrain the Issuing Lender from issuing, amending or reinstating such Letter of Credit, or any law, rule or regulation applicable to the Issuing Lender or any request, guideline or directive (whether or not having the force of law) from any Governmental Authority with jurisdiction over the Issuing Lender shall prohibit, or request that the Issuing Lender refrain from, the issuance, amendment, renewal or reinstatement of letters of credit generally or such Letter of Credit in particular or shall impose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6" w:name="page97"/>
    <w:bookmarkEnd w:id="96"/>
    <w:p>
      <w:pPr>
        <w:jc w:val="both"/>
        <w:spacing w:after="0" w:line="246" w:lineRule="auto"/>
        <w:rPr>
          <w:sz w:val="20"/>
          <w:szCs w:val="20"/>
          <w:color w:val="auto"/>
        </w:rPr>
      </w:pPr>
      <w:r>
        <w:rPr>
          <w:rFonts w:ascii="Arial" w:cs="Arial" w:eastAsia="Arial" w:hAnsi="Arial"/>
          <w:sz w:val="20"/>
          <w:szCs w:val="20"/>
          <w:color w:val="auto"/>
        </w:rPr>
        <w:t>upon the Issuing Lender with respect to such Letter of Credit any restriction, reserve or capital requirement (for which the Issuing Lender is not otherwise compensated) not in effect on the Closing Date, or shall impose upon the Issuing Lender any unreimbursed loss, cost or expense which was not applicable on the Closing Date and which the Issuing Lender in good faith deems material to it;</w:t>
      </w:r>
    </w:p>
    <w:p>
      <w:pPr>
        <w:spacing w:after="0" w:line="191" w:lineRule="exact"/>
        <w:rPr>
          <w:sz w:val="20"/>
          <w:szCs w:val="20"/>
          <w:color w:val="auto"/>
        </w:rPr>
      </w:pPr>
    </w:p>
    <w:p>
      <w:pPr>
        <w:jc w:val="both"/>
        <w:ind w:firstLine="1952"/>
        <w:spacing w:after="0" w:line="291" w:lineRule="auto"/>
        <w:tabs>
          <w:tab w:leader="none" w:pos="2592"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Issuing Lender has received written notice from any Lender, the Administrative Agent or the Borrower, at least one (1) Business Day prior to the requested date of issuance, amendment, renewal or reinstatement of such Letter of Credit, that one or more of the applicable conditions contained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not then be satisfied;</w:t>
      </w:r>
    </w:p>
    <w:p>
      <w:pPr>
        <w:spacing w:after="0" w:line="151" w:lineRule="exact"/>
        <w:rPr>
          <w:rFonts w:ascii="Arial" w:cs="Arial" w:eastAsia="Arial" w:hAnsi="Arial"/>
          <w:sz w:val="18"/>
          <w:szCs w:val="18"/>
          <w:color w:val="auto"/>
        </w:rPr>
      </w:pPr>
    </w:p>
    <w:p>
      <w:pPr>
        <w:jc w:val="both"/>
        <w:ind w:firstLine="1952"/>
        <w:spacing w:after="0" w:line="250" w:lineRule="auto"/>
        <w:tabs>
          <w:tab w:leader="none" w:pos="2592" w:val="left"/>
        </w:tabs>
        <w:numPr>
          <w:ilvl w:val="0"/>
          <w:numId w:val="73"/>
        </w:numPr>
        <w:rPr>
          <w:rFonts w:ascii="Arial" w:cs="Arial" w:eastAsia="Arial" w:hAnsi="Arial"/>
          <w:sz w:val="20"/>
          <w:szCs w:val="20"/>
          <w:color w:val="auto"/>
        </w:rPr>
      </w:pPr>
      <w:r>
        <w:rPr>
          <w:rFonts w:ascii="Arial" w:cs="Arial" w:eastAsia="Arial" w:hAnsi="Arial"/>
          <w:sz w:val="20"/>
          <w:szCs w:val="20"/>
          <w:color w:val="auto"/>
        </w:rPr>
        <w:t>any requested Letter of Credit is not in form and substance acceptable to the Issuing Lender, or the issuance, amendment or renewal of a Letter of Credit shall violate any applicable laws or regulations or any applicable policies of the Issuing Lender;</w:t>
      </w:r>
    </w:p>
    <w:p>
      <w:pPr>
        <w:spacing w:after="0" w:line="185" w:lineRule="exact"/>
        <w:rPr>
          <w:rFonts w:ascii="Arial" w:cs="Arial" w:eastAsia="Arial" w:hAnsi="Arial"/>
          <w:sz w:val="20"/>
          <w:szCs w:val="20"/>
          <w:color w:val="auto"/>
        </w:rPr>
      </w:pPr>
    </w:p>
    <w:p>
      <w:pPr>
        <w:ind w:firstLine="1952"/>
        <w:spacing w:after="0" w:line="260" w:lineRule="auto"/>
        <w:tabs>
          <w:tab w:leader="none" w:pos="2592" w:val="left"/>
        </w:tabs>
        <w:numPr>
          <w:ilvl w:val="0"/>
          <w:numId w:val="73"/>
        </w:numPr>
        <w:rPr>
          <w:rFonts w:ascii="Arial" w:cs="Arial" w:eastAsia="Arial" w:hAnsi="Arial"/>
          <w:sz w:val="20"/>
          <w:szCs w:val="20"/>
          <w:color w:val="auto"/>
        </w:rPr>
      </w:pPr>
      <w:r>
        <w:rPr>
          <w:rFonts w:ascii="Arial" w:cs="Arial" w:eastAsia="Arial" w:hAnsi="Arial"/>
          <w:sz w:val="20"/>
          <w:szCs w:val="20"/>
          <w:color w:val="auto"/>
        </w:rPr>
        <w:t>such Letter of Credit contains any provisions providing for automatic reinstatement of the stated amount after any drawing thereunder;</w:t>
      </w:r>
    </w:p>
    <w:p>
      <w:pPr>
        <w:spacing w:after="0" w:line="176" w:lineRule="exact"/>
        <w:rPr>
          <w:rFonts w:ascii="Arial" w:cs="Arial" w:eastAsia="Arial" w:hAnsi="Arial"/>
          <w:sz w:val="20"/>
          <w:szCs w:val="20"/>
          <w:color w:val="auto"/>
        </w:rPr>
      </w:pPr>
    </w:p>
    <w:p>
      <w:pPr>
        <w:ind w:right="20" w:firstLine="1952"/>
        <w:spacing w:after="0" w:line="260" w:lineRule="auto"/>
        <w:tabs>
          <w:tab w:leader="none" w:pos="2592" w:val="left"/>
        </w:tabs>
        <w:numPr>
          <w:ilvl w:val="0"/>
          <w:numId w:val="73"/>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the Issuing Lender, such Letter of Credit is in an initial face amount less than $250,000; or</w:t>
      </w:r>
    </w:p>
    <w:p>
      <w:pPr>
        <w:spacing w:after="0" w:line="176" w:lineRule="exact"/>
        <w:rPr>
          <w:rFonts w:ascii="Arial" w:cs="Arial" w:eastAsia="Arial" w:hAnsi="Arial"/>
          <w:sz w:val="20"/>
          <w:szCs w:val="20"/>
          <w:color w:val="auto"/>
        </w:rPr>
      </w:pPr>
    </w:p>
    <w:p>
      <w:pPr>
        <w:jc w:val="both"/>
        <w:ind w:firstLine="1952"/>
        <w:spacing w:after="0" w:line="259" w:lineRule="auto"/>
        <w:tabs>
          <w:tab w:leader="none" w:pos="2591"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any Lender is at that time a Defaulting Lender, unless the Issuing Lender has entered into arrangements, including the delivery of Cash Collateral pursuant to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satisfactory to the Issuing Lender (in its sole discretion) with the Borrower or such Defaulting Lender to eliminate the Issuing Lender’s actual or potential Fronting Exposure (after giving effect to </w:t>
      </w:r>
      <w:r>
        <w:rPr>
          <w:rFonts w:ascii="Arial" w:cs="Arial" w:eastAsia="Arial" w:hAnsi="Arial"/>
          <w:sz w:val="19"/>
          <w:szCs w:val="19"/>
          <w:u w:val="single" w:color="auto"/>
          <w:color w:val="auto"/>
        </w:rPr>
        <w:t>Section 2.24(a)(iv)</w:t>
      </w:r>
      <w:r>
        <w:rPr>
          <w:rFonts w:ascii="Arial" w:cs="Arial" w:eastAsia="Arial" w:hAnsi="Arial"/>
          <w:sz w:val="19"/>
          <w:szCs w:val="19"/>
          <w:color w:val="auto"/>
        </w:rPr>
        <w:t>) with respect to the Defaulting Lender arising from either the Letter of Credit then proposed to be issued or such Letter of Credit and all other L/C Exposure as to which the Issuing Lender has actual or potential Fronting Exposure, as it may elect in its sole discretion.</w:t>
      </w:r>
    </w:p>
    <w:p>
      <w:pPr>
        <w:spacing w:after="0" w:line="17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3.2 Procedure for Issuance of Letters of Credit</w:t>
      </w:r>
      <w:r>
        <w:rPr>
          <w:rFonts w:ascii="Arial" w:cs="Arial" w:eastAsia="Arial" w:hAnsi="Arial"/>
          <w:sz w:val="18"/>
          <w:szCs w:val="18"/>
          <w:color w:val="auto"/>
        </w:rPr>
        <w:t>. The Borrower may from time to time request that the Issuing</w:t>
      </w:r>
      <w:r>
        <w:rPr>
          <w:rFonts w:ascii="Arial" w:cs="Arial" w:eastAsia="Arial" w:hAnsi="Arial"/>
          <w:sz w:val="18"/>
          <w:szCs w:val="18"/>
          <w:b w:val="1"/>
          <w:bCs w:val="1"/>
          <w:color w:val="auto"/>
        </w:rPr>
        <w:t xml:space="preserve"> </w:t>
      </w:r>
      <w:r>
        <w:rPr>
          <w:rFonts w:ascii="Arial" w:cs="Arial" w:eastAsia="Arial" w:hAnsi="Arial"/>
          <w:sz w:val="18"/>
          <w:szCs w:val="18"/>
          <w:color w:val="auto"/>
        </w:rPr>
        <w:t>Lender issue a Letter of Credit for the account of the Borrower by delivering to the Issuing Lender at its address for notices specified herein an Application therefor, completed to the satisfaction of the Issuing Lender, and such other certificates, documents and other papers and information as the Issuing Lender may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three (3) Business Days after its receipt of the Application therefor and all such other certificates, documents and other papers and information relating thereto) by issuing the original of such Letter of Credit to the beneficiary thereof or as otherwise may be agreed to by the Issuing Lender and the Borrower. The Issuing Lender shall furnish a copy of such Letter of Credit to the Borrower promptly following the issuance thereof. The Issuing Lender shall promptly furnish to the Administrative Agent, which shall in turn promptly furnish to the Lenders, notice of the issuance of each Letter of Credit (including the amount thereof).</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6"/>
          <w:szCs w:val="16"/>
          <w:b w:val="1"/>
          <w:bCs w:val="1"/>
          <w:color w:val="auto"/>
        </w:rPr>
        <w:t>Fees and Other Charges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70" w:lineRule="auto"/>
        <w:tabs>
          <w:tab w:leader="none" w:pos="1944"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Borrower agrees to pay, with respect to each Existing Letter of Credit and each outstanding Letter of Credit issued for the account of (or at the request of) the Borrower, (i) at any time there is more than one Lender (other than Lenders that are Affiliates of one another), a fronting fee of 0.125% per annum on the daily amount available to be drawn under each such Letter of Credit to the Issuing Lender for its own account (a “</w:t>
      </w:r>
      <w:r>
        <w:rPr>
          <w:rFonts w:ascii="Arial" w:cs="Arial" w:eastAsia="Arial" w:hAnsi="Arial"/>
          <w:sz w:val="18"/>
          <w:szCs w:val="18"/>
          <w:b w:val="1"/>
          <w:bCs w:val="1"/>
          <w:i w:val="1"/>
          <w:iCs w:val="1"/>
          <w:color w:val="auto"/>
        </w:rPr>
        <w:t>Letter of Credit Fronting Fee</w:t>
      </w:r>
      <w:r>
        <w:rPr>
          <w:rFonts w:ascii="Arial" w:cs="Arial" w:eastAsia="Arial" w:hAnsi="Arial"/>
          <w:sz w:val="18"/>
          <w:szCs w:val="18"/>
          <w:color w:val="auto"/>
        </w:rPr>
        <w:t>”), and</w:t>
      </w:r>
    </w:p>
    <w:p>
      <w:pPr>
        <w:spacing w:after="0" w:line="2" w:lineRule="exact"/>
        <w:rPr>
          <w:rFonts w:ascii="Arial" w:cs="Arial" w:eastAsia="Arial" w:hAnsi="Arial"/>
          <w:sz w:val="18"/>
          <w:szCs w:val="18"/>
          <w:color w:val="auto"/>
        </w:rPr>
      </w:pPr>
    </w:p>
    <w:p>
      <w:pPr>
        <w:ind w:left="300" w:hanging="292"/>
        <w:spacing w:after="0"/>
        <w:tabs>
          <w:tab w:leader="none" w:pos="3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a letter of credit fee equal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7" w:name="page98"/>
    <w:bookmarkEnd w:id="97"/>
    <w:p>
      <w:pPr>
        <w:jc w:val="both"/>
        <w:spacing w:after="0" w:line="271" w:lineRule="auto"/>
        <w:rPr>
          <w:sz w:val="20"/>
          <w:szCs w:val="20"/>
          <w:color w:val="auto"/>
        </w:rPr>
      </w:pPr>
      <w:r>
        <w:rPr>
          <w:rFonts w:ascii="Arial" w:cs="Arial" w:eastAsia="Arial" w:hAnsi="Arial"/>
          <w:sz w:val="18"/>
          <w:szCs w:val="18"/>
          <w:color w:val="auto"/>
        </w:rPr>
        <w:t xml:space="preserve">per annum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the daily amount available to be drawn under each such Letter of Credit on the drawable amount of such Letter of Credit to the Administrative Agent for the ratable account of the L/C Lenders (determined in accordance with their respective L/C Percentages) (a “</w:t>
      </w:r>
      <w:r>
        <w:rPr>
          <w:rFonts w:ascii="Arial" w:cs="Arial" w:eastAsia="Arial" w:hAnsi="Arial"/>
          <w:sz w:val="18"/>
          <w:szCs w:val="18"/>
          <w:b w:val="1"/>
          <w:bCs w:val="1"/>
          <w:i w:val="1"/>
          <w:iCs w:val="1"/>
          <w:color w:val="auto"/>
        </w:rPr>
        <w:t>Letter of Credit Fee</w:t>
      </w:r>
      <w:r>
        <w:rPr>
          <w:rFonts w:ascii="Arial" w:cs="Arial" w:eastAsia="Arial" w:hAnsi="Arial"/>
          <w:sz w:val="18"/>
          <w:szCs w:val="18"/>
          <w:color w:val="auto"/>
        </w:rPr>
        <w:t>”), in each case payable quarterly in arrears on the last Business Day of each calendar quarter and on the Letter of Credit Maturity Date (each, an “</w:t>
      </w:r>
      <w:r>
        <w:rPr>
          <w:rFonts w:ascii="Arial" w:cs="Arial" w:eastAsia="Arial" w:hAnsi="Arial"/>
          <w:sz w:val="18"/>
          <w:szCs w:val="18"/>
          <w:b w:val="1"/>
          <w:bCs w:val="1"/>
          <w:i w:val="1"/>
          <w:iCs w:val="1"/>
          <w:color w:val="auto"/>
        </w:rPr>
        <w:t>L/C Fee Payment Date</w:t>
      </w:r>
      <w:r>
        <w:rPr>
          <w:rFonts w:ascii="Arial" w:cs="Arial" w:eastAsia="Arial" w:hAnsi="Arial"/>
          <w:sz w:val="18"/>
          <w:szCs w:val="18"/>
          <w:color w:val="auto"/>
        </w:rPr>
        <w:t>”) after the issuance date of such Letter of Credit, and (iii) the Issuing Lender’s standard and reasonable fees with respect to the issuance, amendment, renewal or extension of any Letter of Credit issued for the account of (or at the request of) the Borrower or processing of drawings thereunder (the fees in this clause (iii), collectively, the “</w:t>
      </w:r>
      <w:r>
        <w:rPr>
          <w:rFonts w:ascii="Arial" w:cs="Arial" w:eastAsia="Arial" w:hAnsi="Arial"/>
          <w:sz w:val="18"/>
          <w:szCs w:val="18"/>
          <w:b w:val="1"/>
          <w:bCs w:val="1"/>
          <w:i w:val="1"/>
          <w:iCs w:val="1"/>
          <w:color w:val="auto"/>
        </w:rPr>
        <w:t>Issuing Lender Fees</w:t>
      </w:r>
      <w:r>
        <w:rPr>
          <w:rFonts w:ascii="Arial" w:cs="Arial" w:eastAsia="Arial" w:hAnsi="Arial"/>
          <w:sz w:val="18"/>
          <w:szCs w:val="18"/>
          <w:color w:val="auto"/>
        </w:rPr>
        <w:t xml:space="preserve">”). All Letter of Credit Fronting Fees and Letter of Credit Fees shall be computed on the basis of the actual number of days elapsed in a year of 360 days.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174" w:lineRule="exact"/>
        <w:rPr>
          <w:sz w:val="20"/>
          <w:szCs w:val="20"/>
          <w:color w:val="auto"/>
        </w:rPr>
      </w:pPr>
    </w:p>
    <w:p>
      <w:pPr>
        <w:jc w:val="both"/>
        <w:ind w:firstLine="1304"/>
        <w:spacing w:after="0" w:line="250" w:lineRule="auto"/>
        <w:tabs>
          <w:tab w:leader="none" w:pos="1944" w:val="left"/>
        </w:tabs>
        <w:numPr>
          <w:ilvl w:val="0"/>
          <w:numId w:val="76"/>
        </w:numPr>
        <w:rPr>
          <w:rFonts w:ascii="Arial" w:cs="Arial" w:eastAsia="Arial" w:hAnsi="Arial"/>
          <w:sz w:val="20"/>
          <w:szCs w:val="20"/>
          <w:color w:val="auto"/>
        </w:rPr>
      </w:pPr>
      <w:r>
        <w:rPr>
          <w:rFonts w:ascii="Arial" w:cs="Arial" w:eastAsia="Arial" w:hAnsi="Arial"/>
          <w:sz w:val="20"/>
          <w:szCs w:val="20"/>
          <w:color w:val="auto"/>
        </w:rPr>
        <w:t>In addition to the foregoing fees, the Borrower shall pay or reimburse the Issuing Lender for such normal and customary costs and expenses as are incurred or charged by the Issuing Lender in issuing, negotiating, effecting payment under, amending or otherwise administering any Letter of Credit.</w:t>
      </w:r>
    </w:p>
    <w:p>
      <w:pPr>
        <w:spacing w:after="0" w:line="185" w:lineRule="exact"/>
        <w:rPr>
          <w:rFonts w:ascii="Arial" w:cs="Arial" w:eastAsia="Arial" w:hAnsi="Arial"/>
          <w:sz w:val="20"/>
          <w:szCs w:val="20"/>
          <w:color w:val="auto"/>
        </w:rPr>
      </w:pPr>
    </w:p>
    <w:p>
      <w:pPr>
        <w:jc w:val="both"/>
        <w:ind w:firstLine="1304"/>
        <w:spacing w:after="0" w:line="263" w:lineRule="auto"/>
        <w:tabs>
          <w:tab w:leader="none" w:pos="1944"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Borrower shall furnish to the Issuing Lender and the Administrative Agent such other documents and information pertaining to any requested Letter of Credit issuance, amendment or renewal, including any L/C-Related Documents, as the Issuing Lender or the Administrative Agent may require. This Agreement shall control in the event of any conflict with any L/C-Related Document (other than any Letter of Credit).</w:t>
      </w:r>
    </w:p>
    <w:p>
      <w:pPr>
        <w:spacing w:after="0" w:line="176" w:lineRule="exact"/>
        <w:rPr>
          <w:rFonts w:ascii="Arial" w:cs="Arial" w:eastAsia="Arial" w:hAnsi="Arial"/>
          <w:sz w:val="19"/>
          <w:szCs w:val="19"/>
          <w:color w:val="auto"/>
        </w:rPr>
      </w:pPr>
    </w:p>
    <w:p>
      <w:pPr>
        <w:jc w:val="both"/>
        <w:ind w:firstLine="1304"/>
        <w:spacing w:after="0" w:line="278" w:lineRule="auto"/>
        <w:tabs>
          <w:tab w:leader="none" w:pos="19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Any letter of credit fees otherwise payable for the account of a Defaulting Lender with respect to any Letter of Credit as to which such Defaulting Lender has not provided Cash Collateral satisfactory to the Issuing Lender pursuant to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shall be payable, to the maximum extent permitted by applicable law, to the other L/C Lenders in accordance with the upward adjustments in their respective L/C Percentages allocable to such Letter of Credit pursuant to </w:t>
      </w:r>
      <w:r>
        <w:rPr>
          <w:rFonts w:ascii="Arial" w:cs="Arial" w:eastAsia="Arial" w:hAnsi="Arial"/>
          <w:sz w:val="18"/>
          <w:szCs w:val="18"/>
          <w:u w:val="single" w:color="auto"/>
          <w:color w:val="auto"/>
        </w:rPr>
        <w:t>Section 2.24(a)(iv)</w:t>
      </w:r>
      <w:r>
        <w:rPr>
          <w:rFonts w:ascii="Arial" w:cs="Arial" w:eastAsia="Arial" w:hAnsi="Arial"/>
          <w:sz w:val="18"/>
          <w:szCs w:val="18"/>
          <w:color w:val="auto"/>
        </w:rPr>
        <w:t>, with the balance of such fee, if any, payable to the Issuing Lender for its own account.</w:t>
      </w:r>
    </w:p>
    <w:p>
      <w:pPr>
        <w:spacing w:after="0" w:line="164" w:lineRule="exact"/>
        <w:rPr>
          <w:rFonts w:ascii="Arial" w:cs="Arial" w:eastAsia="Arial" w:hAnsi="Arial"/>
          <w:sz w:val="18"/>
          <w:szCs w:val="18"/>
          <w:color w:val="auto"/>
        </w:rPr>
      </w:pPr>
    </w:p>
    <w:p>
      <w:pPr>
        <w:ind w:left="1960" w:hanging="656"/>
        <w:spacing w:after="0"/>
        <w:tabs>
          <w:tab w:leader="none" w:pos="1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All fees payable under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shall be fully earned on the date paid and nonrefundable.</w:t>
      </w:r>
    </w:p>
    <w:p>
      <w:pPr>
        <w:spacing w:after="0" w:line="2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8"/>
          <w:szCs w:val="18"/>
          <w:b w:val="1"/>
          <w:bCs w:val="1"/>
          <w:color w:val="auto"/>
        </w:rPr>
        <w:t>L/C Participations; Existing Letters of Credit</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70" w:lineRule="auto"/>
        <w:tabs>
          <w:tab w:leader="none" w:pos="1944"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L/C Participations</w:t>
      </w:r>
      <w:r>
        <w:rPr>
          <w:rFonts w:ascii="Arial" w:cs="Arial" w:eastAsia="Arial" w:hAnsi="Arial"/>
          <w:sz w:val="18"/>
          <w:szCs w:val="18"/>
          <w:color w:val="auto"/>
        </w:rPr>
        <w:t>. The Issuing Lender irrevocably agrees to grant and hereby grants to each L/C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 and, to induce the Issuing Lender to issue Letters of Credit, each L/C Lender irrevocably agrees to accept and purchase and hereby accepts and purchases from the Issuing Lender, on the terms and conditions set forth below, for such L/C Lender’s own account and risk an undivided interest equal to such L/C Lender’s L/C Percentage in the Issuing Lender’s obligations and rights under and in respect of each Letter of Credit and the amount of each draft paid by the Issuing Lender thereunder. Each L/C Lender agrees with the Issuing Lender that, if a draft is paid under any Letter of Credit for which the Issuing Lender is not reimbursed in full by the Borrower pursuant to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such L/C Lender shall pay to the Issuing Lender upon demand at the Issuing Lender’s address for notices specified herein an amount equal to such L/C Lender’s L/C Percentage of the amount of such draft, or any part thereof, that is not so reimbursed. Each L/C Lender’s obligation to pay such amount shall be absolute and unconditional and shall not be affected by any circumstance, including (i) any setoff, counterclaim, recoupment, defense or other right that such L/C Lender may have against the Issuing Lender, the Borrower or any other Person for any reason whatsoever, (ii) the occurrence of a Default or an Event of Default or the failure to satisfy any of the other conditions specified in </w:t>
      </w:r>
      <w:r>
        <w:rPr>
          <w:rFonts w:ascii="Arial" w:cs="Arial" w:eastAsia="Arial" w:hAnsi="Arial"/>
          <w:sz w:val="18"/>
          <w:szCs w:val="18"/>
          <w:u w:val="single" w:color="auto"/>
          <w:color w:val="auto"/>
        </w:rPr>
        <w:t>Section 5.2</w:t>
      </w:r>
      <w:r>
        <w:rPr>
          <w:rFonts w:ascii="Arial" w:cs="Arial" w:eastAsia="Arial" w:hAnsi="Arial"/>
          <w:sz w:val="18"/>
          <w:szCs w:val="18"/>
          <w:color w:val="auto"/>
        </w:rPr>
        <w:t>, (iii) any adverse change in the condition (financial or otherwise) of the Borrower, (iv) any breach of this Agreement or any other Loan Document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8" w:name="page99"/>
    <w:bookmarkEnd w:id="98"/>
    <w:p>
      <w:pPr>
        <w:spacing w:after="0" w:line="260" w:lineRule="auto"/>
        <w:rPr>
          <w:sz w:val="20"/>
          <w:szCs w:val="20"/>
          <w:color w:val="auto"/>
        </w:rPr>
      </w:pPr>
      <w:r>
        <w:rPr>
          <w:rFonts w:ascii="Arial" w:cs="Arial" w:eastAsia="Arial" w:hAnsi="Arial"/>
          <w:sz w:val="20"/>
          <w:szCs w:val="20"/>
          <w:color w:val="auto"/>
        </w:rPr>
        <w:t>Borrower, any other Loan Party or any other L/C Lender, or (v) any other circumstance, happening or event whatsoever, whether or not similar to any of the foregoing.</w:t>
      </w:r>
    </w:p>
    <w:p>
      <w:pPr>
        <w:spacing w:after="0" w:line="171" w:lineRule="exact"/>
        <w:rPr>
          <w:sz w:val="20"/>
          <w:szCs w:val="20"/>
          <w:color w:val="auto"/>
        </w:rPr>
      </w:pPr>
    </w:p>
    <w:p>
      <w:pPr>
        <w:jc w:val="both"/>
        <w:ind w:firstLine="1304"/>
        <w:spacing w:after="0" w:line="245" w:lineRule="auto"/>
        <w:tabs>
          <w:tab w:leader="none" w:pos="1944" w:val="left"/>
        </w:tabs>
        <w:numPr>
          <w:ilvl w:val="0"/>
          <w:numId w:val="78"/>
        </w:numPr>
        <w:rPr>
          <w:rFonts w:ascii="Arial" w:cs="Arial" w:eastAsia="Arial" w:hAnsi="Arial"/>
          <w:sz w:val="20"/>
          <w:szCs w:val="20"/>
          <w:color w:val="auto"/>
        </w:rPr>
      </w:pPr>
      <w:r>
        <w:rPr>
          <w:rFonts w:ascii="Arial" w:cs="Arial" w:eastAsia="Arial" w:hAnsi="Arial"/>
          <w:sz w:val="20"/>
          <w:szCs w:val="20"/>
          <w:b w:val="1"/>
          <w:bCs w:val="1"/>
          <w:color w:val="auto"/>
        </w:rPr>
        <w:t xml:space="preserve">Existing Letters of Credit. </w:t>
      </w:r>
      <w:r>
        <w:rPr>
          <w:rFonts w:ascii="Arial" w:cs="Arial" w:eastAsia="Arial" w:hAnsi="Arial"/>
          <w:sz w:val="20"/>
          <w:szCs w:val="20"/>
          <w:color w:val="auto"/>
        </w:rPr>
        <w:t>On and after the Closing Date, the Existing Letters of Credit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deemed for all purposes, including for purposes of the fees to be collected pursuant to </w:t>
      </w:r>
      <w:r>
        <w:rPr>
          <w:rFonts w:ascii="Arial" w:cs="Arial" w:eastAsia="Arial" w:hAnsi="Arial"/>
          <w:sz w:val="20"/>
          <w:szCs w:val="20"/>
          <w:u w:val="single" w:color="auto"/>
          <w:color w:val="auto"/>
        </w:rPr>
        <w:t>Sections 3.3(a)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reimbursement of costs and expenses to the extent provided herein and for purposes of being secured by the Collateral, a Letter of Credit outstanding under this Agreement and entitled to the benefits of this Agreement and the other Loan Documents, and shall be governed by the applications and agreements pertaining thereto and by this Agreement (which shall control in the event of a conflict).</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16"/>
          <w:szCs w:val="16"/>
          <w:b w:val="1"/>
          <w:bCs w:val="1"/>
          <w:color w:val="auto"/>
        </w:rPr>
        <w:t>Reimbursement</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73" w:lineRule="auto"/>
        <w:tabs>
          <w:tab w:leader="none" w:pos="1944"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If the Issuing Lender shall make any L/C Disbursement in respect of a Letter of Credit, the Issuing Lender shall notify the Borrower and the Administrative Agent thereof and the Borrower shall pay or cause to be paid to the Issuing Lender an amount equal to the entire amount of such L/C Disbursement not later than the immediately following Business Day. Each such payment shall be made to the Issuing Lender at its address for notices referred to herein in Dollars and in immediately available funds; provided that the Borrower may, subject to the satisfaction of the conditions to borrowing set forth herein, request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that such payment be financed with a Revolving Loan or a Swingline Loan, as applicable, in an equivalent amount and, to the extent so financed, the Borrower’s obligations to make such payment shall be discharged and replaced by the resulting Revolving Loan or Swingline Loan.</w:t>
      </w:r>
    </w:p>
    <w:p>
      <w:pPr>
        <w:spacing w:after="0" w:line="168" w:lineRule="exact"/>
        <w:rPr>
          <w:rFonts w:ascii="Arial" w:cs="Arial" w:eastAsia="Arial" w:hAnsi="Arial"/>
          <w:sz w:val="18"/>
          <w:szCs w:val="18"/>
          <w:color w:val="auto"/>
        </w:rPr>
      </w:pPr>
    </w:p>
    <w:p>
      <w:pPr>
        <w:jc w:val="both"/>
        <w:ind w:firstLine="1304"/>
        <w:spacing w:after="0" w:line="268" w:lineRule="auto"/>
        <w:tabs>
          <w:tab w:leader="none" w:pos="1944"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If the Issuing Lender shall not have received from the Borrower the payment that it is required to make pursuant to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with respect to a Letter of Credit within the time specified in such Section, the Issuing Lender will promptly notify the Administrative Agent of the L/C Disbursement and the Administrative Agent will promptly notify each L/C Lender of such L/C Disbursement and its L/C Percentage thereof, and each L/C Lender shall pay to the Issuing Lender upon demand at the Issuing Lender’s address for notices specified herein an amount equal to such L/C Lender’s L/C Percentage of such L/C Disbursement (and the Administrative Agent may apply Cash Collateral provided for this purpose); upon such payment pursuant to this paragraph to reimburse the Issuing Lender for any L/C Disbursement, the Borrower shall be required to reimburse the L/C Lenders for such payments (including interest accrued thereon from the date of such payment until the date of such reimbursement at the rate applicable to Revolving Loans that are ABR Loans plus 2.00% per annum) on demand;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the time of and after giving effect to such payment by the L/C Lenders, the conditions to borrowings and Revolving Loan Conversions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are satisfied, the Borrower may, by written notice to the Administrative Agent certifying that such conditions are satisfied and that all interest owing under this paragraph has been paid, request that such payments by the L/C Lenders be converted into Revolving Loans (a “</w:t>
      </w:r>
      <w:r>
        <w:rPr>
          <w:rFonts w:ascii="Arial" w:cs="Arial" w:eastAsia="Arial" w:hAnsi="Arial"/>
          <w:sz w:val="18"/>
          <w:szCs w:val="18"/>
          <w:b w:val="1"/>
          <w:bCs w:val="1"/>
          <w:i w:val="1"/>
          <w:iCs w:val="1"/>
          <w:color w:val="auto"/>
        </w:rPr>
        <w:t>Revolving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Loan Conversion</w:t>
      </w:r>
      <w:r>
        <w:rPr>
          <w:rFonts w:ascii="Arial" w:cs="Arial" w:eastAsia="Arial" w:hAnsi="Arial"/>
          <w:sz w:val="18"/>
          <w:szCs w:val="18"/>
          <w:color w:val="auto"/>
        </w:rPr>
        <w:t>”), in which case, if such conditions are in fact satisfied, the L/C Lenders shall be deemed to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extended, and the Borrower shall be deemed to have accepted, a Revolving Loan in the aggregate principal amount of such payment without further action on the part of any party, and the Total L/C Commitments shall be permanently reduced by such amount; any amount so paid pursuant to this paragraph shall, on and after the payment date thereof, be deemed to be Revolving Loans for all purposes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Issuing Lender, at its option, may effectuate a Revolving Loan Conversion regardless of whether the conditions to borrowings and Revolving Loan Conversions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are satisfied.</w:t>
      </w:r>
    </w:p>
    <w:p>
      <w:pPr>
        <w:spacing w:after="0" w:line="17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3.6 Obligations Absolute</w:t>
      </w:r>
      <w:r>
        <w:rPr>
          <w:rFonts w:ascii="Arial" w:cs="Arial" w:eastAsia="Arial" w:hAnsi="Arial"/>
          <w:sz w:val="20"/>
          <w:szCs w:val="20"/>
          <w:color w:val="auto"/>
        </w:rPr>
        <w:t>. The Borrower’s obligations under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3</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absolute and unconditional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under any and all circumstances and irrespective of any setoff, counterclaim or defense to payment that the Borrower may have or have had against the Issuing Lender, any beneficiary of a Letter of Credit or any other Person. The Borrower also agrees with the Issuing Lender that the Issuing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9" w:name="page100"/>
    <w:bookmarkEnd w:id="99"/>
    <w:p>
      <w:pPr>
        <w:jc w:val="both"/>
        <w:spacing w:after="0" w:line="271" w:lineRule="auto"/>
        <w:rPr>
          <w:sz w:val="20"/>
          <w:szCs w:val="20"/>
          <w:color w:val="auto"/>
        </w:rPr>
      </w:pPr>
      <w:r>
        <w:rPr>
          <w:rFonts w:ascii="Arial" w:cs="Arial" w:eastAsia="Arial" w:hAnsi="Arial"/>
          <w:sz w:val="18"/>
          <w:szCs w:val="18"/>
          <w:color w:val="auto"/>
        </w:rPr>
        <w:t>shall not be responsible for, and the Borrower’s obligations hereunder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The Issuing Lender shall not be liable for any error, omission, interruption or delay in transmission, dispatch or delivery of any message or advice, however transmitted, in connection with any Letter of Credit, except for errors or omissions found by a final and nonappealable decision of a court of competent jurisdiction to have resulted from the gross negligence or willful misconduct of the Issuing Lender. The Borrower agrees that any action taken or omitted by the Issuing Lender under or in connection with any Letter of Credit or the related drafts or documents, if done in the absence of gross negligence or willful misconduct, shall be binding on the Borrower and shall not result in any liability of the Issuing Lender to the Borrower.</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In addition to amounts payable as elsewhere provided in the Agreement, the Borrower hereby agrees to pay and to protect, indemnify, and save Issuing Lender harmless from and against any and all claims, demands, liabilities, damages, losses, costs, charges and expenses (including reasonable attorneys’ fees) that the Issuing Lender may incur or be subject to as a consequence, direct or indirect, of (A) the issuance of any Letter of Credit, or (B) the failure of Issuing Lender or of any L/C Lender to honor a demand for payment under any Letter of Credit as a result of any act or omission, whether rightful or wrongful, of any present or future de jure or de facto government or Governmental Authority, in each case other than to the extent solely as a result of the gross negligence or willful misconduct of Issuing Lender or such L/C Lender (as finally determined by a court of competent jurisdiction).</w:t>
      </w:r>
    </w:p>
    <w:p>
      <w:pPr>
        <w:spacing w:after="0" w:line="17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3.7 Letter of Credit Payments</w:t>
      </w:r>
      <w:r>
        <w:rPr>
          <w:rFonts w:ascii="Arial" w:cs="Arial" w:eastAsia="Arial" w:hAnsi="Arial"/>
          <w:sz w:val="20"/>
          <w:szCs w:val="20"/>
          <w:color w:val="auto"/>
        </w:rPr>
        <w:t>. If any draft shall be presented for payment under any Letter of Credit, the</w:t>
      </w:r>
      <w:r>
        <w:rPr>
          <w:rFonts w:ascii="Arial" w:cs="Arial" w:eastAsia="Arial" w:hAnsi="Arial"/>
          <w:sz w:val="20"/>
          <w:szCs w:val="20"/>
          <w:b w:val="1"/>
          <w:bCs w:val="1"/>
          <w:color w:val="auto"/>
        </w:rPr>
        <w:t xml:space="preserve"> </w:t>
      </w:r>
      <w:r>
        <w:rPr>
          <w:rFonts w:ascii="Arial" w:cs="Arial" w:eastAsia="Arial" w:hAnsi="Arial"/>
          <w:sz w:val="20"/>
          <w:szCs w:val="20"/>
          <w:color w:val="auto"/>
        </w:rPr>
        <w:t>Issuing Lender shall promptly notify the Borrower and the Administrative Agent of the date and amount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3.8 Applications</w:t>
      </w:r>
      <w:r>
        <w:rPr>
          <w:rFonts w:ascii="Arial" w:cs="Arial" w:eastAsia="Arial" w:hAnsi="Arial"/>
          <w:sz w:val="20"/>
          <w:szCs w:val="20"/>
          <w:color w:val="auto"/>
        </w:rPr>
        <w:t>. To the extent that any provision of any Application related to any Letter of Credit 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inconsistent with the provisions of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the provisions of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shall apply.</w:t>
      </w:r>
    </w:p>
    <w:p>
      <w:pPr>
        <w:spacing w:after="0" w:line="1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3.9 Interim Interest</w:t>
      </w:r>
      <w:r>
        <w:rPr>
          <w:rFonts w:ascii="Arial" w:cs="Arial" w:eastAsia="Arial" w:hAnsi="Arial"/>
          <w:sz w:val="19"/>
          <w:szCs w:val="19"/>
          <w:color w:val="auto"/>
        </w:rPr>
        <w:t>. If the Issuing Lender shall make any L/C Disbursement in respect of a Letter of Credit,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then, unless either the Borrower shall have reimbursed such L/C Disbursement in full within the time period specified in </w:t>
      </w:r>
      <w:r>
        <w:rPr>
          <w:rFonts w:ascii="Arial" w:cs="Arial" w:eastAsia="Arial" w:hAnsi="Arial"/>
          <w:sz w:val="19"/>
          <w:szCs w:val="19"/>
          <w:u w:val="single" w:color="auto"/>
          <w:color w:val="auto"/>
        </w:rPr>
        <w:t>Section 3.5(a)</w:t>
      </w:r>
      <w:r>
        <w:rPr>
          <w:rFonts w:ascii="Arial" w:cs="Arial" w:eastAsia="Arial" w:hAnsi="Arial"/>
          <w:sz w:val="19"/>
          <w:szCs w:val="19"/>
          <w:color w:val="auto"/>
        </w:rPr>
        <w:t xml:space="preserve"> or the L/C Lenders shall have reimbursed such L/C Disbursement in full on such date as provided in </w:t>
      </w:r>
      <w:r>
        <w:rPr>
          <w:rFonts w:ascii="Arial" w:cs="Arial" w:eastAsia="Arial" w:hAnsi="Arial"/>
          <w:sz w:val="19"/>
          <w:szCs w:val="19"/>
          <w:u w:val="single" w:color="auto"/>
          <w:color w:val="auto"/>
        </w:rPr>
        <w:t>Section 3.5(b)</w:t>
      </w:r>
      <w:r>
        <w:rPr>
          <w:rFonts w:ascii="Arial" w:cs="Arial" w:eastAsia="Arial" w:hAnsi="Arial"/>
          <w:sz w:val="19"/>
          <w:szCs w:val="19"/>
          <w:color w:val="auto"/>
        </w:rPr>
        <w:t xml:space="preserve">, in each case the unpaid amount thereof shall bear interest for the account of the Issuing Lender, for each day from and including the date of such L/C Disbursement to but excluding the date of payment by the Borrower, at the rate per annum that would apply to such amount if such amount were a Revolving Loan that is an ABR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provisions of </w:t>
      </w:r>
      <w:r>
        <w:rPr>
          <w:rFonts w:ascii="Arial" w:cs="Arial" w:eastAsia="Arial" w:hAnsi="Arial"/>
          <w:sz w:val="19"/>
          <w:szCs w:val="19"/>
          <w:u w:val="single" w:color="auto"/>
          <w:color w:val="auto"/>
        </w:rPr>
        <w:t>Section 2.15(c)</w:t>
      </w:r>
      <w:r>
        <w:rPr>
          <w:rFonts w:ascii="Arial" w:cs="Arial" w:eastAsia="Arial" w:hAnsi="Arial"/>
          <w:sz w:val="19"/>
          <w:szCs w:val="19"/>
          <w:color w:val="auto"/>
        </w:rPr>
        <w:t xml:space="preserve"> shall be applicable to any such amounts not paid when due.</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3.10</w:t>
      </w:r>
      <w:r>
        <w:rPr>
          <w:sz w:val="20"/>
          <w:szCs w:val="20"/>
          <w:color w:val="auto"/>
        </w:rPr>
        <w:tab/>
      </w:r>
      <w:r>
        <w:rPr>
          <w:rFonts w:ascii="Arial" w:cs="Arial" w:eastAsia="Arial" w:hAnsi="Arial"/>
          <w:sz w:val="18"/>
          <w:szCs w:val="18"/>
          <w:b w:val="1"/>
          <w:bCs w:val="1"/>
          <w:color w:val="auto"/>
        </w:rPr>
        <w:t>Cash Collateral</w:t>
      </w:r>
      <w:r>
        <w:rPr>
          <w:rFonts w:ascii="Arial" w:cs="Arial" w:eastAsia="Arial" w:hAnsi="Arial"/>
          <w:sz w:val="18"/>
          <w:szCs w:val="18"/>
          <w:color w:val="auto"/>
        </w:rPr>
        <w:t>.</w:t>
      </w:r>
    </w:p>
    <w:p>
      <w:pPr>
        <w:spacing w:after="0" w:line="222" w:lineRule="exact"/>
        <w:rPr>
          <w:sz w:val="20"/>
          <w:szCs w:val="20"/>
          <w:color w:val="auto"/>
        </w:rPr>
      </w:pPr>
    </w:p>
    <w:p>
      <w:pPr>
        <w:ind w:left="1960" w:hanging="656"/>
        <w:spacing w:after="0"/>
        <w:tabs>
          <w:tab w:leader="none" w:pos="196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Upon the request of the Administrative Agent or the Issuing Lender</w:t>
      </w:r>
    </w:p>
    <w:p>
      <w:pPr>
        <w:spacing w:after="0" w:line="38" w:lineRule="exact"/>
        <w:rPr>
          <w:rFonts w:ascii="Arial" w:cs="Arial" w:eastAsia="Arial" w:hAnsi="Arial"/>
          <w:sz w:val="18"/>
          <w:szCs w:val="18"/>
          <w:color w:val="auto"/>
        </w:rPr>
      </w:pPr>
    </w:p>
    <w:p>
      <w:pPr>
        <w:jc w:val="both"/>
        <w:ind w:firstLine="8"/>
        <w:spacing w:after="0" w:line="241" w:lineRule="auto"/>
        <w:tabs>
          <w:tab w:leader="none" w:pos="255"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if the Issuing Lender has honored any full or partial drawing request under any Letter of Credit and such drawing has resulted in an L/C Advance by all the L/C Lenders that is not reimbursed by the Borrower or converted into a Revolving Loan or Swingline Loan pursuant to </w:t>
      </w:r>
      <w:r>
        <w:rPr>
          <w:rFonts w:ascii="Arial" w:cs="Arial" w:eastAsia="Arial" w:hAnsi="Arial"/>
          <w:sz w:val="20"/>
          <w:szCs w:val="20"/>
          <w:u w:val="single" w:color="auto"/>
          <w:color w:val="auto"/>
        </w:rPr>
        <w:t>Section 3.5(b)</w:t>
      </w:r>
      <w:r>
        <w:rPr>
          <w:rFonts w:ascii="Arial" w:cs="Arial" w:eastAsia="Arial" w:hAnsi="Arial"/>
          <w:sz w:val="20"/>
          <w:szCs w:val="20"/>
          <w:color w:val="auto"/>
        </w:rPr>
        <w:t>, or (ii) if, as of the Letter of Credit Maturity Date, any L/C Exposure for any reason remains outstanding,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00" w:name="page101"/>
    <w:bookmarkEnd w:id="100"/>
    <w:p>
      <w:pPr>
        <w:jc w:val="both"/>
        <w:spacing w:after="0" w:line="260" w:lineRule="auto"/>
        <w:rPr>
          <w:sz w:val="20"/>
          <w:szCs w:val="20"/>
          <w:color w:val="auto"/>
        </w:rPr>
      </w:pPr>
      <w:r>
        <w:rPr>
          <w:rFonts w:ascii="Arial" w:cs="Arial" w:eastAsia="Arial" w:hAnsi="Arial"/>
          <w:sz w:val="20"/>
          <w:szCs w:val="20"/>
          <w:color w:val="auto"/>
        </w:rPr>
        <w:t>Borrower shall, in each case, immediately Cash Collateralize the then effective L/C Exposure in an amount equal to 105% of such L/C Exposure.</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At any time that there shall exist a Defaulting Lender, within one (1) Business Day following the request of the Administrative Agent or the Issuing Lender (with a copy to the Administrative Agent), the Borrower shall deliver to the Administrative Agent Cash Collateral in an amount sufficient to cover 105% of the Fronting Exposure relating to the Letters of Credit (after giving effect to </w:t>
      </w:r>
      <w:r>
        <w:rPr>
          <w:rFonts w:ascii="Arial" w:cs="Arial" w:eastAsia="Arial" w:hAnsi="Arial"/>
          <w:sz w:val="18"/>
          <w:szCs w:val="18"/>
          <w:u w:val="single" w:color="auto"/>
          <w:color w:val="auto"/>
        </w:rPr>
        <w:t>Section 2.24(a)(iv)</w:t>
      </w:r>
      <w:r>
        <w:rPr>
          <w:rFonts w:ascii="Arial" w:cs="Arial" w:eastAsia="Arial" w:hAnsi="Arial"/>
          <w:sz w:val="18"/>
          <w:szCs w:val="18"/>
          <w:color w:val="auto"/>
        </w:rPr>
        <w:t xml:space="preserve"> and any Cash Collateral provided by such Defaulting Lender).</w:t>
      </w:r>
    </w:p>
    <w:p>
      <w:pPr>
        <w:spacing w:after="0" w:line="161" w:lineRule="exact"/>
        <w:rPr>
          <w:sz w:val="20"/>
          <w:szCs w:val="20"/>
          <w:color w:val="auto"/>
        </w:rPr>
      </w:pPr>
    </w:p>
    <w:p>
      <w:pPr>
        <w:jc w:val="both"/>
        <w:ind w:firstLine="1304"/>
        <w:spacing w:after="0" w:line="270" w:lineRule="auto"/>
        <w:tabs>
          <w:tab w:leader="none" w:pos="1944"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xml:space="preserve">. All Cash Collateral (other than credit support not constituting funds subject to deposit) shall be maintained in blocked, non-interest bearing deposit accounts with the Administrative Agent. The Borrower, and to the extent provided by any Lender or Defaulting Lender, such Lender or Defaulting Lender, hereby grants to (and subjects to the control of) the Administrative Agent, for the benefit of the Administrative Agent, the Issuing Lender and the L/C Lenders, and agrees to maintain, a first priority security interest and Lien in all such Cash Collateral and in all proceeds thereof, as security for the Obligations to which such Cash Collateral may be applied pursuant to </w:t>
      </w:r>
      <w:r>
        <w:rPr>
          <w:rFonts w:ascii="Arial" w:cs="Arial" w:eastAsia="Arial" w:hAnsi="Arial"/>
          <w:sz w:val="18"/>
          <w:szCs w:val="18"/>
          <w:u w:val="single" w:color="auto"/>
          <w:color w:val="auto"/>
        </w:rPr>
        <w:t>Section 3.10(c)</w:t>
      </w:r>
      <w:r>
        <w:rPr>
          <w:rFonts w:ascii="Arial" w:cs="Arial" w:eastAsia="Arial" w:hAnsi="Arial"/>
          <w:sz w:val="18"/>
          <w:szCs w:val="18"/>
          <w:color w:val="auto"/>
        </w:rPr>
        <w:t>. If at any time the Administrative Agent determines that Cash Collateral is subject to any right or claim of any Person other than the Administrative Agent or any Issuing Lender as herein provided, or that the total amount of such Cash Collateral is less than 105% of the applicable L/C Exposure, Fronting Exposure and other Obligations secured thereby, the Borrower or the relevant Lender or Defaulting Lender, as applicable, will, promptly upon demand by the Administrative Agent, pay or provide to the Administrative Agent additional Cash Collateral in an amount sufficient to eliminate such deficiency (after giving effect to any Cash Collateral provided by such Defaulting Lender).</w:t>
      </w:r>
    </w:p>
    <w:p>
      <w:pPr>
        <w:spacing w:after="0" w:line="175" w:lineRule="exact"/>
        <w:rPr>
          <w:rFonts w:ascii="Arial" w:cs="Arial" w:eastAsia="Arial" w:hAnsi="Arial"/>
          <w:sz w:val="18"/>
          <w:szCs w:val="18"/>
          <w:color w:val="auto"/>
        </w:rPr>
      </w:pPr>
    </w:p>
    <w:p>
      <w:pPr>
        <w:jc w:val="both"/>
        <w:ind w:firstLine="1304"/>
        <w:spacing w:after="0" w:line="278" w:lineRule="auto"/>
        <w:tabs>
          <w:tab w:leader="none" w:pos="1944"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any of this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or otherwise in respect of Letters of Credit shall be held and applied to the satisfaction of the specific L/C Exposure,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64" w:lineRule="exact"/>
        <w:rPr>
          <w:rFonts w:ascii="Arial" w:cs="Arial" w:eastAsia="Arial" w:hAnsi="Arial"/>
          <w:sz w:val="18"/>
          <w:szCs w:val="18"/>
          <w:color w:val="auto"/>
        </w:rPr>
      </w:pPr>
    </w:p>
    <w:p>
      <w:pPr>
        <w:jc w:val="both"/>
        <w:ind w:firstLine="1304"/>
        <w:spacing w:after="0" w:line="270" w:lineRule="auto"/>
        <w:tabs>
          <w:tab w:leader="none" w:pos="1944"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Termination of Requirement</w:t>
      </w:r>
      <w:r>
        <w:rPr>
          <w:rFonts w:ascii="Arial" w:cs="Arial" w:eastAsia="Arial" w:hAnsi="Arial"/>
          <w:sz w:val="18"/>
          <w:szCs w:val="18"/>
          <w:color w:val="auto"/>
        </w:rPr>
        <w:t xml:space="preserve">. Cash Collateral (or the appropriate portion thereof) provided to reduce Fronting Exposure in respect of Letters of Credit or other Obligations shall no longer be required to be held as Cash Collateral pursuant to this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following (i) the elimination of the applicable Fronting Exposure and other Obligations giving rise thereto (including by the termination of the Defaulting Lender status of the applicable Lender), or</w:t>
      </w:r>
    </w:p>
    <w:p>
      <w:pPr>
        <w:spacing w:after="0" w:line="2" w:lineRule="exact"/>
        <w:rPr>
          <w:rFonts w:ascii="Arial" w:cs="Arial" w:eastAsia="Arial" w:hAnsi="Arial"/>
          <w:sz w:val="18"/>
          <w:szCs w:val="18"/>
          <w:color w:val="auto"/>
        </w:rPr>
      </w:pPr>
    </w:p>
    <w:p>
      <w:pPr>
        <w:jc w:val="both"/>
        <w:ind w:firstLine="8"/>
        <w:spacing w:after="0" w:line="271" w:lineRule="auto"/>
        <w:tabs>
          <w:tab w:leader="none" w:pos="3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 determination by the Administrative Agent and the Issuing Lender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(A) that Cash Collateral furnished by or on behalf of a Loan Party shall not be released during the existence of an Event of Default, and (B) that, subject to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the Person providing such Cash Collateral and the Issuing Lender may agree that such Cash Collateral shall not be released but instead shall be held to support future anticipated Fronting Exposure or other obligations,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to the extent that such Cash Collateral was provided by the Borrower or any other Loan Party, such Cash Collateral shall remain subject to any security interest and Lien granted pursuant to the Loan Documents including any applicable Cash Management Agreement.</w:t>
      </w:r>
    </w:p>
    <w:p>
      <w:pPr>
        <w:spacing w:after="0" w:line="16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3.11 Additional Issuing Lenders</w:t>
      </w:r>
      <w:r>
        <w:rPr>
          <w:rFonts w:ascii="Arial" w:cs="Arial" w:eastAsia="Arial" w:hAnsi="Arial"/>
          <w:sz w:val="20"/>
          <w:szCs w:val="20"/>
          <w:color w:val="auto"/>
        </w:rPr>
        <w:t>. The Borrower may, at any time and from time to time with the consent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Administrative Agent (which consent shall not be unreasonably withheld) and such Lender, designate one or more additional Lenders to act as an issuing bank under the terms of this Agreement. Any Lender designated as an issuing bank pursuant to this paragraph shall be deemed to be an “</w:t>
      </w:r>
      <w:r>
        <w:rPr>
          <w:rFonts w:ascii="Arial" w:cs="Arial" w:eastAsia="Arial" w:hAnsi="Arial"/>
          <w:sz w:val="20"/>
          <w:szCs w:val="20"/>
          <w:b w:val="1"/>
          <w:bCs w:val="1"/>
          <w:i w:val="1"/>
          <w:iCs w:val="1"/>
          <w:color w:val="auto"/>
        </w:rPr>
        <w:t>Issuing Lender</w:t>
      </w:r>
      <w:r>
        <w:rPr>
          <w:rFonts w:ascii="Arial" w:cs="Arial" w:eastAsia="Arial" w:hAnsi="Arial"/>
          <w:sz w:val="20"/>
          <w:szCs w:val="20"/>
          <w:color w:val="auto"/>
        </w:rPr>
        <w:t>” (in addition to being a Lender) in respect of Letters of Credit issued or to be issued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01" w:name="page102"/>
    <w:bookmarkEnd w:id="101"/>
    <w:p>
      <w:pPr>
        <w:jc w:val="both"/>
        <w:spacing w:after="0" w:line="260" w:lineRule="auto"/>
        <w:rPr>
          <w:sz w:val="20"/>
          <w:szCs w:val="20"/>
          <w:color w:val="auto"/>
        </w:rPr>
      </w:pPr>
      <w:r>
        <w:rPr>
          <w:rFonts w:ascii="Arial" w:cs="Arial" w:eastAsia="Arial" w:hAnsi="Arial"/>
          <w:sz w:val="20"/>
          <w:szCs w:val="20"/>
          <w:color w:val="auto"/>
        </w:rPr>
        <w:t>such Lender, and, with respect to such Letters of Credit, such term shall thereafter apply to the other Issuing Lender and such Lender.</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color w:val="auto"/>
        </w:rPr>
        <w:t>3.12 Resignation of the Issuing Lender</w:t>
      </w:r>
      <w:r>
        <w:rPr>
          <w:rFonts w:ascii="Arial" w:cs="Arial" w:eastAsia="Arial" w:hAnsi="Arial"/>
          <w:sz w:val="19"/>
          <w:szCs w:val="19"/>
          <w:color w:val="auto"/>
        </w:rPr>
        <w:t>. The Issuing Lender may resign at any time by giving at least 30 days’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prior written notice to the Administrative Agent, the Lenders and the Borrower. Subject to the next succeeding paragraph, upon the acceptance of any appointment as the Issuing Lender hereunder by a Lender that shall agree to serve as successor Issuing Lender, such successor shall succeed to and become vested with all the interests, rights and obligations of the retiring Issuing Lender and the retiring Issuing Lender shall be discharged from its obligations to issue additional Letters of Credit hereunder without affecting its rights and obligations with respect to Letters of Credit previously issued by it. At the time such resignation shall become effective, the Borrower shall pay all accrued and unpaid fees pursuant to </w:t>
      </w:r>
      <w:r>
        <w:rPr>
          <w:rFonts w:ascii="Arial" w:cs="Arial" w:eastAsia="Arial" w:hAnsi="Arial"/>
          <w:sz w:val="19"/>
          <w:szCs w:val="19"/>
          <w:u w:val="single" w:color="auto"/>
          <w:color w:val="auto"/>
        </w:rPr>
        <w:t>Section 3.3</w:t>
      </w:r>
      <w:r>
        <w:rPr>
          <w:rFonts w:ascii="Arial" w:cs="Arial" w:eastAsia="Arial" w:hAnsi="Arial"/>
          <w:sz w:val="19"/>
          <w:szCs w:val="19"/>
          <w:color w:val="auto"/>
        </w:rPr>
        <w:t>. The acceptance of any appointment as the Issuing Lender hereunder by a successor Lender shall be evidenced by an agreement entered into by such successor, in a form satisfactory to the Borrower and the Administrative Agent, and, from and after the effective date of such agreement, (i) such successor Lender shall have all the rights and obligations of the previous Issuing Lender under this Agreement and the other Loan Documents and (ii) references herein and in the other Loan Documents to the term “Issuing Lender” shall be deemed to refer to such successor or to any previous Issuing Lender, or to such successor and all previous Issuing Lenders, as the context shall require. After the resignation of the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renew or increase any existing Letter of Credit.</w:t>
      </w:r>
    </w:p>
    <w:p>
      <w:pPr>
        <w:spacing w:after="0" w:line="18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b w:val="1"/>
          <w:bCs w:val="1"/>
          <w:color w:val="auto"/>
        </w:rPr>
        <w:t>3.13 Applicability of UCP and ISP</w:t>
      </w:r>
      <w:r>
        <w:rPr>
          <w:rFonts w:ascii="Arial" w:cs="Arial" w:eastAsia="Arial" w:hAnsi="Arial"/>
          <w:sz w:val="18"/>
          <w:szCs w:val="18"/>
          <w:color w:val="auto"/>
        </w:rPr>
        <w:t>. Unless otherwise expressly agreed by the Issuing Lender and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when a Letter of Credit is issued and subject to applicable laws, the Letters of Credit shall be governed by and subject to</w:t>
      </w:r>
    </w:p>
    <w:p>
      <w:pPr>
        <w:spacing w:after="0" w:line="1" w:lineRule="exact"/>
        <w:rPr>
          <w:sz w:val="20"/>
          <w:szCs w:val="20"/>
          <w:color w:val="auto"/>
        </w:rPr>
      </w:pPr>
    </w:p>
    <w:p>
      <w:pPr>
        <w:jc w:val="both"/>
        <w:ind w:firstLine="8"/>
        <w:spacing w:after="0" w:line="241" w:lineRule="auto"/>
        <w:tabs>
          <w:tab w:leader="none" w:pos="283" w:val="left"/>
        </w:tabs>
        <w:numPr>
          <w:ilvl w:val="0"/>
          <w:numId w:val="84"/>
        </w:numPr>
        <w:rPr>
          <w:rFonts w:ascii="Arial" w:cs="Arial" w:eastAsia="Arial" w:hAnsi="Arial"/>
          <w:sz w:val="20"/>
          <w:szCs w:val="20"/>
          <w:color w:val="auto"/>
        </w:rPr>
      </w:pPr>
      <w:r>
        <w:rPr>
          <w:rFonts w:ascii="Arial" w:cs="Arial" w:eastAsia="Arial" w:hAnsi="Arial"/>
          <w:sz w:val="20"/>
          <w:szCs w:val="20"/>
          <w:color w:val="auto"/>
        </w:rPr>
        <w:t>with respect to standby Letters of Credit, the rules of the ISP, and (b) with respect to commercial Letters of Credit, the rules of the Uniform Customs and Practice for Documentary Credits, as published in its most recent version by the International Chamber of Commerce on the date any commercial Letter of Credit is issued.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To induce the Administrative Agent and the Lenders to enter into this Agreement and to make the Loans and issue the Letters of Credit, the Borrower hereby represents and warrants to the Administrative Agent and each Lender, as to itself and each of its Subsidiaries, that: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8"/>
          <w:szCs w:val="18"/>
          <w:b w:val="1"/>
          <w:bCs w:val="1"/>
          <w:color w:val="auto"/>
        </w:rPr>
        <w:t>Financial Condition</w:t>
      </w:r>
      <w:r>
        <w:rPr>
          <w:rFonts w:ascii="Arial" w:cs="Arial" w:eastAsia="Arial" w:hAnsi="Arial"/>
          <w:sz w:val="18"/>
          <w:szCs w:val="18"/>
          <w:color w:val="auto"/>
        </w:rPr>
        <w:t>.</w:t>
      </w:r>
    </w:p>
    <w:p>
      <w:pPr>
        <w:spacing w:after="0" w:line="222" w:lineRule="exact"/>
        <w:rPr>
          <w:sz w:val="20"/>
          <w:szCs w:val="20"/>
          <w:color w:val="auto"/>
        </w:rPr>
      </w:pPr>
    </w:p>
    <w:p>
      <w:pPr>
        <w:ind w:left="1960" w:hanging="656"/>
        <w:spacing w:after="0"/>
        <w:tabs>
          <w:tab w:leader="none" w:pos="19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1304"/>
        <w:spacing w:after="0" w:line="256" w:lineRule="auto"/>
        <w:tabs>
          <w:tab w:leader="none" w:pos="1944"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audited consolidated balance sheets of the Group Members as of December 31, 2017, December 31, 2018, and December 31, 2019 and the related consolidated statements of income and of cash flows for the fiscal years ended on such dates, present fairly in all material respects the consolidated financial condition of the Group Members as at such date, and the consolidated results of its operations and its consolidated cash flows for the respective fiscal years then ended. The unaudited consolidated balance sheet of the Group Members as at March 31, 2020, and the related unaudited consolidated statements of income and cash flows for the three month period ended on such date, present fairly in all material respects the consolidated financial condition of the Group Members as at such date, and the consolidated results of its operations and its consolidated cash flows for the trailing three month period then ended (subject to normal year end audit adjustments). All such financial statements,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02" w:name="page103"/>
    <w:bookmarkEnd w:id="102"/>
    <w:p>
      <w:pPr>
        <w:jc w:val="both"/>
        <w:spacing w:after="0" w:line="274" w:lineRule="auto"/>
        <w:rPr>
          <w:sz w:val="20"/>
          <w:szCs w:val="20"/>
          <w:color w:val="auto"/>
        </w:rPr>
      </w:pPr>
      <w:r>
        <w:rPr>
          <w:rFonts w:ascii="Arial" w:cs="Arial" w:eastAsia="Arial" w:hAnsi="Arial"/>
          <w:sz w:val="18"/>
          <w:szCs w:val="18"/>
          <w:color w:val="auto"/>
        </w:rPr>
        <w:t>the related schedules and notes thereto, have been prepared in accordance with GAAP applied consistently throughout the periods involved (except as approved by the aforementioned firm of accountants and disclosed therein). No Group Member has, as of the Closing Date, any material Guarantee Obligations, contingent liabilities and past due liabilities for taxes, or any long term leases or unusual forward or long term commitments, including any interest rate or foreign currency swap or exchange transaction or other obligation in respect of derivatives, that are not reflected in the most recent financial statements referred to in this paragraph. During the period from January 1, 2020 to and including the Closing Date, there has been no Disposition by any Group Member of any material part of its business or property.</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4.2 No Change</w:t>
      </w:r>
      <w:r>
        <w:rPr>
          <w:rFonts w:ascii="Arial" w:cs="Arial" w:eastAsia="Arial" w:hAnsi="Arial"/>
          <w:sz w:val="20"/>
          <w:szCs w:val="20"/>
          <w:color w:val="auto"/>
        </w:rPr>
        <w:t>. Since December 31, 2019, there has been no development or event that has had or could</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reasonably be expected to have a Material Adverse Effect.</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4.3 Existence; Compliance with Law</w:t>
      </w:r>
      <w:r>
        <w:rPr>
          <w:rFonts w:ascii="Arial" w:cs="Arial" w:eastAsia="Arial" w:hAnsi="Arial"/>
          <w:sz w:val="19"/>
          <w:szCs w:val="19"/>
          <w:color w:val="auto"/>
        </w:rPr>
        <w:t>. Each Group Member (a) is duly organized, validly existing and in good</w:t>
      </w:r>
      <w:r>
        <w:rPr>
          <w:rFonts w:ascii="Arial" w:cs="Arial" w:eastAsia="Arial" w:hAnsi="Arial"/>
          <w:sz w:val="19"/>
          <w:szCs w:val="19"/>
          <w:b w:val="1"/>
          <w:bCs w:val="1"/>
          <w:color w:val="auto"/>
        </w:rPr>
        <w:t xml:space="preserve"> </w:t>
      </w:r>
      <w:r>
        <w:rPr>
          <w:rFonts w:ascii="Arial" w:cs="Arial" w:eastAsia="Arial" w:hAnsi="Arial"/>
          <w:sz w:val="19"/>
          <w:szCs w:val="19"/>
          <w:color w:val="auto"/>
        </w:rPr>
        <w:t>standing (if applicable)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in good standing (if applicable) under the laws of each jurisdiction where the failure to be so qualified or in good standing could reasonably be expected to have a Material Adverse Effect and (d) is in material compliance with all Requirements of Law except in such instances in which (i) such Requirement of Law is being contested in good faith by appropriate proceedings diligently conducted and the prosecution of such contest would not reasonably be expected to result in a Material Adverse Effect, or (ii) the failure to comply therewith, either individually or in the aggregate, would not reasonably be expected to have a Material Adverse Effect.</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color w:val="auto"/>
        </w:rPr>
        <w:t>4.4 Power, Authorization; Enforceable Obligations</w:t>
      </w:r>
      <w:r>
        <w:rPr>
          <w:rFonts w:ascii="Arial" w:cs="Arial" w:eastAsia="Arial" w:hAnsi="Arial"/>
          <w:sz w:val="19"/>
          <w:szCs w:val="19"/>
          <w:color w:val="auto"/>
        </w:rPr>
        <w:t>. Each Loan Party has the power and authority,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material Governmental Approval or consent or authorization of, filing with, notice to or other act by or in respect of, any other Person is required in connection with the extensions of credit hereunder or with the execution, delivery, performance, validity or enforceability of this Agreement or any of the Loan Documents, except (i) Governmental Approvals, consents, authorizations, filings and notices described on </w:t>
      </w:r>
      <w:r>
        <w:rPr>
          <w:rFonts w:ascii="Arial" w:cs="Arial" w:eastAsia="Arial" w:hAnsi="Arial"/>
          <w:sz w:val="19"/>
          <w:szCs w:val="19"/>
          <w:u w:val="single" w:color="auto"/>
          <w:color w:val="auto"/>
        </w:rPr>
        <w:t>Schedule 4.4</w:t>
      </w:r>
      <w:r>
        <w:rPr>
          <w:rFonts w:ascii="Arial" w:cs="Arial" w:eastAsia="Arial" w:hAnsi="Arial"/>
          <w:sz w:val="19"/>
          <w:szCs w:val="19"/>
          <w:color w:val="auto"/>
        </w:rPr>
        <w:t xml:space="preserve"> to the Disclosure Letter, which Governmental Approvals, consents, authorizations, filings and notices have been obtained or made and are in full force and effect, and (ii) the filings referred to in </w:t>
      </w:r>
      <w:r>
        <w:rPr>
          <w:rFonts w:ascii="Arial" w:cs="Arial" w:eastAsia="Arial" w:hAnsi="Arial"/>
          <w:sz w:val="19"/>
          <w:szCs w:val="19"/>
          <w:u w:val="single" w:color="auto"/>
          <w:color w:val="auto"/>
        </w:rPr>
        <w:t>Section 4.19</w:t>
      </w:r>
      <w:r>
        <w:rPr>
          <w:rFonts w:ascii="Arial" w:cs="Arial" w:eastAsia="Arial" w:hAnsi="Arial"/>
          <w:sz w:val="19"/>
          <w:szCs w:val="19"/>
          <w:color w:val="auto"/>
        </w:rPr>
        <w: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4.5 No Legal Bar</w:t>
      </w:r>
      <w:r>
        <w:rPr>
          <w:rFonts w:ascii="Arial" w:cs="Arial" w:eastAsia="Arial" w:hAnsi="Arial"/>
          <w:sz w:val="18"/>
          <w:szCs w:val="18"/>
          <w:color w:val="auto"/>
        </w:rPr>
        <w:t>. The execution, delivery and performance of this Agreement and the other Loan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Letters of Credit, the extensions of credit hereunder and the use of the proceeds thereof will not violate any Requirement of Law or any material Contractual Obligation of any Group Member and will not result in, or require, the creation or imposition of any Lien on any of their respective properties or revenues pursuant to any Requirement of Law or any such Contractual Obligation (other than the Liens created by the Security Documents). No Group Member has violated any Requirement of Law or violated or failed to comply with any Contractual Obligation applicable to a Group Member that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03" w:name="page104"/>
    <w:bookmarkEnd w:id="103"/>
    <w:p>
      <w:pPr>
        <w:ind w:firstLine="648"/>
        <w:spacing w:after="0" w:line="278" w:lineRule="auto"/>
        <w:rPr>
          <w:sz w:val="20"/>
          <w:szCs w:val="20"/>
          <w:color w:val="auto"/>
        </w:rPr>
      </w:pPr>
      <w:r>
        <w:rPr>
          <w:rFonts w:ascii="Arial" w:cs="Arial" w:eastAsia="Arial" w:hAnsi="Arial"/>
          <w:sz w:val="18"/>
          <w:szCs w:val="18"/>
          <w:b w:val="1"/>
          <w:bCs w:val="1"/>
          <w:color w:val="auto"/>
        </w:rPr>
        <w:t>4.6 Litigation</w:t>
      </w:r>
      <w:r>
        <w:rPr>
          <w:rFonts w:ascii="Arial" w:cs="Arial" w:eastAsia="Arial" w:hAnsi="Arial"/>
          <w:sz w:val="18"/>
          <w:szCs w:val="18"/>
          <w:color w:val="auto"/>
        </w:rPr>
        <w:t>. No litigation, investigation or proceeding of or before any arbitrator or Governmental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is pending or threatened in writing by or against any Group Member or against any of their respective properties or revenues</w:t>
      </w:r>
    </w:p>
    <w:p>
      <w:pPr>
        <w:spacing w:after="0" w:line="1" w:lineRule="exact"/>
        <w:rPr>
          <w:sz w:val="20"/>
          <w:szCs w:val="20"/>
          <w:color w:val="auto"/>
        </w:rPr>
      </w:pPr>
    </w:p>
    <w:p>
      <w:pPr>
        <w:ind w:right="20" w:firstLine="8"/>
        <w:spacing w:after="0" w:line="244" w:lineRule="auto"/>
        <w:tabs>
          <w:tab w:leader="none" w:pos="281" w:val="left"/>
        </w:tabs>
        <w:numPr>
          <w:ilvl w:val="0"/>
          <w:numId w:val="86"/>
        </w:numPr>
        <w:rPr>
          <w:rFonts w:ascii="Arial" w:cs="Arial" w:eastAsia="Arial" w:hAnsi="Arial"/>
          <w:sz w:val="20"/>
          <w:szCs w:val="20"/>
          <w:color w:val="auto"/>
        </w:rPr>
      </w:pPr>
      <w:r>
        <w:rPr>
          <w:rFonts w:ascii="Arial" w:cs="Arial" w:eastAsia="Arial" w:hAnsi="Arial"/>
          <w:sz w:val="20"/>
          <w:szCs w:val="20"/>
          <w:color w:val="auto"/>
        </w:rPr>
        <w:t>with respect to any of the Loan Documents or any of the transactions contemplated hereby or thereby, or (b) that could reasonably be expected to have a Material Adverse Effect.</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4.7 No Default</w:t>
      </w:r>
      <w:r>
        <w:rPr>
          <w:rFonts w:ascii="Arial" w:cs="Arial" w:eastAsia="Arial" w:hAnsi="Arial"/>
          <w:sz w:val="19"/>
          <w:szCs w:val="19"/>
          <w:color w:val="auto"/>
        </w:rPr>
        <w:t>. No Group Member is in default under or with respect to any of its Contractual Obligations in</w:t>
      </w:r>
      <w:r>
        <w:rPr>
          <w:rFonts w:ascii="Arial" w:cs="Arial" w:eastAsia="Arial" w:hAnsi="Arial"/>
          <w:sz w:val="19"/>
          <w:szCs w:val="19"/>
          <w:b w:val="1"/>
          <w:bCs w:val="1"/>
          <w:color w:val="auto"/>
        </w:rPr>
        <w:t xml:space="preserve"> </w:t>
      </w:r>
      <w:r>
        <w:rPr>
          <w:rFonts w:ascii="Arial" w:cs="Arial" w:eastAsia="Arial" w:hAnsi="Arial"/>
          <w:sz w:val="19"/>
          <w:szCs w:val="19"/>
          <w:color w:val="auto"/>
        </w:rPr>
        <w:t>any respect that could reasonably be expected to have a Material Adverse Effect. No Default or Event of Default has occurred and is continuing, nor shall either immediately result from the making of a requested credit extension.</w:t>
      </w:r>
    </w:p>
    <w:p>
      <w:pPr>
        <w:spacing w:after="0" w:line="16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4.8 Ownership of Property; Liens; Investments</w:t>
      </w:r>
      <w:r>
        <w:rPr>
          <w:rFonts w:ascii="Arial" w:cs="Arial" w:eastAsia="Arial" w:hAnsi="Arial"/>
          <w:sz w:val="20"/>
          <w:szCs w:val="20"/>
          <w:color w:val="auto"/>
        </w:rPr>
        <w:t>. Each Group Member has title in fee simple to, or a valid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leasehold interest in, all of its real property, and good title to, or a valid leasehold interest in, all of its other property, and none of such property is subject to any Lien except as permitted by </w:t>
      </w:r>
      <w:r>
        <w:rPr>
          <w:rFonts w:ascii="Arial" w:cs="Arial" w:eastAsia="Arial" w:hAnsi="Arial"/>
          <w:sz w:val="20"/>
          <w:szCs w:val="20"/>
          <w:u w:val="single" w:color="auto"/>
          <w:color w:val="auto"/>
        </w:rPr>
        <w:t>Section 7.3</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of the Collateral Information Certificate sets forth a complete and accurate list of all real property owned by each Loan Party as of the Closing Date, if any. The Collateral Information Certificate sets forth a complete and accurate list of all leases of real property under which any Loan Party is the lessee as of the Closing Date.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4.9 Intellectual Property</w:t>
      </w:r>
      <w:r>
        <w:rPr>
          <w:rFonts w:ascii="Arial" w:cs="Arial" w:eastAsia="Arial" w:hAnsi="Arial"/>
          <w:sz w:val="19"/>
          <w:szCs w:val="19"/>
          <w:color w:val="auto"/>
        </w:rPr>
        <w:t>. Each Group Member owns, or is licensed, or otherwise has the right, to use, all</w:t>
      </w:r>
      <w:r>
        <w:rPr>
          <w:rFonts w:ascii="Arial" w:cs="Arial" w:eastAsia="Arial" w:hAnsi="Arial"/>
          <w:sz w:val="19"/>
          <w:szCs w:val="19"/>
          <w:b w:val="1"/>
          <w:bCs w:val="1"/>
          <w:color w:val="auto"/>
        </w:rPr>
        <w:t xml:space="preserve"> </w:t>
      </w:r>
      <w:r>
        <w:rPr>
          <w:rFonts w:ascii="Arial" w:cs="Arial" w:eastAsia="Arial" w:hAnsi="Arial"/>
          <w:sz w:val="19"/>
          <w:szCs w:val="19"/>
          <w:color w:val="auto"/>
        </w:rPr>
        <w:t>Intellectual Property reasonably necessary for the conduct of its business as currently conducted. To the knowledge of the Borrower, no claim has been asserted and is pending by any Person challenging or questioning any Group Member’s use of any Intellectual Property or the validity or effectiveness of any Group Member’s Intellectual Property, nor does any Loan Party know of any valid basis for any such claim, unless such claim could not reasonably be expected to have a Material Adverse Effect. The use of Intellectual Property by each Group Member, and the conduct of such Group Member’s business, as currently conducted, does not infringe on or otherwise violate the rights of any Person, unless such infringement could not reasonably be expected to have a Material Adverse Effect, and there are no claims pending or, to the knowledge of any Loan Party, threatened in writing to such effect.</w:t>
      </w:r>
    </w:p>
    <w:p>
      <w:pPr>
        <w:spacing w:after="0" w:line="17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6"/>
          <w:szCs w:val="16"/>
          <w:b w:val="1"/>
          <w:bCs w:val="1"/>
          <w:color w:val="auto"/>
        </w:rPr>
        <w:t>4.10 Taxes</w:t>
      </w:r>
      <w:r>
        <w:rPr>
          <w:rFonts w:ascii="Arial" w:cs="Arial" w:eastAsia="Arial" w:hAnsi="Arial"/>
          <w:sz w:val="16"/>
          <w:szCs w:val="16"/>
          <w:color w:val="auto"/>
        </w:rPr>
        <w:t>. Each Group Member has (a) filed or caused to be filed all Federal, state income and other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tax returns that are required to be filed and (b) has paid all taxes shown to be due and payable on said returns or on any assessments made against it or any of its property and all other taxes, fees 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 books of the relevant Group Member or where the amount is less than $100,000 in the aggregate); no tax Lien securing obligations in excess of $100,000 has been filed, other than Liens for Taxes not yet due and payable and Liens for Taxes the amount or validity of which are currently being contested in good faith by appropriate proceedings and with respect to which reserves in conformity with GAAP have been provided on the books of the relevant Group Member, and, to the knowledge of the Loan Parties, no claim is being asserted, with respect to any such tax, fee or other charge in excess of $100,000.</w:t>
      </w:r>
    </w:p>
    <w:p>
      <w:pPr>
        <w:spacing w:after="0" w:line="37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4.11 Federal Regulations</w:t>
      </w:r>
      <w:r>
        <w:rPr>
          <w:rFonts w:ascii="Arial" w:cs="Arial" w:eastAsia="Arial" w:hAnsi="Arial"/>
          <w:sz w:val="18"/>
          <w:szCs w:val="18"/>
          <w:color w:val="auto"/>
        </w:rPr>
        <w:t>. The Borrower is not engaged and will not engage, principally or as one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important activities, in the business of “buying” or “carrying” “margin stock” (within the respective meanings of each of the quoted terms under Regulation U as now and from time to time hereafter in effect) or extending credit for the purpose of purchasing or carrying margin stock. No part of the proceeds of any Loans, and no other extensions of credit hereunder, will be used for buying or carrying any such margin stock or for extending credit to others for the purpose of purchasing or carrying margin stock in violation of Regulations T, U or X of the Board. If any margin stock directly or indirectly constitutes Collateral securing the Obligations, if requested in writing by any Lender or the Administrative Agent,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04" w:name="page105"/>
    <w:bookmarkEnd w:id="104"/>
    <w:p>
      <w:pPr>
        <w:jc w:val="both"/>
        <w:spacing w:after="0" w:line="260" w:lineRule="auto"/>
        <w:rPr>
          <w:sz w:val="20"/>
          <w:szCs w:val="20"/>
          <w:color w:val="auto"/>
        </w:rPr>
      </w:pPr>
      <w:r>
        <w:rPr>
          <w:rFonts w:ascii="Arial" w:cs="Arial" w:eastAsia="Arial" w:hAnsi="Arial"/>
          <w:sz w:val="20"/>
          <w:szCs w:val="20"/>
          <w:color w:val="auto"/>
        </w:rPr>
        <w:t>Borrower will furnish to the Administrative Agent and each Lender a statement to the foregoing effect in conformity with the requirements of FR Form G-3 or FR Form U-1, as applicable, referred to in Regulation U.</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4.12</w:t>
      </w:r>
      <w:r>
        <w:rPr>
          <w:sz w:val="20"/>
          <w:szCs w:val="20"/>
          <w:color w:val="auto"/>
        </w:rPr>
        <w:tab/>
      </w:r>
      <w:r>
        <w:rPr>
          <w:rFonts w:ascii="Arial" w:cs="Arial" w:eastAsia="Arial" w:hAnsi="Arial"/>
          <w:sz w:val="18"/>
          <w:szCs w:val="18"/>
          <w:b w:val="1"/>
          <w:bCs w:val="1"/>
          <w:color w:val="auto"/>
        </w:rPr>
        <w:t>Labor Matters</w:t>
      </w:r>
      <w:r>
        <w:rPr>
          <w:rFonts w:ascii="Arial" w:cs="Arial" w:eastAsia="Arial" w:hAnsi="Arial"/>
          <w:sz w:val="18"/>
          <w:szCs w:val="18"/>
          <w:color w:val="auto"/>
        </w:rPr>
        <w:t>. Except as, in the aggregate, could not reasonably be expected to have a Material Adverse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Effect: (a) there are no strikes or other labor disputes against any Group Member pending or, to the knowledge of the Loan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Parties, threatened; (b) hours worked by and payment made to employees of each Group Member have not been in violation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Fair Labor Standards Act or any other applicable Requirement of Law dealing with such matters; and (c) all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due from any Group Member on account of employee health and welfare insurance have been paid or accrued as a liability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on the books of the relevant Group Member.</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4.13</w:t>
      </w:r>
      <w:r>
        <w:rPr>
          <w:sz w:val="20"/>
          <w:szCs w:val="20"/>
          <w:color w:val="auto"/>
        </w:rPr>
        <w:tab/>
      </w:r>
      <w:r>
        <w:rPr>
          <w:rFonts w:ascii="Arial" w:cs="Arial" w:eastAsia="Arial" w:hAnsi="Arial"/>
          <w:sz w:val="19"/>
          <w:szCs w:val="19"/>
          <w:b w:val="1"/>
          <w:bCs w:val="1"/>
          <w:color w:val="auto"/>
        </w:rPr>
        <w:t>ERISA</w:t>
      </w:r>
      <w:r>
        <w:rPr>
          <w:rFonts w:ascii="Arial" w:cs="Arial" w:eastAsia="Arial" w:hAnsi="Arial"/>
          <w:sz w:val="19"/>
          <w:szCs w:val="19"/>
          <w:color w:val="auto"/>
        </w:rPr>
        <w:t>.</w:t>
      </w:r>
    </w:p>
    <w:p>
      <w:pPr>
        <w:spacing w:after="0" w:line="222" w:lineRule="exact"/>
        <w:rPr>
          <w:sz w:val="20"/>
          <w:szCs w:val="20"/>
          <w:color w:val="auto"/>
        </w:rPr>
      </w:pPr>
    </w:p>
    <w:p>
      <w:pPr>
        <w:jc w:val="both"/>
        <w:ind w:firstLine="1304"/>
        <w:spacing w:after="0" w:line="269" w:lineRule="auto"/>
        <w:tabs>
          <w:tab w:leader="none" w:pos="1944" w:val="left"/>
        </w:tabs>
        <w:numPr>
          <w:ilvl w:val="0"/>
          <w:numId w:val="87"/>
        </w:numPr>
        <w:rPr>
          <w:rFonts w:ascii="Arial" w:cs="Arial" w:eastAsia="Arial" w:hAnsi="Arial"/>
          <w:sz w:val="19"/>
          <w:szCs w:val="19"/>
          <w:color w:val="auto"/>
        </w:rPr>
      </w:pPr>
      <w:r>
        <w:rPr>
          <w:rFonts w:ascii="Arial" w:cs="Arial" w:eastAsia="Arial" w:hAnsi="Arial"/>
          <w:sz w:val="19"/>
          <w:szCs w:val="19"/>
          <w:color w:val="auto"/>
        </w:rPr>
        <w:t>except as in the aggregate could not reasonably be expected to have a Material Adverse Effect, the Borrower and its ERISA Affiliates are in compliance in all material respects with all applicable provisions and requirements of ERISA with respect to each Plan, and have performed all their obligations under each Plan;</w:t>
      </w:r>
    </w:p>
    <w:p>
      <w:pPr>
        <w:spacing w:after="0" w:line="169" w:lineRule="exact"/>
        <w:rPr>
          <w:rFonts w:ascii="Arial" w:cs="Arial" w:eastAsia="Arial" w:hAnsi="Arial"/>
          <w:sz w:val="19"/>
          <w:szCs w:val="19"/>
          <w:color w:val="auto"/>
        </w:rPr>
      </w:pPr>
    </w:p>
    <w:p>
      <w:pPr>
        <w:ind w:left="1960" w:hanging="656"/>
        <w:spacing w:after="0"/>
        <w:tabs>
          <w:tab w:leader="none" w:pos="19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no ERISA Event has occurred or is reasonably expected to occur;</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Borrower and each of its ERISA Affiliates have met all applicable requirements under the ERISA Funding Rules with respect to each Pension Plan, and no waiver of the minimum funding standards under the ERISA Funding Rules has been applied for or obtained;</w:t>
      </w:r>
    </w:p>
    <w:p>
      <w:pPr>
        <w:spacing w:after="0" w:line="185"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87"/>
        </w:numPr>
        <w:rPr>
          <w:rFonts w:ascii="Arial" w:cs="Arial" w:eastAsia="Arial" w:hAnsi="Arial"/>
          <w:sz w:val="20"/>
          <w:szCs w:val="20"/>
          <w:color w:val="auto"/>
        </w:rPr>
      </w:pPr>
      <w:r>
        <w:rPr>
          <w:rFonts w:ascii="Arial" w:cs="Arial" w:eastAsia="Arial" w:hAnsi="Arial"/>
          <w:sz w:val="20"/>
          <w:szCs w:val="20"/>
          <w:color w:val="auto"/>
        </w:rPr>
        <w:t>as of the most recent valuation date for any Pension Plan, the funding target attainment percentage (as defined in Section 430(d)(2) of the Code) is at least 60%, and neither the Borrower nor any of its ERISA Affiliates knows of any facts or circumstances that could reasonably be expected to cause the funding target attainment percentage to fall below 60% as of the most recent valuation date;</w:t>
      </w:r>
    </w:p>
    <w:p>
      <w:pPr>
        <w:spacing w:after="0" w:line="191"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87"/>
        </w:numPr>
        <w:rPr>
          <w:rFonts w:ascii="Arial" w:cs="Arial" w:eastAsia="Arial" w:hAnsi="Arial"/>
          <w:sz w:val="20"/>
          <w:szCs w:val="20"/>
          <w:color w:val="auto"/>
        </w:rPr>
      </w:pPr>
      <w:r>
        <w:rPr>
          <w:rFonts w:ascii="Arial" w:cs="Arial" w:eastAsia="Arial" w:hAnsi="Arial"/>
          <w:sz w:val="20"/>
          <w:szCs w:val="20"/>
          <w:color w:val="auto"/>
        </w:rPr>
        <w:t>except to the extent required under Section 4980B of the Code, no Plan provides health or welfare benefits (through the purchase of insurance or otherwise) for any retired or former employee of the Borrower or any of its ERISA Affiliates;</w:t>
      </w:r>
    </w:p>
    <w:p>
      <w:pPr>
        <w:spacing w:after="0" w:line="185"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87"/>
        </w:numPr>
        <w:rPr>
          <w:rFonts w:ascii="Arial" w:cs="Arial" w:eastAsia="Arial" w:hAnsi="Arial"/>
          <w:sz w:val="20"/>
          <w:szCs w:val="20"/>
          <w:color w:val="auto"/>
        </w:rPr>
      </w:pPr>
      <w:r>
        <w:rPr>
          <w:rFonts w:ascii="Arial" w:cs="Arial" w:eastAsia="Arial" w:hAnsi="Arial"/>
          <w:sz w:val="20"/>
          <w:szCs w:val="20"/>
          <w:color w:val="auto"/>
        </w:rPr>
        <w:t>as of the most recent valuation date for any Pension Plan, the amount of outstanding benefit liabilities (as defined in Section 4001(a)(18) of ERISA), individually or in the aggregate for all Pension Plans (excluding for purposes of such computation any Pension Plans with respect to which assets exceed benefit liabilities), does not exceed $100,000;</w:t>
      </w:r>
    </w:p>
    <w:p>
      <w:pPr>
        <w:spacing w:after="0" w:line="191"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execution and delivery of this Agreement and the consummation of the transactions contemplated hereunder will not involve any transaction that is subject to the prohibitions of Section 406 of ERISA or in connection with which taxes could be imposed pursuant to Section 4975(c)(1)(A)-(D) of the Code;</w:t>
      </w:r>
    </w:p>
    <w:p>
      <w:pPr>
        <w:spacing w:after="0" w:line="185" w:lineRule="exact"/>
        <w:rPr>
          <w:rFonts w:ascii="Arial" w:cs="Arial" w:eastAsia="Arial" w:hAnsi="Arial"/>
          <w:sz w:val="20"/>
          <w:szCs w:val="20"/>
          <w:color w:val="auto"/>
        </w:rPr>
      </w:pPr>
    </w:p>
    <w:p>
      <w:pPr>
        <w:jc w:val="both"/>
        <w:ind w:firstLine="1304"/>
        <w:spacing w:after="0" w:line="244" w:lineRule="auto"/>
        <w:tabs>
          <w:tab w:leader="none" w:pos="1944" w:val="left"/>
        </w:tabs>
        <w:numPr>
          <w:ilvl w:val="0"/>
          <w:numId w:val="87"/>
        </w:numPr>
        <w:rPr>
          <w:rFonts w:ascii="Arial" w:cs="Arial" w:eastAsia="Arial" w:hAnsi="Arial"/>
          <w:sz w:val="20"/>
          <w:szCs w:val="20"/>
          <w:color w:val="auto"/>
        </w:rPr>
      </w:pPr>
      <w:r>
        <w:rPr>
          <w:rFonts w:ascii="Arial" w:cs="Arial" w:eastAsia="Arial" w:hAnsi="Arial"/>
          <w:sz w:val="20"/>
          <w:szCs w:val="20"/>
          <w:color w:val="auto"/>
        </w:rPr>
        <w:t>all liabilities under each Plan are (i) funded to at least the minimum level required by law or, if higher, to the level required by the terms governing the Plans, (ii) insured with a reputable insurance company, or (iii) provided for or recognized in the financial statements most recently delivered to the Administrative Agent and the Lenders pursuant hereto or (iv) estimated in the formal notes to the financial statements most recently delivered to the Administrative Agent and the Lenders pursuant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05" w:name="page106"/>
    <w:bookmarkEnd w:id="105"/>
    <w:p>
      <w:pPr>
        <w:ind w:firstLine="1304"/>
        <w:spacing w:after="0" w:line="260" w:lineRule="auto"/>
        <w:tabs>
          <w:tab w:leader="none" w:pos="1944" w:val="left"/>
        </w:tabs>
        <w:numPr>
          <w:ilvl w:val="1"/>
          <w:numId w:val="88"/>
        </w:numPr>
        <w:rPr>
          <w:rFonts w:ascii="Arial" w:cs="Arial" w:eastAsia="Arial" w:hAnsi="Arial"/>
          <w:sz w:val="20"/>
          <w:szCs w:val="20"/>
          <w:color w:val="auto"/>
        </w:rPr>
      </w:pPr>
      <w:r>
        <w:rPr>
          <w:rFonts w:ascii="Arial" w:cs="Arial" w:eastAsia="Arial" w:hAnsi="Arial"/>
          <w:sz w:val="20"/>
          <w:szCs w:val="20"/>
          <w:color w:val="auto"/>
        </w:rPr>
        <w:t>there are no circumstances which may give rise to a liability in relation to any Plan which is not funded, insured, provided for, recognized or estimated in the manner described in clause (h); and</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 the Borrower is not and will not be a “plan” within the meaning of Section 4975(e) of the Code;</w:t>
      </w:r>
    </w:p>
    <w:p>
      <w:pPr>
        <w:spacing w:after="0" w:line="38" w:lineRule="exact"/>
        <w:rPr>
          <w:rFonts w:ascii="Arial" w:cs="Arial" w:eastAsia="Arial" w:hAnsi="Arial"/>
          <w:sz w:val="18"/>
          <w:szCs w:val="18"/>
          <w:color w:val="auto"/>
        </w:rPr>
      </w:pPr>
    </w:p>
    <w:p>
      <w:pPr>
        <w:jc w:val="both"/>
        <w:ind w:firstLine="8"/>
        <w:spacing w:after="0"/>
        <w:tabs>
          <w:tab w:leader="none" w:pos="337"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assets of the Borrower do not and will not constitute “plan assets” within the meaning of the United States Department of Labor Regulations set forth in 29 C.F.R. §2510.3-101 as modified by ERISA Section 3(42); (iii) the Borrower is not and will not be a “governmental plan” within the meaning of Section 3(32) of ERISA; and (iv) transactions by or with the Borrower are not and will not be subject to state statutes applicable to the Borrower regulating investments of fiduciaries with respect to governmental plans.</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4.14 Investment Company Act; Other Regulations</w:t>
      </w:r>
      <w:r>
        <w:rPr>
          <w:rFonts w:ascii="Arial" w:cs="Arial" w:eastAsia="Arial" w:hAnsi="Arial"/>
          <w:sz w:val="20"/>
          <w:szCs w:val="20"/>
          <w:color w:val="auto"/>
        </w:rPr>
        <w:t>. No Loan Party is required to register as an “investment</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within the meaning of the Investment Company Act of 1940, as amended. No Loan Party is subject to regulation under any Requirement of Law (other than Regulation X of the Board) that limits its ability to incur Indebtedness or which may otherwise render all or any portion of the Obligations unenforceable.</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4.15</w:t>
      </w:r>
      <w:r>
        <w:rPr>
          <w:sz w:val="20"/>
          <w:szCs w:val="20"/>
          <w:color w:val="auto"/>
        </w:rPr>
        <w:tab/>
      </w:r>
      <w:r>
        <w:rPr>
          <w:rFonts w:ascii="Arial" w:cs="Arial" w:eastAsia="Arial" w:hAnsi="Arial"/>
          <w:sz w:val="16"/>
          <w:szCs w:val="16"/>
          <w:b w:val="1"/>
          <w:bCs w:val="1"/>
          <w:color w:val="auto"/>
        </w:rPr>
        <w:t>Subsidiaries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57" w:lineRule="auto"/>
        <w:tabs>
          <w:tab w:leader="none" w:pos="1944"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Except as disclosed to the Administrative Agent by the Borrower in writing from time to time after the Closing Date, (a) </w:t>
      </w:r>
      <w:r>
        <w:rPr>
          <w:rFonts w:ascii="Arial" w:cs="Arial" w:eastAsia="Arial" w:hAnsi="Arial"/>
          <w:sz w:val="19"/>
          <w:szCs w:val="19"/>
          <w:u w:val="single" w:color="auto"/>
          <w:color w:val="auto"/>
        </w:rPr>
        <w:t>Schedule 4.15</w:t>
      </w:r>
      <w:r>
        <w:rPr>
          <w:rFonts w:ascii="Arial" w:cs="Arial" w:eastAsia="Arial" w:hAnsi="Arial"/>
          <w:sz w:val="19"/>
          <w:szCs w:val="19"/>
          <w:color w:val="auto"/>
        </w:rPr>
        <w:t xml:space="preserve"> to the Disclosure Letter sets forth the name and jurisdiction of organization of each Subsidiary of the Borrower and, as to each such Subsidiary, the percentage of each class of Capital Stock owned by any Loan Party, and (b) there are no outstanding subscriptions, options, warrants, calls, rights or other agreements or commitments (other than equity awards granted to employees, consultants or directors and directors’ qualifying shares) of any nature relating to any Capital Stock of any Subsidiary of the Borrower, except as may be created by the Loan Documents and as set forth on </w:t>
      </w:r>
      <w:r>
        <w:rPr>
          <w:rFonts w:ascii="Arial" w:cs="Arial" w:eastAsia="Arial" w:hAnsi="Arial"/>
          <w:sz w:val="19"/>
          <w:szCs w:val="19"/>
          <w:u w:val="single" w:color="auto"/>
          <w:color w:val="auto"/>
        </w:rPr>
        <w:t>Schedule 4.15</w:t>
      </w:r>
      <w:r>
        <w:rPr>
          <w:rFonts w:ascii="Arial" w:cs="Arial" w:eastAsia="Arial" w:hAnsi="Arial"/>
          <w:sz w:val="19"/>
          <w:szCs w:val="19"/>
          <w:color w:val="auto"/>
        </w:rPr>
        <w:t xml:space="preserve"> to the Disclosure Letter.</w:t>
      </w:r>
    </w:p>
    <w:p>
      <w:pPr>
        <w:spacing w:after="0" w:line="184" w:lineRule="exact"/>
        <w:rPr>
          <w:rFonts w:ascii="Arial" w:cs="Arial" w:eastAsia="Arial" w:hAnsi="Arial"/>
          <w:sz w:val="19"/>
          <w:szCs w:val="19"/>
          <w:color w:val="auto"/>
        </w:rPr>
      </w:pPr>
    </w:p>
    <w:p>
      <w:pPr>
        <w:ind w:firstLine="1304"/>
        <w:spacing w:after="0" w:line="260" w:lineRule="auto"/>
        <w:tabs>
          <w:tab w:leader="none" w:pos="1997" w:val="left"/>
        </w:tabs>
        <w:numPr>
          <w:ilvl w:val="0"/>
          <w:numId w:val="90"/>
        </w:numPr>
        <w:rPr>
          <w:rFonts w:ascii="Arial" w:cs="Arial" w:eastAsia="Arial" w:hAnsi="Arial"/>
          <w:sz w:val="20"/>
          <w:szCs w:val="20"/>
          <w:color w:val="auto"/>
        </w:rPr>
      </w:pPr>
      <w:r>
        <w:rPr>
          <w:rFonts w:ascii="Arial" w:cs="Arial" w:eastAsia="Arial" w:hAnsi="Arial"/>
          <w:sz w:val="20"/>
          <w:szCs w:val="20"/>
          <w:color w:val="auto"/>
        </w:rPr>
        <w:t>No Subsidiary which has been designated as an Excluded Subsidiary or Immaterial Subsidiary fails to satisfy the limitations set forth in the definition thereof.</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4.16 Use of Proceeds</w:t>
      </w:r>
      <w:r>
        <w:rPr>
          <w:rFonts w:ascii="Arial" w:cs="Arial" w:eastAsia="Arial" w:hAnsi="Arial"/>
          <w:sz w:val="19"/>
          <w:szCs w:val="19"/>
          <w:color w:val="auto"/>
        </w:rPr>
        <w:t>. The proceeds of the Revolving Loans, Swingline Loans and Letters of Credit shall be used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refinance existing Indebtedness, to pay related fees and expenses and for provide ongoing working capital and fund general corporate purpose of the Loan Parties, including, without limitation, for Permitted Acquisitions and Restricted Payments permitted by </w:t>
      </w:r>
      <w:r>
        <w:rPr>
          <w:rFonts w:ascii="Arial" w:cs="Arial" w:eastAsia="Arial" w:hAnsi="Arial"/>
          <w:sz w:val="19"/>
          <w:szCs w:val="19"/>
          <w:u w:val="single" w:color="auto"/>
          <w:color w:val="auto"/>
        </w:rPr>
        <w:t>Section 7.6</w:t>
      </w:r>
      <w:r>
        <w:rPr>
          <w:rFonts w:ascii="Arial" w:cs="Arial" w:eastAsia="Arial" w:hAnsi="Arial"/>
          <w:sz w:val="19"/>
          <w:szCs w:val="19"/>
          <w:color w:val="auto"/>
        </w:rPr>
        <w:t xml:space="preserve">. The proceeds of any Increase funded pursuant to </w:t>
      </w:r>
      <w:r>
        <w:rPr>
          <w:rFonts w:ascii="Arial" w:cs="Arial" w:eastAsia="Arial" w:hAnsi="Arial"/>
          <w:sz w:val="19"/>
          <w:szCs w:val="19"/>
          <w:u w:val="single" w:color="auto"/>
          <w:color w:val="auto"/>
        </w:rPr>
        <w:t>Section 2.27</w:t>
      </w:r>
      <w:r>
        <w:rPr>
          <w:rFonts w:ascii="Arial" w:cs="Arial" w:eastAsia="Arial" w:hAnsi="Arial"/>
          <w:sz w:val="19"/>
          <w:szCs w:val="19"/>
          <w:color w:val="auto"/>
        </w:rPr>
        <w:t xml:space="preserve"> shall be used to provide for on ongoing working capital and fund general corporate purpose of the Loan Parties, including, without limitation, for Permitted Acquisitions and Restricted Payments permitted by </w:t>
      </w:r>
      <w:r>
        <w:rPr>
          <w:rFonts w:ascii="Arial" w:cs="Arial" w:eastAsia="Arial" w:hAnsi="Arial"/>
          <w:sz w:val="19"/>
          <w:szCs w:val="19"/>
          <w:u w:val="single" w:color="auto"/>
          <w:color w:val="auto"/>
        </w:rPr>
        <w:t>Section 7.6</w:t>
      </w:r>
      <w:r>
        <w:rPr>
          <w:rFonts w:ascii="Arial" w:cs="Arial" w:eastAsia="Arial" w:hAnsi="Arial"/>
          <w:sz w:val="19"/>
          <w:szCs w:val="19"/>
          <w:color w:val="auto"/>
        </w:rPr>
        <w:t>.</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4.17 Environmental Matters</w:t>
      </w:r>
      <w:r>
        <w:rPr>
          <w:rFonts w:ascii="Arial" w:cs="Arial" w:eastAsia="Arial" w:hAnsi="Arial"/>
          <w:sz w:val="20"/>
          <w:szCs w:val="20"/>
          <w:color w:val="auto"/>
        </w:rPr>
        <w:t>. Except as, in the aggregate, could not reasonably be expected to have a Material</w:t>
      </w:r>
      <w:r>
        <w:rPr>
          <w:rFonts w:ascii="Arial" w:cs="Arial" w:eastAsia="Arial" w:hAnsi="Arial"/>
          <w:sz w:val="20"/>
          <w:szCs w:val="20"/>
          <w:b w:val="1"/>
          <w:bCs w:val="1"/>
          <w:color w:val="auto"/>
        </w:rPr>
        <w:t xml:space="preserve"> </w:t>
      </w:r>
      <w:r>
        <w:rPr>
          <w:rFonts w:ascii="Arial" w:cs="Arial" w:eastAsia="Arial" w:hAnsi="Arial"/>
          <w:sz w:val="20"/>
          <w:szCs w:val="20"/>
          <w:color w:val="auto"/>
        </w:rPr>
        <w:t>Adverse Effect:</w:t>
      </w:r>
    </w:p>
    <w:p>
      <w:pPr>
        <w:spacing w:after="0" w:line="169" w:lineRule="exact"/>
        <w:rPr>
          <w:sz w:val="20"/>
          <w:szCs w:val="20"/>
          <w:color w:val="auto"/>
        </w:rPr>
      </w:pPr>
    </w:p>
    <w:p>
      <w:pPr>
        <w:jc w:val="both"/>
        <w:ind w:firstLine="1304"/>
        <w:spacing w:after="0" w:line="282" w:lineRule="auto"/>
        <w:tabs>
          <w:tab w:leader="none" w:pos="1944"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Schedule 4.17</w:t>
      </w:r>
      <w:r>
        <w:rPr>
          <w:rFonts w:ascii="Arial" w:cs="Arial" w:eastAsia="Arial" w:hAnsi="Arial"/>
          <w:sz w:val="18"/>
          <w:szCs w:val="18"/>
          <w:color w:val="auto"/>
        </w:rPr>
        <w:t xml:space="preserve"> to the Disclosure Letter, the facilities and properties owned, leased or operated by any Group Member (the “</w:t>
      </w:r>
      <w:r>
        <w:rPr>
          <w:rFonts w:ascii="Arial" w:cs="Arial" w:eastAsia="Arial" w:hAnsi="Arial"/>
          <w:sz w:val="18"/>
          <w:szCs w:val="18"/>
          <w:b w:val="1"/>
          <w:bCs w:val="1"/>
          <w:i w:val="1"/>
          <w:iCs w:val="1"/>
          <w:color w:val="auto"/>
        </w:rPr>
        <w:t>Properties</w:t>
      </w:r>
      <w:r>
        <w:rPr>
          <w:rFonts w:ascii="Arial" w:cs="Arial" w:eastAsia="Arial" w:hAnsi="Arial"/>
          <w:sz w:val="18"/>
          <w:szCs w:val="18"/>
          <w:color w:val="auto"/>
        </w:rPr>
        <w:t>”) do not contain, and, to the knowledge of the Loan Parties, have not previously contained, any Materials of Environmental Concern in (i) amounts, (ii) concentrations or (iii) under circumstances that constitute or have constituted a violation of, or could give rise to liability under, any Environmental Law;</w:t>
      </w:r>
    </w:p>
    <w:p>
      <w:pPr>
        <w:spacing w:after="0" w:line="161" w:lineRule="exact"/>
        <w:rPr>
          <w:rFonts w:ascii="Arial" w:cs="Arial" w:eastAsia="Arial" w:hAnsi="Arial"/>
          <w:sz w:val="18"/>
          <w:szCs w:val="18"/>
          <w:color w:val="auto"/>
        </w:rPr>
      </w:pPr>
    </w:p>
    <w:p>
      <w:pPr>
        <w:ind w:firstLine="1304"/>
        <w:spacing w:after="0" w:line="260" w:lineRule="auto"/>
        <w:tabs>
          <w:tab w:leader="none" w:pos="1944" w:val="left"/>
        </w:tabs>
        <w:numPr>
          <w:ilvl w:val="0"/>
          <w:numId w:val="91"/>
        </w:numPr>
        <w:rPr>
          <w:rFonts w:ascii="Arial" w:cs="Arial" w:eastAsia="Arial" w:hAnsi="Arial"/>
          <w:sz w:val="20"/>
          <w:szCs w:val="20"/>
          <w:color w:val="auto"/>
        </w:rPr>
      </w:pPr>
      <w:r>
        <w:rPr>
          <w:rFonts w:ascii="Arial" w:cs="Arial" w:eastAsia="Arial" w:hAnsi="Arial"/>
          <w:sz w:val="20"/>
          <w:szCs w:val="20"/>
          <w:color w:val="auto"/>
        </w:rPr>
        <w:t>no Group Member has received or is aware of any notice of violation, alleged violation, non-compliance, liability or potential liability regarding environmental matters or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06" w:name="page107"/>
    <w:bookmarkEnd w:id="106"/>
    <w:p>
      <w:pPr>
        <w:jc w:val="both"/>
        <w:spacing w:after="0" w:line="250" w:lineRule="auto"/>
        <w:rPr>
          <w:sz w:val="20"/>
          <w:szCs w:val="20"/>
          <w:color w:val="auto"/>
        </w:rPr>
      </w:pPr>
      <w:r>
        <w:rPr>
          <w:rFonts w:ascii="Arial" w:cs="Arial" w:eastAsia="Arial" w:hAnsi="Arial"/>
          <w:sz w:val="20"/>
          <w:szCs w:val="20"/>
          <w:color w:val="auto"/>
        </w:rPr>
        <w:t>with Environmental Laws with regard to any of the Properties or the business operated by any Group Member (the “</w:t>
      </w:r>
      <w:r>
        <w:rPr>
          <w:rFonts w:ascii="Arial" w:cs="Arial" w:eastAsia="Arial" w:hAnsi="Arial"/>
          <w:sz w:val="20"/>
          <w:szCs w:val="20"/>
          <w:b w:val="1"/>
          <w:bCs w:val="1"/>
          <w:i w:val="1"/>
          <w:iCs w:val="1"/>
          <w:color w:val="auto"/>
        </w:rPr>
        <w:t>Business</w:t>
      </w:r>
      <w:r>
        <w:rPr>
          <w:rFonts w:ascii="Arial" w:cs="Arial" w:eastAsia="Arial" w:hAnsi="Arial"/>
          <w:sz w:val="20"/>
          <w:szCs w:val="20"/>
          <w:color w:val="auto"/>
        </w:rPr>
        <w:t>”), nor does any Loan Party have knowledge or reason to believe that any such notice will be received or is being threatened;</w:t>
      </w:r>
    </w:p>
    <w:p>
      <w:pPr>
        <w:spacing w:after="0" w:line="186" w:lineRule="exact"/>
        <w:rPr>
          <w:sz w:val="20"/>
          <w:szCs w:val="20"/>
          <w:color w:val="auto"/>
        </w:rPr>
      </w:pPr>
    </w:p>
    <w:p>
      <w:pPr>
        <w:jc w:val="both"/>
        <w:ind w:firstLine="1304"/>
        <w:spacing w:after="0" w:line="282" w:lineRule="auto"/>
        <w:tabs>
          <w:tab w:leader="none" w:pos="1944"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Group Member has transported or disposed of Materials of Environmental Concern from the Properties in violation of, or in a manner or to a location that could give rise to liability under, any Environmental Law, nor has any Group Member generated, treated, stored or disposed of Materials of Environmental Concern at, on or under any of the Properties in violation of, or in a manner that could give rise to liability under, any applicable Environmental Law;</w:t>
      </w:r>
    </w:p>
    <w:p>
      <w:pPr>
        <w:spacing w:after="0" w:line="161" w:lineRule="exact"/>
        <w:rPr>
          <w:rFonts w:ascii="Arial" w:cs="Arial" w:eastAsia="Arial" w:hAnsi="Arial"/>
          <w:sz w:val="18"/>
          <w:szCs w:val="18"/>
          <w:color w:val="auto"/>
        </w:rPr>
      </w:pPr>
    </w:p>
    <w:p>
      <w:pPr>
        <w:jc w:val="both"/>
        <w:ind w:firstLine="1304"/>
        <w:spacing w:after="0" w:line="244" w:lineRule="auto"/>
        <w:tabs>
          <w:tab w:leader="none" w:pos="1944" w:val="left"/>
        </w:tabs>
        <w:numPr>
          <w:ilvl w:val="0"/>
          <w:numId w:val="92"/>
        </w:numPr>
        <w:rPr>
          <w:rFonts w:ascii="Arial" w:cs="Arial" w:eastAsia="Arial" w:hAnsi="Arial"/>
          <w:sz w:val="20"/>
          <w:szCs w:val="20"/>
          <w:color w:val="auto"/>
        </w:rPr>
      </w:pPr>
      <w:r>
        <w:rPr>
          <w:rFonts w:ascii="Arial" w:cs="Arial" w:eastAsia="Arial" w:hAnsi="Arial"/>
          <w:sz w:val="20"/>
          <w:szCs w:val="20"/>
          <w:color w:val="auto"/>
        </w:rPr>
        <w:t>no judicial proceeding or governmental or administrative action is pending or, to the knowledge of any Loan Party, threatened, under any Environmental Law to which any Group Member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spacing w:after="0" w:line="194" w:lineRule="exact"/>
        <w:rPr>
          <w:rFonts w:ascii="Arial" w:cs="Arial" w:eastAsia="Arial" w:hAnsi="Arial"/>
          <w:sz w:val="20"/>
          <w:szCs w:val="20"/>
          <w:color w:val="auto"/>
        </w:rPr>
      </w:pPr>
    </w:p>
    <w:p>
      <w:pPr>
        <w:jc w:val="both"/>
        <w:ind w:right="20" w:firstLine="1304"/>
        <w:spacing w:after="0" w:line="269" w:lineRule="auto"/>
        <w:tabs>
          <w:tab w:leader="none" w:pos="1944"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there has been no release or threat of release of Materials of Environmental Concern at or from the Properties arising from or related to the operations of any Group Member or otherwise in connection with the Business, in violation of or in amounts or in a manner that could give rise to liability under Environmental Laws;</w:t>
      </w:r>
    </w:p>
    <w:p>
      <w:pPr>
        <w:spacing w:after="0" w:line="169" w:lineRule="exact"/>
        <w:rPr>
          <w:rFonts w:ascii="Arial" w:cs="Arial" w:eastAsia="Arial" w:hAnsi="Arial"/>
          <w:sz w:val="19"/>
          <w:szCs w:val="19"/>
          <w:color w:val="auto"/>
        </w:rPr>
      </w:pPr>
    </w:p>
    <w:p>
      <w:pPr>
        <w:jc w:val="both"/>
        <w:ind w:firstLine="1304"/>
        <w:spacing w:after="0" w:line="263" w:lineRule="auto"/>
        <w:tabs>
          <w:tab w:leader="none" w:pos="1944"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the Properties and all operations of the Group Members at the Properties are in compliance, and have in the last five years been in compliance, with all applicable Environmental Laws, and except as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4.17</w:t>
      </w:r>
      <w:r>
        <w:rPr>
          <w:rFonts w:ascii="Arial" w:cs="Arial" w:eastAsia="Arial" w:hAnsi="Arial"/>
          <w:sz w:val="19"/>
          <w:szCs w:val="19"/>
          <w:color w:val="auto"/>
        </w:rPr>
        <w:t xml:space="preserve"> to the Disclosure Letter, to the knowledge of the Borrower, there is no contamination at, under or about the Properties or violation of any Environmental Law with respect to the Properties or the Business; and</w:t>
      </w:r>
    </w:p>
    <w:p>
      <w:pPr>
        <w:spacing w:after="0" w:line="176" w:lineRule="exact"/>
        <w:rPr>
          <w:rFonts w:ascii="Arial" w:cs="Arial" w:eastAsia="Arial" w:hAnsi="Arial"/>
          <w:sz w:val="19"/>
          <w:szCs w:val="19"/>
          <w:color w:val="auto"/>
        </w:rPr>
      </w:pPr>
    </w:p>
    <w:p>
      <w:pPr>
        <w:ind w:left="1960" w:hanging="656"/>
        <w:spacing w:after="0"/>
        <w:tabs>
          <w:tab w:leader="none" w:pos="19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no Group Member has assumed any liability of any other Person under Environmental Laws.</w:t>
      </w:r>
    </w:p>
    <w:p>
      <w:pPr>
        <w:spacing w:after="0" w:line="2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 xml:space="preserve">4.18 Accuracy of Information, etc. </w:t>
      </w:r>
      <w:r>
        <w:rPr>
          <w:rFonts w:ascii="Arial" w:cs="Arial" w:eastAsia="Arial" w:hAnsi="Arial"/>
          <w:sz w:val="18"/>
          <w:szCs w:val="18"/>
          <w:color w:val="auto"/>
        </w:rPr>
        <w:t>No statement or information contained in this Agreement, any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Document or any other document, certificate or statement furnished by or on behalf of any Loan Party to the Administrative Agent or the Lenders, or any of them, for use in connection with the transactions contemplated by this Agreement or the other Loan Documents, contained as of the date such statement, information, document or certificate was so furnished, any untrue statement of a material fact or, omitted to state a material fact necessary to make the statements contained herein or therein not misleading. The projections and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There is no fact known to any Loan Party that could reasonably be expected to have a Material Adverse Effect that has not been expressly disclosed herein, in the other Loan Documents or in any other documents, certificates and statements furnished to the Administrative Agent and the Lenders for use in connection with the transactions contemplated hereby and by the other Loan Documents.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4.19</w:t>
      </w:r>
      <w:r>
        <w:rPr>
          <w:sz w:val="20"/>
          <w:szCs w:val="20"/>
          <w:color w:val="auto"/>
        </w:rPr>
        <w:tab/>
      </w:r>
      <w:r>
        <w:rPr>
          <w:rFonts w:ascii="Arial" w:cs="Arial" w:eastAsia="Arial" w:hAnsi="Arial"/>
          <w:sz w:val="16"/>
          <w:szCs w:val="16"/>
          <w:b w:val="1"/>
          <w:bCs w:val="1"/>
          <w:color w:val="auto"/>
        </w:rPr>
        <w:t>Security Documents</w:t>
      </w:r>
      <w:r>
        <w:rPr>
          <w:rFonts w:ascii="Arial" w:cs="Arial" w:eastAsia="Arial" w:hAnsi="Arial"/>
          <w:sz w:val="16"/>
          <w:szCs w:val="16"/>
          <w:color w:val="auto"/>
        </w:rPr>
        <w:t>.</w:t>
      </w:r>
    </w:p>
    <w:p>
      <w:pPr>
        <w:spacing w:after="0" w:line="222" w:lineRule="exact"/>
        <w:rPr>
          <w:sz w:val="20"/>
          <w:szCs w:val="20"/>
          <w:color w:val="auto"/>
        </w:rPr>
      </w:pPr>
    </w:p>
    <w:p>
      <w:pPr>
        <w:ind w:right="20" w:firstLine="1304"/>
        <w:spacing w:after="0" w:line="260" w:lineRule="auto"/>
        <w:tabs>
          <w:tab w:leader="none" w:pos="1944"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Guarantee and Collateral Agreement is effective to create in favor of the Administrative Agent, for the benefit of the Secured Parties, a legal, valid and enforceable security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07" w:name="page108"/>
    <w:bookmarkEnd w:id="107"/>
    <w:p>
      <w:pPr>
        <w:jc w:val="both"/>
        <w:spacing w:after="0" w:line="255" w:lineRule="auto"/>
        <w:rPr>
          <w:sz w:val="20"/>
          <w:szCs w:val="20"/>
          <w:color w:val="auto"/>
        </w:rPr>
      </w:pPr>
      <w:r>
        <w:rPr>
          <w:rFonts w:ascii="Arial" w:cs="Arial" w:eastAsia="Arial" w:hAnsi="Arial"/>
          <w:sz w:val="19"/>
          <w:szCs w:val="19"/>
          <w:color w:val="auto"/>
        </w:rPr>
        <w:t>in the Collateral described therein and proceeds thereof. In the case of the Pledged Stock described in the Guarantee and Collateral Agreement that are securities represented by stock certificates or otherwise constituting certificated securities within the meaning of Section 8-102(a)(15) of the UCC (“</w:t>
      </w:r>
      <w:r>
        <w:rPr>
          <w:rFonts w:ascii="Arial" w:cs="Arial" w:eastAsia="Arial" w:hAnsi="Arial"/>
          <w:sz w:val="19"/>
          <w:szCs w:val="19"/>
          <w:b w:val="1"/>
          <w:bCs w:val="1"/>
          <w:i w:val="1"/>
          <w:iCs w:val="1"/>
          <w:color w:val="auto"/>
        </w:rPr>
        <w:t>Certificated Securities</w:t>
      </w:r>
      <w:r>
        <w:rPr>
          <w:rFonts w:ascii="Arial" w:cs="Arial" w:eastAsia="Arial" w:hAnsi="Arial"/>
          <w:sz w:val="19"/>
          <w:szCs w:val="19"/>
          <w:color w:val="auto"/>
        </w:rPr>
        <w:t xml:space="preserve">”), when certificates representing such Pledged Stock are delivered to the Administrative Agent, and in the case of the other Collateral constituting personal property described in the Guarantee and Collateral Agreement, when financing statements and other filings specified on </w:t>
      </w:r>
      <w:r>
        <w:rPr>
          <w:rFonts w:ascii="Arial" w:cs="Arial" w:eastAsia="Arial" w:hAnsi="Arial"/>
          <w:sz w:val="19"/>
          <w:szCs w:val="19"/>
          <w:u w:val="single" w:color="auto"/>
          <w:color w:val="auto"/>
        </w:rPr>
        <w:t>Schedule 4.19(a)</w:t>
      </w:r>
      <w:r>
        <w:rPr>
          <w:rFonts w:ascii="Arial" w:cs="Arial" w:eastAsia="Arial" w:hAnsi="Arial"/>
          <w:sz w:val="19"/>
          <w:szCs w:val="19"/>
          <w:color w:val="auto"/>
        </w:rPr>
        <w:t xml:space="preserve"> to the Disclosure Letter in appropriate form are filed in the offices specified on </w:t>
      </w:r>
      <w:r>
        <w:rPr>
          <w:rFonts w:ascii="Arial" w:cs="Arial" w:eastAsia="Arial" w:hAnsi="Arial"/>
          <w:sz w:val="19"/>
          <w:szCs w:val="19"/>
          <w:u w:val="single" w:color="auto"/>
          <w:color w:val="auto"/>
        </w:rPr>
        <w:t>Schedule 4.19(a)</w:t>
      </w:r>
      <w:r>
        <w:rPr>
          <w:rFonts w:ascii="Arial" w:cs="Arial" w:eastAsia="Arial" w:hAnsi="Arial"/>
          <w:sz w:val="19"/>
          <w:szCs w:val="19"/>
          <w:color w:val="auto"/>
        </w:rPr>
        <w:t xml:space="preserve"> to the Disclosure Letter, the Administrative Agent, for the benefit of the Secured Parties, shall have, to the extent that perfection can be accomplished by filing in such offices, a fully perfected Lien on, and security interest in, all right, title and interest of the Loan Parties in such Collateral and the proceeds thereof, as security for the Obligations, in each case prior and superior in right to any other Person (except for Liens permitted by </w:t>
      </w:r>
      <w:r>
        <w:rPr>
          <w:rFonts w:ascii="Arial" w:cs="Arial" w:eastAsia="Arial" w:hAnsi="Arial"/>
          <w:sz w:val="19"/>
          <w:szCs w:val="19"/>
          <w:u w:val="single" w:color="auto"/>
          <w:color w:val="auto"/>
        </w:rPr>
        <w:t>Section 7.3</w:t>
      </w:r>
      <w:r>
        <w:rPr>
          <w:rFonts w:ascii="Arial" w:cs="Arial" w:eastAsia="Arial" w:hAnsi="Arial"/>
          <w:sz w:val="19"/>
          <w:szCs w:val="19"/>
          <w:color w:val="auto"/>
        </w:rPr>
        <w:t>), excluding the effect of any non-U.S. law or regulation.</w:t>
      </w:r>
    </w:p>
    <w:p>
      <w:pPr>
        <w:spacing w:after="0" w:line="187" w:lineRule="exact"/>
        <w:rPr>
          <w:sz w:val="20"/>
          <w:szCs w:val="20"/>
          <w:color w:val="auto"/>
        </w:rPr>
      </w:pPr>
    </w:p>
    <w:p>
      <w:pPr>
        <w:jc w:val="both"/>
        <w:ind w:firstLine="1304"/>
        <w:spacing w:after="0" w:line="257" w:lineRule="auto"/>
        <w:tabs>
          <w:tab w:leader="none" w:pos="1944"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Each of the Mortgages delivered after the Closing Date, if any, will be, upon execution, effective to create in favor of the Administrative Agent, for the benefit of the Secured Parties, a legal, valid and enforceable Lien on the Mortgaged Properties described therein and proceeds thereof, and when the Mortgages are filed in the offices for the applicable jurisdictions in which the Mortgaged Properties are located, each such Mortgage shall constitute a fully perfected Lien on, and security interest in, all right, title and interest of the Loan Parties in the Mortgaged Properties and the proceeds thereof, as security for the Obligations (as defined in the relevant Mortgage), in each case prior and superior in right to any other Person (except for Liens permitted by </w:t>
      </w:r>
      <w:r>
        <w:rPr>
          <w:rFonts w:ascii="Arial" w:cs="Arial" w:eastAsia="Arial" w:hAnsi="Arial"/>
          <w:sz w:val="19"/>
          <w:szCs w:val="19"/>
          <w:u w:val="single" w:color="auto"/>
          <w:color w:val="auto"/>
        </w:rPr>
        <w:t>Section 7.3)</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4.20 Solvency; Voidable Transaction</w:t>
      </w:r>
      <w:r>
        <w:rPr>
          <w:rFonts w:ascii="Arial" w:cs="Arial" w:eastAsia="Arial" w:hAnsi="Arial"/>
          <w:sz w:val="19"/>
          <w:szCs w:val="19"/>
          <w:color w:val="auto"/>
        </w:rPr>
        <w:t>. Each Loan Party is, and immediately after giving effect to the incurrence</w:t>
      </w:r>
      <w:r>
        <w:rPr>
          <w:rFonts w:ascii="Arial" w:cs="Arial" w:eastAsia="Arial" w:hAnsi="Arial"/>
          <w:sz w:val="19"/>
          <w:szCs w:val="19"/>
          <w:b w:val="1"/>
          <w:bCs w:val="1"/>
          <w:color w:val="auto"/>
        </w:rPr>
        <w:t xml:space="preserve"> </w:t>
      </w:r>
      <w:r>
        <w:rPr>
          <w:rFonts w:ascii="Arial" w:cs="Arial" w:eastAsia="Arial" w:hAnsi="Arial"/>
          <w:sz w:val="19"/>
          <w:szCs w:val="19"/>
          <w:color w:val="auto"/>
        </w:rPr>
        <w:t>of all Indebtedness, Obligations and obligations being incurred in connection herewith, will be and will continue to be, Solvent. 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4.21 Regulation H</w:t>
      </w:r>
      <w:r>
        <w:rPr>
          <w:rFonts w:ascii="Arial" w:cs="Arial" w:eastAsia="Arial" w:hAnsi="Arial"/>
          <w:sz w:val="20"/>
          <w:szCs w:val="20"/>
          <w:color w:val="auto"/>
        </w:rPr>
        <w:t>. No Mortgage encumbers improved real property that is located in an area that has been</w:t>
      </w:r>
      <w:r>
        <w:rPr>
          <w:rFonts w:ascii="Arial" w:cs="Arial" w:eastAsia="Arial" w:hAnsi="Arial"/>
          <w:sz w:val="20"/>
          <w:szCs w:val="20"/>
          <w:b w:val="1"/>
          <w:bCs w:val="1"/>
          <w:color w:val="auto"/>
        </w:rPr>
        <w:t xml:space="preserve"> </w:t>
      </w:r>
      <w:r>
        <w:rPr>
          <w:rFonts w:ascii="Arial" w:cs="Arial" w:eastAsia="Arial" w:hAnsi="Arial"/>
          <w:sz w:val="20"/>
          <w:szCs w:val="20"/>
          <w:color w:val="auto"/>
        </w:rPr>
        <w:t>identified by the Secretary of Housing and Urban Development as an area having special flood hazards and in which flood insurance has not been made available under the National Flood Insurance Act of 1968.</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4.22 Designated Senior Indebtedness</w:t>
      </w:r>
      <w:r>
        <w:rPr>
          <w:rFonts w:ascii="Arial" w:cs="Arial" w:eastAsia="Arial" w:hAnsi="Arial"/>
          <w:sz w:val="20"/>
          <w:szCs w:val="20"/>
          <w:color w:val="auto"/>
        </w:rPr>
        <w:t>. The Loan Documents and all of the Obligations have been deemed</w:t>
      </w:r>
      <w:r>
        <w:rPr>
          <w:rFonts w:ascii="Arial" w:cs="Arial" w:eastAsia="Arial" w:hAnsi="Arial"/>
          <w:sz w:val="20"/>
          <w:szCs w:val="20"/>
          <w:b w:val="1"/>
          <w:bCs w:val="1"/>
          <w:color w:val="auto"/>
        </w:rPr>
        <w:t xml:space="preserve"> </w:t>
      </w:r>
      <w:r>
        <w:rPr>
          <w:rFonts w:ascii="Arial" w:cs="Arial" w:eastAsia="Arial" w:hAnsi="Arial"/>
          <w:sz w:val="20"/>
          <w:szCs w:val="20"/>
          <w:color w:val="auto"/>
        </w:rPr>
        <w:t>“Designated Senior Indebtedness” or a similar concept thereto, if applicable, for purposes of any other Indebtedness of the Loan Parties.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4.23</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4.24 Insurance</w:t>
      </w:r>
      <w:r>
        <w:rPr>
          <w:rFonts w:ascii="Arial" w:cs="Arial" w:eastAsia="Arial" w:hAnsi="Arial"/>
          <w:sz w:val="20"/>
          <w:szCs w:val="20"/>
          <w:color w:val="auto"/>
        </w:rPr>
        <w:t>. All insurance maintained by the Loan Parties is in full force and effect in all material respects,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all premiums have been duly paid, no Loan Party has received notice of any material violation or cancellation thereof, and there exists no material default under any requirement of such insurance. Each Loan Party maintains insurance in accordance with the requirements of </w:t>
      </w:r>
      <w:r>
        <w:rPr>
          <w:rFonts w:ascii="Arial" w:cs="Arial" w:eastAsia="Arial" w:hAnsi="Arial"/>
          <w:sz w:val="20"/>
          <w:szCs w:val="20"/>
          <w:u w:val="single" w:color="auto"/>
          <w:color w:val="auto"/>
        </w:rPr>
        <w:t>Section 6.6</w:t>
      </w:r>
      <w:r>
        <w:rPr>
          <w:rFonts w:ascii="Arial" w:cs="Arial" w:eastAsia="Arial" w:hAnsi="Arial"/>
          <w:sz w:val="20"/>
          <w:szCs w:val="20"/>
          <w:color w:val="auto"/>
        </w:rPr>
        <w:t>.</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4.25 No Casualty</w:t>
      </w:r>
      <w:r>
        <w:rPr>
          <w:rFonts w:ascii="Arial" w:cs="Arial" w:eastAsia="Arial" w:hAnsi="Arial"/>
          <w:sz w:val="20"/>
          <w:szCs w:val="20"/>
          <w:color w:val="auto"/>
        </w:rPr>
        <w:t>. No Loan Party has received any notice of, nor does any Loan Party have any knowledge of,</w:t>
      </w:r>
      <w:r>
        <w:rPr>
          <w:rFonts w:ascii="Arial" w:cs="Arial" w:eastAsia="Arial" w:hAnsi="Arial"/>
          <w:sz w:val="20"/>
          <w:szCs w:val="20"/>
          <w:b w:val="1"/>
          <w:bCs w:val="1"/>
          <w:color w:val="auto"/>
        </w:rPr>
        <w:t xml:space="preserve"> </w:t>
      </w:r>
      <w:r>
        <w:rPr>
          <w:rFonts w:ascii="Arial" w:cs="Arial" w:eastAsia="Arial" w:hAnsi="Arial"/>
          <w:sz w:val="20"/>
          <w:szCs w:val="20"/>
          <w:color w:val="auto"/>
        </w:rPr>
        <w:t>the occurrence or pendency or contemplation of any Casualty Event that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08" w:name="page109"/>
    <w:bookmarkEnd w:id="108"/>
    <w:p>
      <w:pPr>
        <w:ind w:left="660"/>
        <w:spacing w:after="0"/>
        <w:tabs>
          <w:tab w:leader="none" w:pos="1280" w:val="left"/>
        </w:tabs>
        <w:rPr>
          <w:sz w:val="20"/>
          <w:szCs w:val="20"/>
          <w:color w:val="auto"/>
        </w:rPr>
      </w:pPr>
      <w:r>
        <w:rPr>
          <w:rFonts w:ascii="Arial" w:cs="Arial" w:eastAsia="Arial" w:hAnsi="Arial"/>
          <w:sz w:val="20"/>
          <w:szCs w:val="20"/>
          <w:b w:val="1"/>
          <w:bCs w:val="1"/>
          <w:color w:val="auto"/>
        </w:rPr>
        <w:t>4.26</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4.27</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4.28 OFAC</w:t>
      </w:r>
      <w:r>
        <w:rPr>
          <w:rFonts w:ascii="Arial" w:cs="Arial" w:eastAsia="Arial" w:hAnsi="Arial"/>
          <w:sz w:val="18"/>
          <w:szCs w:val="18"/>
          <w:color w:val="auto"/>
        </w:rPr>
        <w:t>. No Group Member, nor, to the knowledge of any Group Member, any director, officer,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agent, affiliate or representative thereof, is an individual or an entity that is, or is owned or controlled by an individual or entity that is (a) currently the subject of any Sanctions, or (b) located, organized or resident in a Designated Jurisdiction.</w:t>
      </w:r>
    </w:p>
    <w:p>
      <w:pPr>
        <w:spacing w:after="0" w:line="1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4.29 Anti-Corruption Laws</w:t>
      </w:r>
      <w:r>
        <w:rPr>
          <w:rFonts w:ascii="Arial" w:cs="Arial" w:eastAsia="Arial" w:hAnsi="Arial"/>
          <w:sz w:val="20"/>
          <w:szCs w:val="20"/>
          <w:color w:val="auto"/>
        </w:rPr>
        <w:t>. Each Group Member has conducted its business in compliance with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anti-corruption laws and has instituted and maintained policies and procedures designed to promote and achieve compliance with such laws.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PRECEDENT</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5.1 Conditions to Closing</w:t>
      </w:r>
      <w:r>
        <w:rPr>
          <w:rFonts w:ascii="Arial" w:cs="Arial" w:eastAsia="Arial" w:hAnsi="Arial"/>
          <w:sz w:val="20"/>
          <w:szCs w:val="20"/>
          <w:color w:val="auto"/>
        </w:rPr>
        <w:t>. The effectiveness of this Agreement shall be subject to the satisfaction or waiver,</w:t>
      </w:r>
      <w:r>
        <w:rPr>
          <w:rFonts w:ascii="Arial" w:cs="Arial" w:eastAsia="Arial" w:hAnsi="Arial"/>
          <w:sz w:val="20"/>
          <w:szCs w:val="20"/>
          <w:b w:val="1"/>
          <w:bCs w:val="1"/>
          <w:color w:val="auto"/>
        </w:rPr>
        <w:t xml:space="preserve"> </w:t>
      </w:r>
      <w:r>
        <w:rPr>
          <w:rFonts w:ascii="Arial" w:cs="Arial" w:eastAsia="Arial" w:hAnsi="Arial"/>
          <w:sz w:val="20"/>
          <w:szCs w:val="20"/>
          <w:color w:val="auto"/>
        </w:rPr>
        <w:t>prior to or concurrently with the making of such extension of credit on the Closing Date, of the following conditions precedent:</w:t>
      </w:r>
    </w:p>
    <w:p>
      <w:pPr>
        <w:spacing w:after="0" w:line="183" w:lineRule="exact"/>
        <w:rPr>
          <w:sz w:val="20"/>
          <w:szCs w:val="20"/>
          <w:color w:val="auto"/>
        </w:rPr>
      </w:pPr>
    </w:p>
    <w:p>
      <w:pPr>
        <w:ind w:firstLine="1304"/>
        <w:spacing w:after="0" w:line="260" w:lineRule="auto"/>
        <w:tabs>
          <w:tab w:leader="none" w:pos="1944"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Loan Documents</w:t>
      </w:r>
      <w:r>
        <w:rPr>
          <w:rFonts w:ascii="Arial" w:cs="Arial" w:eastAsia="Arial" w:hAnsi="Arial"/>
          <w:sz w:val="20"/>
          <w:szCs w:val="20"/>
          <w:color w:val="auto"/>
        </w:rPr>
        <w:t>. The Administrative Agent shall have received each of the following, each of which shall be in form and substance reasonably satisfactory to the Administrative Agent:</w:t>
      </w:r>
    </w:p>
    <w:p>
      <w:pPr>
        <w:spacing w:after="0" w:line="176" w:lineRule="exact"/>
        <w:rPr>
          <w:rFonts w:ascii="Arial" w:cs="Arial" w:eastAsia="Arial" w:hAnsi="Arial"/>
          <w:sz w:val="20"/>
          <w:szCs w:val="20"/>
          <w:color w:val="auto"/>
        </w:rPr>
      </w:pPr>
    </w:p>
    <w:p>
      <w:pPr>
        <w:ind w:firstLine="1952"/>
        <w:spacing w:after="0" w:line="260" w:lineRule="auto"/>
        <w:tabs>
          <w:tab w:leader="none" w:pos="2592" w:val="left"/>
        </w:tabs>
        <w:numPr>
          <w:ilvl w:val="1"/>
          <w:numId w:val="95"/>
        </w:numPr>
        <w:rPr>
          <w:rFonts w:ascii="Arial" w:cs="Arial" w:eastAsia="Arial" w:hAnsi="Arial"/>
          <w:sz w:val="20"/>
          <w:szCs w:val="20"/>
          <w:color w:val="auto"/>
        </w:rPr>
      </w:pPr>
      <w:r>
        <w:rPr>
          <w:rFonts w:ascii="Arial" w:cs="Arial" w:eastAsia="Arial" w:hAnsi="Arial"/>
          <w:sz w:val="20"/>
          <w:szCs w:val="20"/>
          <w:color w:val="auto"/>
        </w:rPr>
        <w:t xml:space="preserve">this Agreement, executed and delivered by the Administrative Agent, the Borrower and each Lender listed on </w:t>
      </w:r>
      <w:r>
        <w:rPr>
          <w:rFonts w:ascii="Arial" w:cs="Arial" w:eastAsia="Arial" w:hAnsi="Arial"/>
          <w:sz w:val="20"/>
          <w:szCs w:val="20"/>
          <w:u w:val="single" w:color="auto"/>
          <w:color w:val="auto"/>
        </w:rPr>
        <w:t>Schedule 1.1A</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firstLine="1952"/>
        <w:spacing w:after="0" w:line="260" w:lineRule="auto"/>
        <w:tabs>
          <w:tab w:leader="none" w:pos="2592"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Collateral Information Certificate and the Disclosure Letter, each executed by a Responsible Officer of the Borrower;</w:t>
      </w:r>
    </w:p>
    <w:p>
      <w:pPr>
        <w:spacing w:after="0" w:line="176" w:lineRule="exact"/>
        <w:rPr>
          <w:rFonts w:ascii="Arial" w:cs="Arial" w:eastAsia="Arial" w:hAnsi="Arial"/>
          <w:sz w:val="20"/>
          <w:szCs w:val="20"/>
          <w:color w:val="auto"/>
        </w:rPr>
      </w:pPr>
    </w:p>
    <w:p>
      <w:pPr>
        <w:ind w:left="2600" w:hanging="648"/>
        <w:spacing w:after="0"/>
        <w:tabs>
          <w:tab w:leader="none" w:pos="26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if required by any Revolving Lender, a Revolving Loan Note executed by the Borrower in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favor of such Revolving Lender;</w:t>
      </w:r>
    </w:p>
    <w:p>
      <w:pPr>
        <w:spacing w:after="0" w:line="199" w:lineRule="exact"/>
        <w:rPr>
          <w:rFonts w:ascii="Arial" w:cs="Arial" w:eastAsia="Arial" w:hAnsi="Arial"/>
          <w:sz w:val="18"/>
          <w:szCs w:val="18"/>
          <w:color w:val="auto"/>
        </w:rPr>
      </w:pPr>
    </w:p>
    <w:p>
      <w:pPr>
        <w:ind w:left="2600" w:hanging="648"/>
        <w:spacing w:after="0"/>
        <w:tabs>
          <w:tab w:leader="none" w:pos="26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if required by the Swingline Lender, the Swingline Loan Note executed by the Borrower in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favor of such Swingline Lender;</w:t>
      </w:r>
    </w:p>
    <w:p>
      <w:pPr>
        <w:spacing w:after="0" w:line="199" w:lineRule="exact"/>
        <w:rPr>
          <w:rFonts w:ascii="Arial" w:cs="Arial" w:eastAsia="Arial" w:hAnsi="Arial"/>
          <w:sz w:val="18"/>
          <w:szCs w:val="18"/>
          <w:color w:val="auto"/>
        </w:rPr>
      </w:pPr>
    </w:p>
    <w:p>
      <w:pPr>
        <w:ind w:left="2600" w:hanging="648"/>
        <w:spacing w:after="0"/>
        <w:tabs>
          <w:tab w:leader="none" w:pos="26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Guarantee and Collateral Agreement, executed and delivered by each Grantor named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therein;</w:t>
      </w:r>
    </w:p>
    <w:p>
      <w:pPr>
        <w:spacing w:after="0" w:line="199" w:lineRule="exact"/>
        <w:rPr>
          <w:rFonts w:ascii="Arial" w:cs="Arial" w:eastAsia="Arial" w:hAnsi="Arial"/>
          <w:sz w:val="18"/>
          <w:szCs w:val="18"/>
          <w:color w:val="auto"/>
        </w:rPr>
      </w:pPr>
    </w:p>
    <w:p>
      <w:pPr>
        <w:ind w:left="2600" w:hanging="648"/>
        <w:spacing w:after="0"/>
        <w:tabs>
          <w:tab w:leader="none" w:pos="26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each Intellectual Property Security Agreement, executed by the applicable Grantor related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thereto; and</w:t>
      </w:r>
    </w:p>
    <w:p>
      <w:pPr>
        <w:spacing w:after="0" w:line="199" w:lineRule="exact"/>
        <w:rPr>
          <w:rFonts w:ascii="Arial" w:cs="Arial" w:eastAsia="Arial" w:hAnsi="Arial"/>
          <w:sz w:val="18"/>
          <w:szCs w:val="18"/>
          <w:color w:val="auto"/>
        </w:rPr>
      </w:pPr>
    </w:p>
    <w:p>
      <w:pPr>
        <w:ind w:left="2600" w:hanging="648"/>
        <w:spacing w:after="0"/>
        <w:tabs>
          <w:tab w:leader="none" w:pos="26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each other Security Document, executed and delivered by the applicable Loan Party party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thereto.</w:t>
      </w:r>
    </w:p>
    <w:p>
      <w:pPr>
        <w:spacing w:after="0" w:line="199" w:lineRule="exact"/>
        <w:rPr>
          <w:rFonts w:ascii="Arial" w:cs="Arial" w:eastAsia="Arial" w:hAnsi="Arial"/>
          <w:sz w:val="18"/>
          <w:szCs w:val="18"/>
          <w:color w:val="auto"/>
        </w:rPr>
      </w:pPr>
    </w:p>
    <w:p>
      <w:pPr>
        <w:ind w:firstLine="1304"/>
        <w:spacing w:after="0" w:line="260" w:lineRule="auto"/>
        <w:tabs>
          <w:tab w:leader="none" w:pos="1944"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Financial Statements; Projections.</w:t>
      </w:r>
      <w:r>
        <w:rPr>
          <w:rFonts w:ascii="Arial" w:cs="Arial" w:eastAsia="Arial" w:hAnsi="Arial"/>
          <w:sz w:val="20"/>
          <w:szCs w:val="20"/>
          <w:color w:val="auto"/>
        </w:rPr>
        <w:t xml:space="preserve"> The Administrative Agent shall have received the Financial Statements set forth in </w:t>
      </w:r>
      <w:r>
        <w:rPr>
          <w:rFonts w:ascii="Arial" w:cs="Arial" w:eastAsia="Arial" w:hAnsi="Arial"/>
          <w:sz w:val="20"/>
          <w:szCs w:val="20"/>
          <w:u w:val="single" w:color="auto"/>
          <w:color w:val="auto"/>
        </w:rPr>
        <w:t>Section 4.1</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Approvals.</w:t>
      </w:r>
      <w:r>
        <w:rPr>
          <w:rFonts w:ascii="Arial" w:cs="Arial" w:eastAsia="Arial" w:hAnsi="Arial"/>
          <w:sz w:val="20"/>
          <w:szCs w:val="20"/>
          <w:color w:val="auto"/>
        </w:rPr>
        <w:t xml:space="preserve"> Except for the Governmental Approvals described on Schedule </w:t>
      </w:r>
      <w:r>
        <w:rPr>
          <w:rFonts w:ascii="Arial" w:cs="Arial" w:eastAsia="Arial" w:hAnsi="Arial"/>
          <w:sz w:val="20"/>
          <w:szCs w:val="20"/>
          <w:u w:val="single" w:color="auto"/>
          <w:color w:val="auto"/>
        </w:rPr>
        <w:t>4.4</w:t>
      </w:r>
      <w:r>
        <w:rPr>
          <w:rFonts w:ascii="Arial" w:cs="Arial" w:eastAsia="Arial" w:hAnsi="Arial"/>
          <w:sz w:val="20"/>
          <w:szCs w:val="20"/>
          <w:color w:val="auto"/>
        </w:rPr>
        <w:t xml:space="preserve"> to the Disclosure Letter, all Governmental Approvals and consents and approvals of, or notices to, any other Person (including the holders of any Capital Stock issued by any Loan Party) required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09" w:name="page110"/>
    <w:bookmarkEnd w:id="109"/>
    <w:p>
      <w:pPr>
        <w:spacing w:after="0" w:line="260" w:lineRule="auto"/>
        <w:rPr>
          <w:sz w:val="20"/>
          <w:szCs w:val="20"/>
          <w:color w:val="auto"/>
        </w:rPr>
      </w:pPr>
      <w:r>
        <w:rPr>
          <w:rFonts w:ascii="Arial" w:cs="Arial" w:eastAsia="Arial" w:hAnsi="Arial"/>
          <w:sz w:val="20"/>
          <w:szCs w:val="20"/>
          <w:color w:val="auto"/>
        </w:rPr>
        <w:t>the execution and performance of the Loan Documents, and the consummation of the transactions contemplated hereby, shall have been obtained and be in full force and effect.</w:t>
      </w:r>
    </w:p>
    <w:p>
      <w:pPr>
        <w:spacing w:after="0" w:line="177" w:lineRule="exact"/>
        <w:rPr>
          <w:sz w:val="20"/>
          <w:szCs w:val="20"/>
          <w:color w:val="auto"/>
        </w:rPr>
      </w:pPr>
    </w:p>
    <w:p>
      <w:pPr>
        <w:jc w:val="both"/>
        <w:ind w:firstLine="1304"/>
        <w:spacing w:after="0" w:line="255" w:lineRule="auto"/>
        <w:tabs>
          <w:tab w:leader="none" w:pos="1944"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Secretary’s or Managing Member’s Certificates; Certified Operating Documents; Good Standing Certificates.</w:t>
      </w:r>
      <w:r>
        <w:rPr>
          <w:rFonts w:ascii="Arial" w:cs="Arial" w:eastAsia="Arial" w:hAnsi="Arial"/>
          <w:sz w:val="19"/>
          <w:szCs w:val="19"/>
          <w:color w:val="auto"/>
        </w:rPr>
        <w:t xml:space="preserve"> The Administrative Agent shall have received (i) a certificate of each Loan Party, dated the Closing Date and executed by the Secretary, Managing Member or equivalent officer of such Loan Party,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with appropriate insertions and attachments, including (A) the Operating Documents of such Loan Party certified, in the case of formation documents, as of a recent date by the secretary of state or similar official of the relevant jurisdiction of organization of such Loan Party, (B) the relevant board resolutions or written consents of such Loan Party adopted by such Loan Party for the purposes of authorizing such Loan Party to enter into and perform the Loan Documents to which such Loan Party is party, and (C) the names, titles, incumbency and signature specimens of those representatives of such Loan Party who have been authorized by such resolutions and/or written consents to execute Loan Documents on behalf of such Loan Party, (ii) a good standing certificate for each Loan Party from its respective jurisdiction of organization, and (iii) certificates for foreign qualification from each jurisdiction where the failure of a Loan Party to be qualified could reasonably be expected to have a Material Adverse Effect.</w:t>
      </w:r>
    </w:p>
    <w:p>
      <w:pPr>
        <w:spacing w:after="0" w:line="184" w:lineRule="exact"/>
        <w:rPr>
          <w:rFonts w:ascii="Arial" w:cs="Arial" w:eastAsia="Arial" w:hAnsi="Arial"/>
          <w:sz w:val="19"/>
          <w:szCs w:val="19"/>
          <w:color w:val="auto"/>
        </w:rPr>
      </w:pPr>
    </w:p>
    <w:p>
      <w:pPr>
        <w:ind w:left="1960" w:hanging="656"/>
        <w:spacing w:after="0"/>
        <w:tabs>
          <w:tab w:leader="none" w:pos="196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Responsible Officer’s Certificates.</w:t>
      </w:r>
    </w:p>
    <w:p>
      <w:pPr>
        <w:spacing w:after="0" w:line="215" w:lineRule="exact"/>
        <w:rPr>
          <w:rFonts w:ascii="Arial" w:cs="Arial" w:eastAsia="Arial" w:hAnsi="Arial"/>
          <w:sz w:val="20"/>
          <w:szCs w:val="20"/>
          <w:color w:val="auto"/>
        </w:rPr>
      </w:pPr>
    </w:p>
    <w:p>
      <w:pPr>
        <w:jc w:val="both"/>
        <w:ind w:firstLine="1952"/>
        <w:spacing w:after="0" w:line="260" w:lineRule="auto"/>
        <w:tabs>
          <w:tab w:leader="none" w:pos="2592"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Administrative Agent shall have received a certificate signed by a Responsible Officer of the Borrower, in form and substance reasonably satisfactory to it, either (A) attaching copies of all consents, licenses and approvals required in connection with the execution, delivery and performance by such Loan Party and the validity against such Loan Party of the Loan Documents to which it is party, and such consents, licenses and approvals shall be in full force and effect, or (B) stating that no such consents, licenses or approvals are so required.</w:t>
      </w:r>
    </w:p>
    <w:p>
      <w:pPr>
        <w:spacing w:after="0" w:line="180" w:lineRule="exact"/>
        <w:rPr>
          <w:rFonts w:ascii="Arial" w:cs="Arial" w:eastAsia="Arial" w:hAnsi="Arial"/>
          <w:sz w:val="19"/>
          <w:szCs w:val="19"/>
          <w:color w:val="auto"/>
        </w:rPr>
      </w:pPr>
    </w:p>
    <w:p>
      <w:pPr>
        <w:jc w:val="both"/>
        <w:ind w:firstLine="1952"/>
        <w:spacing w:after="0" w:line="244" w:lineRule="auto"/>
        <w:tabs>
          <w:tab w:leader="none" w:pos="2592" w:val="left"/>
        </w:tabs>
        <w:numPr>
          <w:ilvl w:val="1"/>
          <w:numId w:val="96"/>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 certificate signed by a Responsible Officer of the Borrower, dated as of the Closing Date and in form and substance reasonably satisfactory to it, certifying (A) that the conditions specified in </w:t>
      </w:r>
      <w:r>
        <w:rPr>
          <w:rFonts w:ascii="Arial" w:cs="Arial" w:eastAsia="Arial" w:hAnsi="Arial"/>
          <w:sz w:val="20"/>
          <w:szCs w:val="20"/>
          <w:u w:val="single" w:color="auto"/>
          <w:color w:val="auto"/>
        </w:rPr>
        <w:t>Sections 5.2(a)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(d)</w:t>
      </w:r>
      <w:r>
        <w:rPr>
          <w:rFonts w:ascii="Arial" w:cs="Arial" w:eastAsia="Arial" w:hAnsi="Arial"/>
          <w:sz w:val="20"/>
          <w:szCs w:val="20"/>
          <w:color w:val="auto"/>
        </w:rPr>
        <w:t xml:space="preserve"> have been satisfied, and (B) that there has been no event or circumstance since December 31, 2019, that has had or that could reasonably be expected to have, either individually or in the aggregate, a Material Adverse Effect.</w:t>
      </w:r>
    </w:p>
    <w:p>
      <w:pPr>
        <w:spacing w:after="0" w:line="194" w:lineRule="exact"/>
        <w:rPr>
          <w:rFonts w:ascii="Arial" w:cs="Arial" w:eastAsia="Arial" w:hAnsi="Arial"/>
          <w:sz w:val="20"/>
          <w:szCs w:val="20"/>
          <w:color w:val="auto"/>
        </w:rPr>
      </w:pPr>
    </w:p>
    <w:p>
      <w:pPr>
        <w:jc w:val="both"/>
        <w:ind w:firstLine="1304"/>
        <w:spacing w:after="0" w:line="282" w:lineRule="auto"/>
        <w:tabs>
          <w:tab w:leader="none" w:pos="1944"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Patriot Act, etc.</w:t>
      </w:r>
      <w:r>
        <w:rPr>
          <w:rFonts w:ascii="Arial" w:cs="Arial" w:eastAsia="Arial" w:hAnsi="Arial"/>
          <w:sz w:val="18"/>
          <w:szCs w:val="18"/>
          <w:color w:val="auto"/>
        </w:rPr>
        <w:t xml:space="preserve"> The Administrative Agent and each Lender shall have received, prior to the Closing Date, to the extent requested at least five (5) Business Days prior to the Closing Date, all documentation and other information requested to comply with applicable “know your customer” and anti-money-laundering rules and regulations, including the Patriot Act, and a properly completed and signed IRS Form W-8 or W-9, as applicable, for each Loan Party.</w:t>
      </w:r>
    </w:p>
    <w:p>
      <w:pPr>
        <w:spacing w:after="0" w:line="161" w:lineRule="exact"/>
        <w:rPr>
          <w:rFonts w:ascii="Arial" w:cs="Arial" w:eastAsia="Arial" w:hAnsi="Arial"/>
          <w:sz w:val="18"/>
          <w:szCs w:val="18"/>
          <w:color w:val="auto"/>
        </w:rPr>
      </w:pPr>
    </w:p>
    <w:p>
      <w:pPr>
        <w:jc w:val="both"/>
        <w:ind w:firstLine="1304"/>
        <w:spacing w:after="0" w:line="244" w:lineRule="auto"/>
        <w:tabs>
          <w:tab w:leader="none" w:pos="1944"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Due Diligence Investigation</w:t>
      </w:r>
      <w:r>
        <w:rPr>
          <w:rFonts w:ascii="Arial" w:cs="Arial" w:eastAsia="Arial" w:hAnsi="Arial"/>
          <w:sz w:val="20"/>
          <w:szCs w:val="20"/>
          <w:color w:val="auto"/>
        </w:rPr>
        <w:t>. The Administrative Agent shall have completed a due diligence investigation of the Group Members in scope, and with results, satisfactory to the Administrative Agent and shall have been given such access to the management, records, books of account, contracts and properties of the Group Members and shall have received such financial, business and other information regarding each of the foregoing Persons and businesses as it shall have requested.</w:t>
      </w:r>
    </w:p>
    <w:p>
      <w:pPr>
        <w:spacing w:after="0" w:line="194" w:lineRule="exact"/>
        <w:rPr>
          <w:rFonts w:ascii="Arial" w:cs="Arial" w:eastAsia="Arial" w:hAnsi="Arial"/>
          <w:sz w:val="20"/>
          <w:szCs w:val="20"/>
          <w:color w:val="auto"/>
        </w:rPr>
      </w:pPr>
    </w:p>
    <w:p>
      <w:pPr>
        <w:ind w:firstLine="1304"/>
        <w:spacing w:after="0" w:line="260" w:lineRule="auto"/>
        <w:tabs>
          <w:tab w:leader="none" w:pos="1944"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Reports.</w:t>
      </w:r>
      <w:r>
        <w:rPr>
          <w:rFonts w:ascii="Arial" w:cs="Arial" w:eastAsia="Arial" w:hAnsi="Arial"/>
          <w:sz w:val="20"/>
          <w:szCs w:val="20"/>
          <w:color w:val="auto"/>
        </w:rPr>
        <w:t xml:space="preserve"> The Administrative Agent shall have received, in form and substance satisfactory to it, all asset appraisals, field audits, and such other reports and certifications, as it has reasonably requested.</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Collateral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10" w:name="page111"/>
    <w:bookmarkEnd w:id="110"/>
    <w:p>
      <w:pPr>
        <w:jc w:val="both"/>
        <w:ind w:firstLine="1952"/>
        <w:spacing w:after="0" w:line="246" w:lineRule="auto"/>
        <w:tabs>
          <w:tab w:leader="none" w:pos="2592" w:val="left"/>
        </w:tabs>
        <w:numPr>
          <w:ilvl w:val="1"/>
          <w:numId w:val="97"/>
        </w:numPr>
        <w:rPr>
          <w:rFonts w:ascii="Arial" w:cs="Arial" w:eastAsia="Arial" w:hAnsi="Arial"/>
          <w:sz w:val="20"/>
          <w:szCs w:val="20"/>
          <w:color w:val="auto"/>
        </w:rPr>
      </w:pPr>
      <w:r>
        <w:rPr>
          <w:rFonts w:ascii="Arial" w:cs="Arial" w:eastAsia="Arial" w:hAnsi="Arial"/>
          <w:sz w:val="20"/>
          <w:szCs w:val="20"/>
          <w:u w:val="single" w:color="auto"/>
          <w:color w:val="auto"/>
        </w:rPr>
        <w:t>Lien Searches</w:t>
      </w:r>
      <w:r>
        <w:rPr>
          <w:rFonts w:ascii="Arial" w:cs="Arial" w:eastAsia="Arial" w:hAnsi="Arial"/>
          <w:sz w:val="20"/>
          <w:szCs w:val="20"/>
          <w:color w:val="auto"/>
        </w:rPr>
        <w:t xml:space="preserve">. The Administrative Agent shall have received the results of recent lien, judgment and litigation searches in each of the jurisdictions reasonably required by the Administrative Agent, and such searches shall reveal no Liens on any of the assets of the Loan Parties except for Liens permitted by </w:t>
      </w:r>
      <w:r>
        <w:rPr>
          <w:rFonts w:ascii="Arial" w:cs="Arial" w:eastAsia="Arial" w:hAnsi="Arial"/>
          <w:sz w:val="20"/>
          <w:szCs w:val="20"/>
          <w:u w:val="single" w:color="auto"/>
          <w:color w:val="auto"/>
        </w:rPr>
        <w:t>Section 7.3</w:t>
      </w:r>
      <w:r>
        <w:rPr>
          <w:rFonts w:ascii="Arial" w:cs="Arial" w:eastAsia="Arial" w:hAnsi="Arial"/>
          <w:sz w:val="20"/>
          <w:szCs w:val="20"/>
          <w:color w:val="auto"/>
        </w:rPr>
        <w:t>, or Liens to be discharged on or prior to the Closing Date.</w:t>
      </w:r>
    </w:p>
    <w:p>
      <w:pPr>
        <w:spacing w:after="0" w:line="191" w:lineRule="exact"/>
        <w:rPr>
          <w:rFonts w:ascii="Arial" w:cs="Arial" w:eastAsia="Arial" w:hAnsi="Arial"/>
          <w:sz w:val="20"/>
          <w:szCs w:val="20"/>
          <w:color w:val="auto"/>
        </w:rPr>
      </w:pPr>
    </w:p>
    <w:p>
      <w:pPr>
        <w:jc w:val="both"/>
        <w:ind w:firstLine="1952"/>
        <w:spacing w:after="0" w:line="257" w:lineRule="auto"/>
        <w:tabs>
          <w:tab w:leader="none" w:pos="2592" w:val="left"/>
        </w:tabs>
        <w:numPr>
          <w:ilvl w:val="1"/>
          <w:numId w:val="97"/>
        </w:numPr>
        <w:rPr>
          <w:rFonts w:ascii="Arial" w:cs="Arial" w:eastAsia="Arial" w:hAnsi="Arial"/>
          <w:sz w:val="19"/>
          <w:szCs w:val="19"/>
          <w:color w:val="auto"/>
        </w:rPr>
      </w:pPr>
      <w:r>
        <w:rPr>
          <w:rFonts w:ascii="Arial" w:cs="Arial" w:eastAsia="Arial" w:hAnsi="Arial"/>
          <w:sz w:val="19"/>
          <w:szCs w:val="19"/>
          <w:u w:val="single" w:color="auto"/>
          <w:color w:val="auto"/>
        </w:rPr>
        <w:t>Pledged Stock; Stock Powers; Pledged Notes</w:t>
      </w:r>
      <w:r>
        <w:rPr>
          <w:rFonts w:ascii="Arial" w:cs="Arial" w:eastAsia="Arial" w:hAnsi="Arial"/>
          <w:sz w:val="19"/>
          <w:szCs w:val="19"/>
          <w:color w:val="auto"/>
        </w:rPr>
        <w:t>. Other than as agreed to by the Administrative Agent in its reasonable discretion (and subject to Section 6.12(d) with respect to Axcelis Technologies, Limited), the Administrative Agent shall have received (A) the certificates, if any, representing the shares of Capital Stock pledged to the Administrative Agent (for the benefit of the Secured Parties) pursuant to the Guarantee and Collateral Agreement, together with an undated stock power for each such certificate executed in blank by a duly authorized officer of the pledgor thereof, and (B) each promissory note (if any) pledged to the Administrative Agent (for the benefit of the Secured Parties) pursuant to the Guarantee and Collateral Agreement, endorsed (without recourse) in blank (or accompanied by an executed transfer form in blank) by the pledgor thereof.</w:t>
      </w:r>
    </w:p>
    <w:p>
      <w:pPr>
        <w:spacing w:after="0" w:line="180" w:lineRule="exact"/>
        <w:rPr>
          <w:rFonts w:ascii="Arial" w:cs="Arial" w:eastAsia="Arial" w:hAnsi="Arial"/>
          <w:sz w:val="19"/>
          <w:szCs w:val="19"/>
          <w:color w:val="auto"/>
        </w:rPr>
      </w:pPr>
    </w:p>
    <w:p>
      <w:pPr>
        <w:jc w:val="both"/>
        <w:ind w:firstLine="1952"/>
        <w:spacing w:after="0" w:line="274" w:lineRule="auto"/>
        <w:tabs>
          <w:tab w:leader="none" w:pos="2592"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Filings, Registrations, Recordings, Agreements, Etc.</w:t>
      </w:r>
      <w:r>
        <w:rPr>
          <w:rFonts w:ascii="Arial" w:cs="Arial" w:eastAsia="Arial" w:hAnsi="Arial"/>
          <w:sz w:val="18"/>
          <w:szCs w:val="18"/>
          <w:color w:val="auto"/>
        </w:rPr>
        <w:t xml:space="preserve"> Each document (including any UCC financing statements, Deposit Account Control Agreements, Securities Account Control Agreements, landlord waivers and bailee agreements) required by the Security Documents or under law or reasonably requested by the Administrative Agent to be filed, registered or recorded to create in favor of the Administrative Agent (for the benefit of the Secured Parties), a perfected Lien on the Collateral described therein, prior and superior in right and priority to any Lien in the Collateral held by any other Person (other than with respect to Liens expressly permitted by </w:t>
      </w:r>
      <w:r>
        <w:rPr>
          <w:rFonts w:ascii="Arial" w:cs="Arial" w:eastAsia="Arial" w:hAnsi="Arial"/>
          <w:sz w:val="18"/>
          <w:szCs w:val="18"/>
          <w:u w:val="single" w:color="auto"/>
          <w:color w:val="auto"/>
        </w:rPr>
        <w:t>Section 7.3</w:t>
      </w:r>
      <w:r>
        <w:rPr>
          <w:rFonts w:ascii="Arial" w:cs="Arial" w:eastAsia="Arial" w:hAnsi="Arial"/>
          <w:sz w:val="18"/>
          <w:szCs w:val="18"/>
          <w:color w:val="auto"/>
        </w:rPr>
        <w:t>), shall have been executed and delivered to the Administrative Agent or, as applicable, be in proper form for filing, registration or recordation.</w:t>
      </w:r>
    </w:p>
    <w:p>
      <w:pPr>
        <w:spacing w:after="0" w:line="168" w:lineRule="exact"/>
        <w:rPr>
          <w:rFonts w:ascii="Arial" w:cs="Arial" w:eastAsia="Arial" w:hAnsi="Arial"/>
          <w:sz w:val="18"/>
          <w:szCs w:val="18"/>
          <w:color w:val="auto"/>
        </w:rPr>
      </w:pPr>
    </w:p>
    <w:p>
      <w:pPr>
        <w:ind w:left="1960" w:hanging="656"/>
        <w:spacing w:after="0"/>
        <w:tabs>
          <w:tab w:leader="none" w:pos="1960"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63" w:lineRule="auto"/>
        <w:tabs>
          <w:tab w:leader="none" w:pos="1944"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Fees</w:t>
      </w:r>
      <w:r>
        <w:rPr>
          <w:rFonts w:ascii="Arial" w:cs="Arial" w:eastAsia="Arial" w:hAnsi="Arial"/>
          <w:sz w:val="19"/>
          <w:szCs w:val="19"/>
          <w:color w:val="auto"/>
        </w:rPr>
        <w:t>. The Lenders and the Administrative Agent shall have received all fees required to be paid on or prior to the Closing Date (including pursuant to the Fee Letter), and all reasonable and documented fees and expenses for which invoices have been presented (including the reasonable and documented fees and expenses of legal counsel to the Administrative Agent) for payment on or before the Closing Date.</w:t>
      </w:r>
    </w:p>
    <w:p>
      <w:pPr>
        <w:spacing w:after="0" w:line="176" w:lineRule="exact"/>
        <w:rPr>
          <w:rFonts w:ascii="Arial" w:cs="Arial" w:eastAsia="Arial" w:hAnsi="Arial"/>
          <w:sz w:val="19"/>
          <w:szCs w:val="19"/>
          <w:color w:val="auto"/>
        </w:rPr>
      </w:pPr>
    </w:p>
    <w:p>
      <w:pPr>
        <w:jc w:val="both"/>
        <w:ind w:firstLine="1304"/>
        <w:spacing w:after="0" w:line="250" w:lineRule="auto"/>
        <w:tabs>
          <w:tab w:leader="none" w:pos="1944"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Legal Opinions</w:t>
      </w:r>
      <w:r>
        <w:rPr>
          <w:rFonts w:ascii="Arial" w:cs="Arial" w:eastAsia="Arial" w:hAnsi="Arial"/>
          <w:sz w:val="20"/>
          <w:szCs w:val="20"/>
          <w:color w:val="auto"/>
        </w:rPr>
        <w:t>. The Administrative Agent shall have received the executed legal opinion of Mintz, Levin, Cohn, Ferris, Glovsky and Popeo, P.C., counsel to the Loan Parties, in form and substance reasonably satisfactory to the Administrative Agent.</w:t>
      </w:r>
    </w:p>
    <w:p>
      <w:pPr>
        <w:spacing w:after="0" w:line="179" w:lineRule="exact"/>
        <w:rPr>
          <w:rFonts w:ascii="Arial" w:cs="Arial" w:eastAsia="Arial" w:hAnsi="Arial"/>
          <w:sz w:val="20"/>
          <w:szCs w:val="20"/>
          <w:color w:val="auto"/>
        </w:rPr>
      </w:pPr>
    </w:p>
    <w:p>
      <w:pPr>
        <w:ind w:left="1960" w:hanging="656"/>
        <w:spacing w:after="0"/>
        <w:tabs>
          <w:tab w:leader="none" w:pos="1960"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color w:val="auto"/>
        </w:rPr>
      </w:pPr>
    </w:p>
    <w:p>
      <w:pPr>
        <w:ind w:right="20" w:firstLine="1304"/>
        <w:spacing w:after="0" w:line="260" w:lineRule="auto"/>
        <w:tabs>
          <w:tab w:leader="none" w:pos="1944"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Solvency Certificate</w:t>
      </w:r>
      <w:r>
        <w:rPr>
          <w:rFonts w:ascii="Arial" w:cs="Arial" w:eastAsia="Arial" w:hAnsi="Arial"/>
          <w:sz w:val="20"/>
          <w:szCs w:val="20"/>
          <w:color w:val="auto"/>
        </w:rPr>
        <w:t>. The Administrative Agent shall have received a Solvency Certificate from the chief financial officer, chief accounting officer or treasurer of the Borrower.</w:t>
      </w:r>
    </w:p>
    <w:p>
      <w:pPr>
        <w:spacing w:after="0" w:line="176" w:lineRule="exact"/>
        <w:rPr>
          <w:rFonts w:ascii="Arial" w:cs="Arial" w:eastAsia="Arial" w:hAnsi="Arial"/>
          <w:sz w:val="20"/>
          <w:szCs w:val="20"/>
          <w:color w:val="auto"/>
        </w:rPr>
      </w:pPr>
    </w:p>
    <w:p>
      <w:pPr>
        <w:ind w:firstLine="1304"/>
        <w:spacing w:after="0" w:line="316" w:lineRule="auto"/>
        <w:tabs>
          <w:tab w:leader="none" w:pos="194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There shall not have occurred since December 31, 2019, any event or condition that has had or could be reasonably expected to have, individually or in the aggregate, a Material Adverse Effect.</w:t>
      </w:r>
    </w:p>
    <w:p>
      <w:pPr>
        <w:spacing w:after="0" w:line="129" w:lineRule="exact"/>
        <w:rPr>
          <w:rFonts w:ascii="Arial" w:cs="Arial" w:eastAsia="Arial" w:hAnsi="Arial"/>
          <w:sz w:val="18"/>
          <w:szCs w:val="18"/>
          <w:color w:val="auto"/>
        </w:rPr>
      </w:pPr>
    </w:p>
    <w:p>
      <w:pPr>
        <w:jc w:val="both"/>
        <w:ind w:right="20" w:firstLine="1304"/>
        <w:spacing w:after="0" w:line="250" w:lineRule="auto"/>
        <w:tabs>
          <w:tab w:leader="none" w:pos="1944"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No Litigation</w:t>
      </w:r>
      <w:r>
        <w:rPr>
          <w:rFonts w:ascii="Arial" w:cs="Arial" w:eastAsia="Arial" w:hAnsi="Arial"/>
          <w:sz w:val="20"/>
          <w:szCs w:val="20"/>
          <w:color w:val="auto"/>
        </w:rPr>
        <w:t>. No litigation, investigation or proceeding of or before any arbitrator or Governmental Authority is pending or, to the knowledge of any Group Member, threatened, that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11" w:name="page112"/>
    <w:bookmarkEnd w:id="111"/>
    <w:p>
      <w:pPr>
        <w:jc w:val="both"/>
        <w:ind w:firstLine="648"/>
        <w:spacing w:after="0" w:line="255" w:lineRule="auto"/>
        <w:rPr>
          <w:sz w:val="20"/>
          <w:szCs w:val="20"/>
          <w:color w:val="auto"/>
        </w:rPr>
      </w:pPr>
      <w:r>
        <w:rPr>
          <w:rFonts w:ascii="Arial" w:cs="Arial" w:eastAsia="Arial" w:hAnsi="Arial"/>
          <w:sz w:val="19"/>
          <w:szCs w:val="19"/>
          <w:color w:val="auto"/>
        </w:rPr>
        <w:t xml:space="preserve">For purposes of determining compliance with the conditions specified in this </w:t>
      </w:r>
      <w:r>
        <w:rPr>
          <w:rFonts w:ascii="Arial" w:cs="Arial" w:eastAsia="Arial" w:hAnsi="Arial"/>
          <w:sz w:val="19"/>
          <w:szCs w:val="19"/>
          <w:u w:val="single" w:color="auto"/>
          <w:color w:val="auto"/>
        </w:rPr>
        <w:t>Section 5.1</w:t>
      </w:r>
      <w:r>
        <w:rPr>
          <w:rFonts w:ascii="Arial" w:cs="Arial" w:eastAsia="Arial" w:hAnsi="Arial"/>
          <w:sz w:val="19"/>
          <w:szCs w:val="19"/>
          <w:color w:val="auto"/>
        </w:rPr>
        <w:t>, each Lender that has executed this Agreement shall be deemed to have consented to, approved or accepted or to be satisfied with, each document or other matter either sent (or made available) by the Administrative Agent to such Lender for consent, approval, acceptance or satisfaction, or required thereunder to be consented to or approved by or acceptable or satisfactory to such Lender, unless an officer of the Administrative Agent responsible for the transactions contemplated by the Loan Documents shall have received notice from such Lender prior to the Closing Date specifying such Lender’s objection thereto and either such objection shall not have been withdrawn by notice to the Administrative Agent to that effect on or prior to the Closing Date or, if any extension of credit on the Closing Date has been requested, such Lender shall not have made available to the Administrative Agent on or prior to the Closing Date such Lender’s Revolving Percentage of such requested extension of credit.</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5.2 Conditions to Each Extension of Credit</w:t>
      </w:r>
      <w:r>
        <w:rPr>
          <w:rFonts w:ascii="Arial" w:cs="Arial" w:eastAsia="Arial" w:hAnsi="Arial"/>
          <w:sz w:val="20"/>
          <w:szCs w:val="20"/>
          <w:color w:val="auto"/>
        </w:rPr>
        <w:t>. The agreement of each Lender to make any extension of credit</w:t>
      </w:r>
      <w:r>
        <w:rPr>
          <w:rFonts w:ascii="Arial" w:cs="Arial" w:eastAsia="Arial" w:hAnsi="Arial"/>
          <w:sz w:val="20"/>
          <w:szCs w:val="20"/>
          <w:b w:val="1"/>
          <w:bCs w:val="1"/>
          <w:color w:val="auto"/>
        </w:rPr>
        <w:t xml:space="preserve"> </w:t>
      </w:r>
      <w:r>
        <w:rPr>
          <w:rFonts w:ascii="Arial" w:cs="Arial" w:eastAsia="Arial" w:hAnsi="Arial"/>
          <w:sz w:val="20"/>
          <w:szCs w:val="20"/>
          <w:color w:val="auto"/>
        </w:rPr>
        <w:t>requested to be made by it on any date (including its initial extension of credit) is subject to the satisfaction of the following conditions precedent:</w:t>
      </w:r>
    </w:p>
    <w:p>
      <w:pPr>
        <w:spacing w:after="0" w:line="183" w:lineRule="exact"/>
        <w:rPr>
          <w:sz w:val="20"/>
          <w:szCs w:val="20"/>
          <w:color w:val="auto"/>
        </w:rPr>
      </w:pPr>
    </w:p>
    <w:p>
      <w:pPr>
        <w:jc w:val="both"/>
        <w:ind w:firstLine="1304"/>
        <w:spacing w:after="0" w:line="243" w:lineRule="auto"/>
        <w:tabs>
          <w:tab w:leader="none" w:pos="1944"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of the representations and warranties made by each Loan Party in or pursuant to any Loan Document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spacing w:after="0" w:line="19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Availability.</w:t>
      </w:r>
      <w:r>
        <w:rPr>
          <w:rFonts w:ascii="Arial" w:cs="Arial" w:eastAsia="Arial" w:hAnsi="Arial"/>
          <w:sz w:val="20"/>
          <w:szCs w:val="20"/>
          <w:color w:val="auto"/>
        </w:rPr>
        <w:t xml:space="preserve"> With respect to any requests for any Revolving Extensions of Credit, after giving effect to such Revolving Extension of Credit, the availability and borrowing limitations specified in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shall be complied with.</w:t>
      </w:r>
    </w:p>
    <w:p>
      <w:pPr>
        <w:spacing w:after="0" w:line="185" w:lineRule="exact"/>
        <w:rPr>
          <w:rFonts w:ascii="Arial" w:cs="Arial" w:eastAsia="Arial" w:hAnsi="Arial"/>
          <w:sz w:val="20"/>
          <w:szCs w:val="20"/>
          <w:color w:val="auto"/>
        </w:rPr>
      </w:pPr>
    </w:p>
    <w:p>
      <w:pPr>
        <w:ind w:right="20" w:firstLine="1304"/>
        <w:spacing w:after="0" w:line="260" w:lineRule="auto"/>
        <w:tabs>
          <w:tab w:leader="none" w:pos="1944"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Notices of Borrowing.</w:t>
      </w:r>
      <w:r>
        <w:rPr>
          <w:rFonts w:ascii="Arial" w:cs="Arial" w:eastAsia="Arial" w:hAnsi="Arial"/>
          <w:sz w:val="20"/>
          <w:szCs w:val="20"/>
          <w:color w:val="auto"/>
        </w:rPr>
        <w:t xml:space="preserve"> The Administrative Agent shall have received a Notice of Borrowing in connection with any such request for extension of credit which complies with the requirements hereof.</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xml:space="preserve"> No Default or Event of Default shall have occurred and be continuing as of or on such date or immediately after giving effect to the extensions of credit requested to be made on such date.</w:t>
      </w:r>
    </w:p>
    <w:p>
      <w:pPr>
        <w:spacing w:after="0" w:line="176" w:lineRule="exact"/>
        <w:rPr>
          <w:rFonts w:ascii="Arial" w:cs="Arial" w:eastAsia="Arial" w:hAnsi="Arial"/>
          <w:sz w:val="20"/>
          <w:szCs w:val="20"/>
          <w:color w:val="auto"/>
        </w:rPr>
      </w:pPr>
    </w:p>
    <w:p>
      <w:pPr>
        <w:jc w:val="both"/>
        <w:ind w:firstLine="1304"/>
        <w:spacing w:after="0" w:line="263" w:lineRule="auto"/>
        <w:tabs>
          <w:tab w:leader="none" w:pos="1944"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Pro Forma Covenant Compliance</w:t>
      </w:r>
      <w:r>
        <w:rPr>
          <w:rFonts w:ascii="Arial" w:cs="Arial" w:eastAsia="Arial" w:hAnsi="Arial"/>
          <w:sz w:val="19"/>
          <w:szCs w:val="19"/>
          <w:color w:val="auto"/>
        </w:rPr>
        <w:t xml:space="preserve">. The Borrower shall be in compliance with the financial covenants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hereof as of the last day of the most recent fiscal quarter for which financial statements have been delivered pursuant to Section 6.1(b), with the aggregate outstanding amount of all Revolving Extensions of Credit calculated on a pro forma basis giving effect to such requested Revolving Extension of Credit.</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Each borrowing by and issuance of a Letter of Credit on behalf of the Borrower hereunder and each Revolving Loan Conversion shall constitute a representation and warranty by the Borrower as of the date of such extension of credit, or Revolving Loan Conversion, as applicable, that the conditions contained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have been satisfied.</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Notwithstanding anything to the contrary contained herein in </w:t>
      </w:r>
      <w:r>
        <w:rPr>
          <w:rFonts w:ascii="Arial" w:cs="Arial" w:eastAsia="Arial" w:hAnsi="Arial"/>
          <w:sz w:val="20"/>
          <w:szCs w:val="20"/>
          <w:u w:val="single" w:color="auto"/>
          <w:color w:val="auto"/>
        </w:rPr>
        <w:t>Section 5.2(a), (d) or (e)</w:t>
      </w:r>
      <w:r>
        <w:rPr>
          <w:rFonts w:ascii="Arial" w:cs="Arial" w:eastAsia="Arial" w:hAnsi="Arial"/>
          <w:sz w:val="20"/>
          <w:szCs w:val="20"/>
          <w:color w:val="auto"/>
        </w:rPr>
        <w:t xml:space="preserve"> , to the extent that the proceeds of an applicable extension of credit are being used to finance a Limited Condition Acquisition and an LCA Election has been made, the availability thereof shall be subject to customary “SunGard” or “certain funds” conditionality to the extent agreed by the Borrower and the Lenders providing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 xml:space="preserve">such extension of credit; </w:t>
      </w:r>
      <w:r>
        <w:rPr>
          <w:rFonts w:ascii="Arial" w:cs="Arial" w:eastAsia="Arial" w:hAnsi="Arial"/>
          <w:sz w:val="18"/>
          <w:szCs w:val="18"/>
          <w:u w:val="single" w:color="auto"/>
          <w:color w:val="auto"/>
        </w:rPr>
        <w:t>and</w:t>
      </w:r>
      <w:r>
        <w:rPr>
          <w:rFonts w:ascii="Arial" w:cs="Arial" w:eastAsia="Arial" w:hAnsi="Arial"/>
          <w:sz w:val="18"/>
          <w:szCs w:val="18"/>
          <w:color w:val="auto"/>
        </w:rPr>
        <w:t>, that if customary “SunGard” or “certain funds” conditionality applies, solely with respect to</w:t>
      </w:r>
    </w:p>
    <w:p>
      <w:pPr>
        <w:spacing w:after="0" w:line="39" w:lineRule="exact"/>
        <w:rPr>
          <w:sz w:val="20"/>
          <w:szCs w:val="20"/>
          <w:color w:val="auto"/>
        </w:rPr>
      </w:pPr>
    </w:p>
    <w:p>
      <w:pPr>
        <w:jc w:val="both"/>
        <w:ind w:firstLine="8"/>
        <w:spacing w:after="0" w:line="271" w:lineRule="auto"/>
        <w:tabs>
          <w:tab w:leader="none" w:pos="28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(i) only the Specified Representations shall be required to be satisfied as a condition to such extension of credit (but all representations and warranties shall still be made on the date of such extension of credit) and (ii) the Specified Acquisition Agreement Representations shall be true and correct on the date the extension of credit is made, (y)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5.2(d)</w:t>
      </w:r>
      <w:r>
        <w:rPr>
          <w:rFonts w:ascii="Arial" w:cs="Arial" w:eastAsia="Arial" w:hAnsi="Arial"/>
          <w:sz w:val="18"/>
          <w:szCs w:val="18"/>
          <w:color w:val="auto"/>
        </w:rPr>
        <w:t xml:space="preserve">, (i) no Event of Default shall exist at, or occur immediately after, the signing of the applicable definitive acquisition agreement for such Limited Condition Acquisition and (ii) no Event of Default under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8.1(f)</w:t>
      </w:r>
      <w:r>
        <w:rPr>
          <w:rFonts w:ascii="Arial" w:cs="Arial" w:eastAsia="Arial" w:hAnsi="Arial"/>
          <w:sz w:val="18"/>
          <w:szCs w:val="18"/>
          <w:color w:val="auto"/>
        </w:rPr>
        <w:t xml:space="preserve"> shall exist before or immediately after giving effect to such Loan and the consummation of such Limited Condition Acquisition, and (z) </w:t>
      </w:r>
      <w:r>
        <w:rPr>
          <w:rFonts w:ascii="Arial" w:cs="Arial" w:eastAsia="Arial" w:hAnsi="Arial"/>
          <w:sz w:val="18"/>
          <w:szCs w:val="18"/>
          <w:u w:val="single" w:color="auto"/>
          <w:color w:val="auto"/>
        </w:rPr>
        <w:t>Section 5.2(e)</w:t>
      </w:r>
      <w:r>
        <w:rPr>
          <w:rFonts w:ascii="Arial" w:cs="Arial" w:eastAsia="Arial" w:hAnsi="Arial"/>
          <w:sz w:val="18"/>
          <w:szCs w:val="18"/>
          <w:color w:val="auto"/>
        </w:rPr>
        <w:t xml:space="preserve">, compliance with the terms thereof shall be calculated in accordance with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5.3 Post-Closing Conditions Subsequent</w:t>
      </w:r>
      <w:r>
        <w:rPr>
          <w:rFonts w:ascii="Arial" w:cs="Arial" w:eastAsia="Arial" w:hAnsi="Arial"/>
          <w:sz w:val="20"/>
          <w:szCs w:val="20"/>
          <w:color w:val="auto"/>
        </w:rPr>
        <w:t>. The Borrower shall satisfy each of the conditions subsequent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Closing Date specified in this </w:t>
      </w:r>
      <w:r>
        <w:rPr>
          <w:rFonts w:ascii="Arial" w:cs="Arial" w:eastAsia="Arial" w:hAnsi="Arial"/>
          <w:sz w:val="20"/>
          <w:szCs w:val="20"/>
          <w:u w:val="single" w:color="auto"/>
          <w:color w:val="auto"/>
        </w:rPr>
        <w:t>Section 5.3</w:t>
      </w:r>
      <w:r>
        <w:rPr>
          <w:rFonts w:ascii="Arial" w:cs="Arial" w:eastAsia="Arial" w:hAnsi="Arial"/>
          <w:sz w:val="20"/>
          <w:szCs w:val="20"/>
          <w:color w:val="auto"/>
        </w:rPr>
        <w:t xml:space="preserve"> to the reasonable satisfaction of the Administrative Agent, in each case, by no later than the date specified for such condition below (or such later date as the Administrative Agent shall agree in its sole discretion):</w:t>
      </w:r>
    </w:p>
    <w:p>
      <w:pPr>
        <w:spacing w:after="0" w:line="189" w:lineRule="exact"/>
        <w:rPr>
          <w:sz w:val="20"/>
          <w:szCs w:val="20"/>
          <w:color w:val="auto"/>
        </w:rPr>
      </w:pPr>
    </w:p>
    <w:p>
      <w:pPr>
        <w:jc w:val="both"/>
        <w:ind w:firstLine="1304"/>
        <w:spacing w:after="0" w:line="250" w:lineRule="auto"/>
        <w:tabs>
          <w:tab w:leader="none" w:pos="1944" w:val="left"/>
        </w:tabs>
        <w:numPr>
          <w:ilvl w:val="0"/>
          <w:numId w:val="101"/>
        </w:numPr>
        <w:rPr>
          <w:rFonts w:ascii="Arial" w:cs="Arial" w:eastAsia="Arial" w:hAnsi="Arial"/>
          <w:sz w:val="20"/>
          <w:szCs w:val="20"/>
          <w:color w:val="auto"/>
        </w:rPr>
      </w:pPr>
      <w:r>
        <w:rPr>
          <w:rFonts w:ascii="Arial" w:cs="Arial" w:eastAsia="Arial" w:hAnsi="Arial"/>
          <w:sz w:val="20"/>
          <w:szCs w:val="20"/>
          <w:color w:val="auto"/>
        </w:rPr>
        <w:t>within 60 Days after the Closing Date, the Administrative Agent shall have received Control Agreements with respect to all of the Loan Parties’ Deposit Accounts and Securities Accounts (other than Excluded Accounts (as defined in the Guarantee and Collateral Agreement)); and</w:t>
      </w:r>
    </w:p>
    <w:p>
      <w:pPr>
        <w:spacing w:after="0" w:line="185" w:lineRule="exact"/>
        <w:rPr>
          <w:rFonts w:ascii="Arial" w:cs="Arial" w:eastAsia="Arial" w:hAnsi="Arial"/>
          <w:sz w:val="20"/>
          <w:szCs w:val="20"/>
          <w:color w:val="auto"/>
        </w:rPr>
      </w:pPr>
    </w:p>
    <w:p>
      <w:pPr>
        <w:jc w:val="both"/>
        <w:ind w:firstLine="1304"/>
        <w:spacing w:after="0" w:line="282" w:lineRule="auto"/>
        <w:tabs>
          <w:tab w:leader="none" w:pos="194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within 30 Days after the Closing Date, the Administrative Agent shall have received insurance certificates and endorsements satisfying the requirements of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hereof and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of the Guarantee and Collateral Agreement, in form and substance satisfactory to the Administrative Agent as an additional insured and/or lender loss payee, as the case may be, under all property and liability insurance policies of the Group Members; and</w:t>
      </w:r>
    </w:p>
    <w:p>
      <w:pPr>
        <w:spacing w:after="0" w:line="161" w:lineRule="exact"/>
        <w:rPr>
          <w:rFonts w:ascii="Arial" w:cs="Arial" w:eastAsia="Arial" w:hAnsi="Arial"/>
          <w:sz w:val="18"/>
          <w:szCs w:val="18"/>
          <w:color w:val="auto"/>
        </w:rPr>
      </w:pPr>
    </w:p>
    <w:p>
      <w:pPr>
        <w:jc w:val="both"/>
        <w:ind w:firstLine="1304"/>
        <w:spacing w:after="0" w:line="250" w:lineRule="auto"/>
        <w:tabs>
          <w:tab w:leader="none" w:pos="1944" w:val="left"/>
        </w:tabs>
        <w:numPr>
          <w:ilvl w:val="0"/>
          <w:numId w:val="101"/>
        </w:numPr>
        <w:rPr>
          <w:rFonts w:ascii="Arial" w:cs="Arial" w:eastAsia="Arial" w:hAnsi="Arial"/>
          <w:sz w:val="20"/>
          <w:szCs w:val="20"/>
          <w:color w:val="auto"/>
        </w:rPr>
      </w:pPr>
      <w:r>
        <w:rPr>
          <w:rFonts w:ascii="Arial" w:cs="Arial" w:eastAsia="Arial" w:hAnsi="Arial"/>
          <w:sz w:val="20"/>
          <w:szCs w:val="20"/>
          <w:color w:val="auto"/>
        </w:rPr>
        <w:t>within 30 Days after the Closing Date, the Administrative Agent shall have received a duly executed landlord’s agreement in form and substance satisfactory to the Administrative Agent with respect to the Borrower’s headquarters located at 108 Cherry Hill Drive, Beverly, MA 01915.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AFFIRMATIVE COVENANTS</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Borrower hereby agrees that, at all times prior to the Discharge of Obligations, each of the Loan Parties shall, and, where applicable, shall cause each of its Subsidiaries to:</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8"/>
          <w:szCs w:val="18"/>
          <w:b w:val="1"/>
          <w:bCs w:val="1"/>
          <w:color w:val="auto"/>
        </w:rPr>
        <w:t>Financial Statements</w:t>
      </w:r>
      <w:r>
        <w:rPr>
          <w:rFonts w:ascii="Arial" w:cs="Arial" w:eastAsia="Arial" w:hAnsi="Arial"/>
          <w:sz w:val="18"/>
          <w:szCs w:val="18"/>
          <w:color w:val="auto"/>
        </w:rPr>
        <w:t>. Furnish to the Administrative Agent for distribution to each Lender:</w:t>
      </w:r>
    </w:p>
    <w:p>
      <w:pPr>
        <w:spacing w:after="0" w:line="222" w:lineRule="exact"/>
        <w:rPr>
          <w:sz w:val="20"/>
          <w:szCs w:val="20"/>
          <w:color w:val="auto"/>
        </w:rPr>
      </w:pPr>
    </w:p>
    <w:p>
      <w:pPr>
        <w:jc w:val="both"/>
        <w:ind w:firstLine="1304"/>
        <w:spacing w:after="0" w:line="259" w:lineRule="auto"/>
        <w:tabs>
          <w:tab w:leader="none" w:pos="194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as soon as available, but in any event within 120 days after the end of each fiscal year of the Borrower, a copy of the audited consolidated balance sheet of the Group Members as at the end of such fiscal year and the related audited consolidated statements of income and of cash flows for such fiscal year, setting forth in each case in comparative form the figures for the previous year, reported on without a “going concern” or like qualification or exception, or qualification arising out of the scope of the audit, by independent certified public accountants of nationally recognized standing and reasonably acceptable to the Administrative Agent; and</w:t>
      </w:r>
    </w:p>
    <w:p>
      <w:pPr>
        <w:spacing w:after="0" w:line="178" w:lineRule="exact"/>
        <w:rPr>
          <w:rFonts w:ascii="Arial" w:cs="Arial" w:eastAsia="Arial" w:hAnsi="Arial"/>
          <w:sz w:val="19"/>
          <w:szCs w:val="19"/>
          <w:color w:val="auto"/>
        </w:rPr>
      </w:pPr>
    </w:p>
    <w:p>
      <w:pPr>
        <w:jc w:val="both"/>
        <w:ind w:firstLine="1304"/>
        <w:spacing w:after="0" w:line="246" w:lineRule="auto"/>
        <w:tabs>
          <w:tab w:leader="none" w:pos="1944"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as soon as available, but in any event not later than 45 days after the end of each of the first 3 fiscal quarters occurring during each fiscal year of the Borrower, the unaudited consolidated balance sheet of the Group Members as at the end of such quarter and the related unaudited consolidated statements of income and of cash flows for such quarter and the portion of the fiscal year through the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13" w:name="page114"/>
    <w:bookmarkEnd w:id="113"/>
    <w:p>
      <w:pPr>
        <w:jc w:val="both"/>
        <w:spacing w:after="0" w:line="250" w:lineRule="auto"/>
        <w:rPr>
          <w:sz w:val="20"/>
          <w:szCs w:val="20"/>
          <w:color w:val="auto"/>
        </w:rPr>
      </w:pPr>
      <w:r>
        <w:rPr>
          <w:rFonts w:ascii="Arial" w:cs="Arial" w:eastAsia="Arial" w:hAnsi="Arial"/>
          <w:sz w:val="20"/>
          <w:szCs w:val="20"/>
          <w:color w:val="auto"/>
        </w:rPr>
        <w:t>of such quarter, setting forth in each case in comparative form the figures for the previous year, certified by a Responsible Officer of the Borrower as being fairly stated in all material respects (subject to normal year-end audit adjustments and the absence of year-end audit footnotes).</w:t>
      </w:r>
    </w:p>
    <w:p>
      <w:pPr>
        <w:spacing w:after="0" w:line="186"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All such financial statements shall be complete and correct in all material respects and shall be prepared in reasonable detail and in accordance with GAAP applied (except as approved by such accountants or officer, as the case may be, and disclosed in reasonable detail therein) consistently throughout the periods reflected therein and with prior periods.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Additionally, documents required to be delivered pursuant to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6.2(e)</w:t>
      </w:r>
      <w:r>
        <w:rPr>
          <w:rFonts w:ascii="Arial" w:cs="Arial" w:eastAsia="Arial" w:hAnsi="Arial"/>
          <w:sz w:val="19"/>
          <w:szCs w:val="19"/>
          <w:color w:val="auto"/>
        </w:rPr>
        <w:t xml:space="preserve"> (to the extent any such documents are included in materials otherwise filed with the SEC) may be delivered electronically and if so, shall be deemed to have been delivered on the date on which the Borrower posts such documents, or provides a link thereto, either: (i) on the Borrower’s website on the Internet at the website address listed in </w:t>
      </w:r>
      <w:r>
        <w:rPr>
          <w:rFonts w:ascii="Arial" w:cs="Arial" w:eastAsia="Arial" w:hAnsi="Arial"/>
          <w:sz w:val="19"/>
          <w:szCs w:val="19"/>
          <w:u w:val="single" w:color="auto"/>
          <w:color w:val="auto"/>
        </w:rPr>
        <w:t>Section 10.2</w:t>
      </w:r>
      <w:r>
        <w:rPr>
          <w:rFonts w:ascii="Arial" w:cs="Arial" w:eastAsia="Arial" w:hAnsi="Arial"/>
          <w:sz w:val="19"/>
          <w:szCs w:val="19"/>
          <w:color w:val="auto"/>
        </w:rPr>
        <w:t>; or (ii) when such documents are posted electronically on the Borrower’s behalf on an internet or intranet website to which each Lender and the Administrative Agent have access (whether a commercial, third-party website or whether sponsored by the Administrative Agent), if any.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9"/>
          <w:szCs w:val="19"/>
          <w:b w:val="1"/>
          <w:bCs w:val="1"/>
          <w:color w:val="auto"/>
        </w:rPr>
        <w:t>Certificates; Reports; Other Information</w:t>
      </w:r>
      <w:r>
        <w:rPr>
          <w:rFonts w:ascii="Arial" w:cs="Arial" w:eastAsia="Arial" w:hAnsi="Arial"/>
          <w:sz w:val="19"/>
          <w:szCs w:val="19"/>
          <w:color w:val="auto"/>
        </w:rPr>
        <w:t>.  Furnish to the Administrative Agent, for distribution to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Lenders:</w:t>
      </w:r>
    </w:p>
    <w:p>
      <w:pPr>
        <w:spacing w:after="0" w:line="200" w:lineRule="exact"/>
        <w:rPr>
          <w:sz w:val="20"/>
          <w:szCs w:val="20"/>
          <w:color w:val="auto"/>
        </w:rPr>
      </w:pPr>
    </w:p>
    <w:p>
      <w:pPr>
        <w:ind w:left="1960" w:hanging="656"/>
        <w:spacing w:after="0"/>
        <w:tabs>
          <w:tab w:leader="none" w:pos="1960" w:val="left"/>
        </w:tabs>
        <w:numPr>
          <w:ilvl w:val="1"/>
          <w:numId w:val="103"/>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1304"/>
        <w:spacing w:after="0" w:line="269" w:lineRule="auto"/>
        <w:tabs>
          <w:tab w:leader="none" w:pos="194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any financial statements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(i) a certificate of a Responsible Officer of the Borrower stating that, such Responsible Officer has obtained no knowledge of any Default or Event of Default except as specified in such certificate, (ii) in the case of financial statements delivered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6.1</w:t>
      </w:r>
      <w:r>
        <w:rPr>
          <w:rFonts w:ascii="Arial" w:cs="Arial" w:eastAsia="Arial" w:hAnsi="Arial"/>
          <w:sz w:val="18"/>
          <w:szCs w:val="18"/>
          <w:color w:val="auto"/>
        </w:rPr>
        <w:t>, (x) a Compliance Certificate containing all information and calculations reasonably necessary for determining compliance by each Loan Party with the provisions of this Agreement (including for the avoidance of doubt compliance with Section 7.6(c) for the prior period) referred to therein as of the last day of the applicable fiscal period of the Borrower, and</w:t>
      </w:r>
    </w:p>
    <w:p>
      <w:pPr>
        <w:spacing w:after="0" w:line="1" w:lineRule="exact"/>
        <w:rPr>
          <w:rFonts w:ascii="Arial" w:cs="Arial" w:eastAsia="Arial" w:hAnsi="Arial"/>
          <w:sz w:val="18"/>
          <w:szCs w:val="18"/>
          <w:color w:val="auto"/>
        </w:rPr>
      </w:pPr>
    </w:p>
    <w:p>
      <w:pPr>
        <w:jc w:val="both"/>
        <w:ind w:firstLine="8"/>
        <w:spacing w:after="0"/>
        <w:tabs>
          <w:tab w:leader="none" w:pos="305"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to the extent not previously disclosed to the Administrative Agent, a description of any change in the jurisdiction of organization of any Loan Party, a list of any registered Intellectual Property issued to, applied for, or acquired by any Loan Party, and any Letter-of-Credit Rights with an individual potential value in excess of $1,000,000 held or acquired by any Loan Party, in each case, since the date of the most recent report delivered pursuant to this clause (y) (or, in the case of the first such report so delivered, since the Closing Date), and (iii) in the case of financial statements delivered pursuant to </w:t>
      </w:r>
      <w:r>
        <w:rPr>
          <w:rFonts w:ascii="Arial" w:cs="Arial" w:eastAsia="Arial" w:hAnsi="Arial"/>
          <w:sz w:val="20"/>
          <w:szCs w:val="20"/>
          <w:u w:val="single" w:color="auto"/>
          <w:color w:val="auto"/>
        </w:rPr>
        <w:t>Section 6.1(a)</w:t>
      </w:r>
      <w:r>
        <w:rPr>
          <w:rFonts w:ascii="Arial" w:cs="Arial" w:eastAsia="Arial" w:hAnsi="Arial"/>
          <w:sz w:val="20"/>
          <w:szCs w:val="20"/>
          <w:color w:val="auto"/>
        </w:rPr>
        <w:t xml:space="preserve">, updated insurance certificates evidencing the insurance coverage required to be maintained pursuant to </w:t>
      </w:r>
      <w:r>
        <w:rPr>
          <w:rFonts w:ascii="Arial" w:cs="Arial" w:eastAsia="Arial" w:hAnsi="Arial"/>
          <w:sz w:val="20"/>
          <w:szCs w:val="20"/>
          <w:u w:val="single" w:color="auto"/>
          <w:color w:val="auto"/>
        </w:rPr>
        <w:t>Section 6.6</w:t>
      </w:r>
      <w:r>
        <w:rPr>
          <w:rFonts w:ascii="Arial" w:cs="Arial" w:eastAsia="Arial" w:hAnsi="Arial"/>
          <w:sz w:val="20"/>
          <w:szCs w:val="20"/>
          <w:color w:val="auto"/>
        </w:rPr>
        <w:t>;</w:t>
      </w:r>
    </w:p>
    <w:p>
      <w:pPr>
        <w:spacing w:after="0" w:line="196" w:lineRule="exact"/>
        <w:rPr>
          <w:rFonts w:ascii="Arial" w:cs="Arial" w:eastAsia="Arial" w:hAnsi="Arial"/>
          <w:sz w:val="20"/>
          <w:szCs w:val="20"/>
          <w:color w:val="auto"/>
        </w:rPr>
      </w:pPr>
    </w:p>
    <w:p>
      <w:pPr>
        <w:jc w:val="both"/>
        <w:ind w:firstLine="1304"/>
        <w:spacing w:after="0" w:line="273" w:lineRule="auto"/>
        <w:tabs>
          <w:tab w:leader="none" w:pos="194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as soon as available, and in any event no later than 60 days after the end of each fiscal year of the Borrower, a detailed profit plan for the following fiscal year (including a projected consolidated balance sheet of the Group Members as of the end of each fiscal quarter of such fiscal year, the related consolidated statements of projected cash flow, projected changes in financial position and projected income and a description of the underlying assumptions applicable thereto in each case, commensurate with the projections, balance sheet and income statements provided to the Borrower’s board of directors), and, promptly after the board of directors adoption thereof, material revisions, if any, of such budget and projections with respect to such fiscal year (collectively, the “</w:t>
      </w:r>
      <w:r>
        <w:rPr>
          <w:rFonts w:ascii="Arial" w:cs="Arial" w:eastAsia="Arial" w:hAnsi="Arial"/>
          <w:sz w:val="18"/>
          <w:szCs w:val="18"/>
          <w:b w:val="1"/>
          <w:bCs w:val="1"/>
          <w:i w:val="1"/>
          <w:iCs w:val="1"/>
          <w:color w:val="auto"/>
        </w:rPr>
        <w:t>Projections</w:t>
      </w:r>
      <w:r>
        <w:rPr>
          <w:rFonts w:ascii="Arial" w:cs="Arial" w:eastAsia="Arial" w:hAnsi="Arial"/>
          <w:sz w:val="18"/>
          <w:szCs w:val="18"/>
          <w:color w:val="auto"/>
        </w:rPr>
        <w:t>”), which Projections shall in each case be accompanied by a certificate of a Responsible Officer of the Borrower stating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14" w:name="page115"/>
    <w:bookmarkEnd w:id="114"/>
    <w:p>
      <w:pPr>
        <w:ind w:right="200"/>
        <w:spacing w:after="0" w:line="287" w:lineRule="auto"/>
        <w:rPr>
          <w:sz w:val="20"/>
          <w:szCs w:val="20"/>
          <w:color w:val="auto"/>
        </w:rPr>
      </w:pPr>
      <w:r>
        <w:rPr>
          <w:rFonts w:ascii="Arial" w:cs="Arial" w:eastAsia="Arial" w:hAnsi="Arial"/>
          <w:sz w:val="19"/>
          <w:szCs w:val="19"/>
          <w:color w:val="auto"/>
        </w:rPr>
        <w:t>such Projections are based on reasonable estimates, information and assumptions and that such Responsible Officer has no reason to believe that such Projections are incorrect or misleading in any material respect;</w:t>
      </w:r>
    </w:p>
    <w:p>
      <w:pPr>
        <w:spacing w:after="0" w:line="152" w:lineRule="exact"/>
        <w:rPr>
          <w:sz w:val="20"/>
          <w:szCs w:val="20"/>
          <w:color w:val="auto"/>
        </w:rPr>
      </w:pPr>
    </w:p>
    <w:p>
      <w:pPr>
        <w:jc w:val="both"/>
        <w:ind w:firstLine="1304"/>
        <w:spacing w:after="0" w:line="260" w:lineRule="auto"/>
        <w:tabs>
          <w:tab w:leader="none" w:pos="194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promptly, and in any event within five (5) Business Days after receipt thereof by any Group Member, copies of each material notice or other material correspondence received from the SEC (or comparable agency in any applicable non-U.S. jurisdiction) concerning any investigation or possible investigation or other inquiry by such agency regarding financial or other operational results of any Group Member (other than routine comment letters from the staff of the SEC relating to the Borrower’s filings with the SEC);</w:t>
      </w:r>
    </w:p>
    <w:p>
      <w:pPr>
        <w:spacing w:after="0" w:line="180" w:lineRule="exact"/>
        <w:rPr>
          <w:rFonts w:ascii="Arial" w:cs="Arial" w:eastAsia="Arial" w:hAnsi="Arial"/>
          <w:sz w:val="19"/>
          <w:szCs w:val="19"/>
          <w:color w:val="auto"/>
        </w:rPr>
      </w:pPr>
    </w:p>
    <w:p>
      <w:pPr>
        <w:jc w:val="both"/>
        <w:ind w:firstLine="1304"/>
        <w:spacing w:after="0" w:line="278" w:lineRule="auto"/>
        <w:tabs>
          <w:tab w:leader="none" w:pos="194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within five days after the same are sent, copies of each annual report, proxy or financial statement or other material report that a Group Member sends to the holders of any class of its Indebtedness or public equity securities and, within five days after the same are filed, copies of all annual, regular, periodic and special reports and registration statements which a Group Member may file with the SEC under Section 13 or 15(d) of the Exchange Act, or with any national securities exchange, and not otherwise required to be delivered to the Administrative Agent pursuant hereto;</w:t>
      </w:r>
    </w:p>
    <w:p>
      <w:pPr>
        <w:spacing w:after="0" w:line="164" w:lineRule="exact"/>
        <w:rPr>
          <w:rFonts w:ascii="Arial" w:cs="Arial" w:eastAsia="Arial" w:hAnsi="Arial"/>
          <w:sz w:val="18"/>
          <w:szCs w:val="18"/>
          <w:color w:val="auto"/>
        </w:rPr>
      </w:pPr>
    </w:p>
    <w:p>
      <w:pPr>
        <w:jc w:val="both"/>
        <w:ind w:firstLine="1304"/>
        <w:spacing w:after="0" w:line="244" w:lineRule="auto"/>
        <w:tabs>
          <w:tab w:leader="none" w:pos="194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upon reasonable written request by the Administrative Agent, within five (5) Business Days after the same are sent or received, copies of all material correspondence, reports, documents and other filings with any Governmental Authority regarding compliance with or maintenance of Governmental Approvals or Requirements of Law or that could reasonably be expected to have a Material Adverse Effect on any of the Governmental Approvals or otherwise on the operations of the Group Members; and</w:t>
      </w:r>
    </w:p>
    <w:p>
      <w:pPr>
        <w:spacing w:after="0" w:line="194" w:lineRule="exact"/>
        <w:rPr>
          <w:rFonts w:ascii="Arial" w:cs="Arial" w:eastAsia="Arial" w:hAnsi="Arial"/>
          <w:sz w:val="20"/>
          <w:szCs w:val="20"/>
          <w:color w:val="auto"/>
        </w:rPr>
      </w:pPr>
    </w:p>
    <w:p>
      <w:pPr>
        <w:jc w:val="both"/>
        <w:ind w:firstLine="1304"/>
        <w:spacing w:after="0" w:line="316" w:lineRule="auto"/>
        <w:tabs>
          <w:tab w:leader="none" w:pos="194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promptly, such additional financial and other information as the Administrative Agent or any Lender (through the Administrative Agent) may from time to time reasonably request in writing with respect to the Group Members.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6.4 Payment of Obligations</w:t>
      </w:r>
      <w:r>
        <w:rPr>
          <w:rFonts w:ascii="Arial" w:cs="Arial" w:eastAsia="Arial" w:hAnsi="Arial"/>
          <w:sz w:val="20"/>
          <w:szCs w:val="20"/>
          <w:color w:val="auto"/>
        </w:rPr>
        <w:t>. Pay, discharge or otherwise satisfy at or before maturity or before they become</w:t>
      </w:r>
      <w:r>
        <w:rPr>
          <w:rFonts w:ascii="Arial" w:cs="Arial" w:eastAsia="Arial" w:hAnsi="Arial"/>
          <w:sz w:val="20"/>
          <w:szCs w:val="20"/>
          <w:b w:val="1"/>
          <w:bCs w:val="1"/>
          <w:color w:val="auto"/>
        </w:rPr>
        <w:t xml:space="preserve"> </w:t>
      </w:r>
      <w:r>
        <w:rPr>
          <w:rFonts w:ascii="Arial" w:cs="Arial" w:eastAsia="Arial" w:hAnsi="Arial"/>
          <w:sz w:val="20"/>
          <w:szCs w:val="20"/>
          <w:color w:val="auto"/>
        </w:rPr>
        <w:t>delinquent, as the case may be, all its material obligations of whatever nature, except where the amount or validity thereof is currently being contested in good faith by appropriate proceedings and reserves in conformity with GAAP with respect thereto have been provided on the books of the relevant Group Member.</w:t>
      </w:r>
    </w:p>
    <w:p>
      <w:pPr>
        <w:spacing w:after="0" w:line="183"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b w:val="1"/>
          <w:bCs w:val="1"/>
          <w:color w:val="auto"/>
        </w:rPr>
        <w:t>6.5 Maintenance of Existence; Compliance</w:t>
      </w:r>
      <w:r>
        <w:rPr>
          <w:rFonts w:ascii="Arial" w:cs="Arial" w:eastAsia="Arial" w:hAnsi="Arial"/>
          <w:sz w:val="16"/>
          <w:szCs w:val="16"/>
          <w:color w:val="auto"/>
        </w:rPr>
        <w:t>. (a)(i) Preserve, renew and keep in full force and effect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organizational existence and (ii) take all reasonable action to maintain or obtain all Governmental Approvals and all other rights, privileges and franchises necessary in the normal conduct of its business or necessary for the performance by such Person of its Obligations under any Loan Document, except, in each case, as otherwise permitted by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and except, in the case of clause (ii) above, to the extent that failure to do so could not reasonably be expected to have a Material Adverse Effect; (b) comply with all Contractual Obligations (including with respect to leasehold interests of the Borrower) and Requirements of Law except to the extent that failure to comply therewith could not, in the aggregate, reasonably be expected to have a Material Adverse Effect; and (c) comply with all Governmental Approvals, and any term, condition, rule, filing or fee obligation, or other requirement related thereto, except to the extent that failure to do so could not reasonably be expected to have a Material Adverse Effect. Without limiting the generality of the foregoing, the Borrower shall, and shall cause each of its ERISA Affiliates to, except to the extent that failure to do so could not reasonably be expected to have a Material Adverse Effect: (1) maintain each Plan in compliance in all respects with the applicable provisions of ERISA, the Code or other Federal or state law; (2) cause each Qualified Plan to maintain its qualified status under Section 401(a)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of the Code; (3)  not become a party to any Multiemployer Plan; (4) ensure that all liabilities under each Plan are either</w:t>
      </w:r>
    </w:p>
    <w:p>
      <w:pPr>
        <w:spacing w:after="0" w:line="39" w:lineRule="exact"/>
        <w:rPr>
          <w:sz w:val="20"/>
          <w:szCs w:val="20"/>
          <w:color w:val="auto"/>
        </w:rPr>
      </w:pPr>
    </w:p>
    <w:p>
      <w:pPr>
        <w:ind w:left="280" w:hanging="272"/>
        <w:spacing w:after="0"/>
        <w:tabs>
          <w:tab w:leader="none" w:pos="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funded to at least the minimum level required by law or, if higher, to the level required by the terms governing such Plan;</w:t>
      </w:r>
    </w:p>
    <w:p>
      <w:pPr>
        <w:spacing w:after="0" w:line="22" w:lineRule="exact"/>
        <w:rPr>
          <w:rFonts w:ascii="Arial" w:cs="Arial" w:eastAsia="Arial" w:hAnsi="Arial"/>
          <w:sz w:val="18"/>
          <w:szCs w:val="18"/>
          <w:color w:val="auto"/>
        </w:rPr>
      </w:pPr>
    </w:p>
    <w:p>
      <w:pPr>
        <w:jc w:val="both"/>
        <w:ind w:firstLine="8"/>
        <w:spacing w:after="0" w:line="257" w:lineRule="auto"/>
        <w:tabs>
          <w:tab w:leader="none" w:pos="29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insured with a reputable insurance company; or (z) provided for or recognized in the financial statements most recently delivered to the Administrative Agent and the Lenders pursuant hereto; and (5) ensure that the contributions or premium payments to or in respect of each Plan are paid at no less than the rates required under the rules of such Plan and in accordance with the most recent actuarial advice received in relation to such Plan and applicable law.</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6.6 Maintenance of Property; Insurance</w:t>
      </w:r>
      <w:r>
        <w:rPr>
          <w:rFonts w:ascii="Arial" w:cs="Arial" w:eastAsia="Arial" w:hAnsi="Arial"/>
          <w:sz w:val="18"/>
          <w:szCs w:val="18"/>
          <w:color w:val="auto"/>
        </w:rPr>
        <w:t>. (a) Keep all material property useful and necessary in its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good working order and condition, ordinary wear and tear and casualty excepted, (b) maintain with financially sound and reputable insurance companies insurance on all its property in at least such amounts and against at least such risks (but including in any event public liability, product liability and business interruption) as are usually insured against in the same general area by companies engaged in the same or a similar business, and shall provide to the Administrative Agent, insurance certificates and accompanying endorsements naming the Administrative Agent (for the benefit of the Secured Parties) as an “additional insured” or “lender loss payee,” as applicable, with respect to such insurance policies of the Loan Parties in form and substance reasonably satisfactory to the Administrative Agent, subject to the terms of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(c) maintain flood insurance on all real property subject to a Mortgage as required under </w:t>
      </w:r>
      <w:r>
        <w:rPr>
          <w:rFonts w:ascii="Arial" w:cs="Arial" w:eastAsia="Arial" w:hAnsi="Arial"/>
          <w:sz w:val="18"/>
          <w:szCs w:val="18"/>
          <w:u w:val="single" w:color="auto"/>
          <w:color w:val="auto"/>
        </w:rPr>
        <w:t>Section 6.12(b)</w:t>
      </w:r>
      <w:r>
        <w:rPr>
          <w:rFonts w:ascii="Arial" w:cs="Arial" w:eastAsia="Arial" w:hAnsi="Arial"/>
          <w:sz w:val="18"/>
          <w:szCs w:val="18"/>
          <w:color w:val="auto"/>
        </w:rPr>
        <w:t>.</w:t>
      </w:r>
    </w:p>
    <w:p>
      <w:pPr>
        <w:spacing w:after="0" w:line="1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6.7 Books and Records; Discussions</w:t>
      </w:r>
      <w:r>
        <w:rPr>
          <w:rFonts w:ascii="Arial" w:cs="Arial" w:eastAsia="Arial" w:hAnsi="Arial"/>
          <w:sz w:val="18"/>
          <w:szCs w:val="18"/>
          <w:color w:val="auto"/>
        </w:rPr>
        <w:t>. (a) Keep proper books of records and account in which full, true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correct entries in conformity with GAAP and all Requirements of Law shall be made of all dealings and transactions in relation to its business and activities and (b) permit representatives of the Administrative Agent (who may be accompanied by any Lender), upon at least five Business Days’ prior written notice (provided that no prior notice is required if an Event of Default has occurred and is continuing) to visit and inspect and audit any of its properties during normal business hours and examine and make abstracts from or copies of any of its books and records (including ledgers, federal and state tax returns, records regarding assets or liabilities, the Collateral, business operations or financial condition, and all computer programs or storage or any equipment containing such information) at any reasonable time and as often as may reasonably be desired and to discuss the business, operations, properties and financial and other condition of the Group Members with officers of the Group Members and with their independent certified public accountants in the presence of an officer of the Borrower and to inspect the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visits shall not be undertaken more frequently than once every 12 months unless an Event of Default has occurred and is continuing, and (ii) nothing in this Section 6.7 shall require any Group Member to disclose, permit the inspection, examination or making copies or abstracts of, or discussion of, any document, information or other matter (x) in respect of which disclosure is prohibited by applicable law or any binding agreement so long as such binding agreement was not entered into in contemplation of preventing such disclosure, inspection or examination or (z) that is subject to attorney-client or similar privilege or constitutes attorney work-product (in each case, to the extent not created in contemplation of such Group Member’s obligations hereunder);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foregoing inspections and audits shall be at Borrower’s expense, and the charge therefor shall be (a) $1,000 per person per day (or such higher amount as shall represent the Administrative Agent’s then-current standard charge for the same), plus reasonable out-of-pocket expenses and (b) the actual reasonable charges paid or incurred by Administrative Agent if it elects to employ the services of one or more third persons to perform field examinations or valuations of the business and recurring revenues of the Loan Parties. In the event the Borrower and the Administrative Agent schedule an audit more than five (5) Business Days in advance, and the Borrower cancels or seeks to or reschedules the audit with less than five (5) days written notice to the Administrative Agent (without limiting any of the Administrative Agent’s rights or remedies) then the Borrower shall pay the Administrative Agent a fee of $1,000 plus any out-of-pocket expenses incurred by the Administrative Agent to compensate the Administrative Agent for the anticipated costs and expenses of the cancellation or rescheduling.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16" w:name="page117"/>
    <w:bookmarkEnd w:id="116"/>
    <w:p>
      <w:pPr>
        <w:ind w:left="660"/>
        <w:spacing w:after="0"/>
        <w:tabs>
          <w:tab w:leader="none" w:pos="1280" w:val="left"/>
        </w:tabs>
        <w:rPr>
          <w:sz w:val="20"/>
          <w:szCs w:val="20"/>
          <w:color w:val="auto"/>
        </w:rPr>
      </w:pPr>
      <w:r>
        <w:rPr>
          <w:rFonts w:ascii="Arial" w:cs="Arial" w:eastAsia="Arial" w:hAnsi="Arial"/>
          <w:sz w:val="20"/>
          <w:szCs w:val="20"/>
          <w:b w:val="1"/>
          <w:bCs w:val="1"/>
          <w:color w:val="auto"/>
        </w:rPr>
        <w:t>6.8</w:t>
      </w:r>
      <w:r>
        <w:rPr>
          <w:sz w:val="20"/>
          <w:szCs w:val="20"/>
          <w:color w:val="auto"/>
        </w:rPr>
        <w:tab/>
      </w:r>
      <w:r>
        <w:rPr>
          <w:rFonts w:ascii="Arial" w:cs="Arial" w:eastAsia="Arial" w:hAnsi="Arial"/>
          <w:sz w:val="18"/>
          <w:szCs w:val="18"/>
          <w:b w:val="1"/>
          <w:bCs w:val="1"/>
          <w:color w:val="auto"/>
        </w:rPr>
        <w:t>Notices</w:t>
      </w:r>
      <w:r>
        <w:rPr>
          <w:rFonts w:ascii="Arial" w:cs="Arial" w:eastAsia="Arial" w:hAnsi="Arial"/>
          <w:sz w:val="18"/>
          <w:szCs w:val="18"/>
          <w:color w:val="auto"/>
        </w:rPr>
        <w:t>.</w:t>
      </w:r>
      <w:r>
        <w:rPr>
          <w:rFonts w:ascii="Arial" w:cs="Arial" w:eastAsia="Arial" w:hAnsi="Arial"/>
          <w:sz w:val="18"/>
          <w:szCs w:val="18"/>
          <w:b w:val="1"/>
          <w:bCs w:val="1"/>
          <w:color w:val="auto"/>
        </w:rPr>
        <w:t xml:space="preserve"> Give prompt written notice to the Administrative Agent of</w:t>
      </w:r>
      <w:r>
        <w:rPr>
          <w:rFonts w:ascii="Arial" w:cs="Arial" w:eastAsia="Arial" w:hAnsi="Arial"/>
          <w:sz w:val="18"/>
          <w:szCs w:val="18"/>
          <w:color w:val="auto"/>
        </w:rPr>
        <w:t>:</w:t>
      </w:r>
    </w:p>
    <w:p>
      <w:pPr>
        <w:spacing w:after="0" w:line="222" w:lineRule="exact"/>
        <w:rPr>
          <w:sz w:val="20"/>
          <w:szCs w:val="20"/>
          <w:color w:val="auto"/>
        </w:rPr>
      </w:pPr>
    </w:p>
    <w:p>
      <w:pPr>
        <w:ind w:left="1960" w:hanging="656"/>
        <w:spacing w:after="0"/>
        <w:tabs>
          <w:tab w:leader="none" w:pos="19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occurrence of any Default or Event of Default;</w:t>
      </w:r>
    </w:p>
    <w:p>
      <w:pPr>
        <w:spacing w:after="0" w:line="215" w:lineRule="exact"/>
        <w:rPr>
          <w:rFonts w:ascii="Arial" w:cs="Arial" w:eastAsia="Arial" w:hAnsi="Arial"/>
          <w:sz w:val="20"/>
          <w:szCs w:val="20"/>
          <w:color w:val="auto"/>
        </w:rPr>
      </w:pPr>
    </w:p>
    <w:p>
      <w:pPr>
        <w:jc w:val="both"/>
        <w:ind w:firstLine="1304"/>
        <w:spacing w:after="0" w:line="282" w:lineRule="auto"/>
        <w:tabs>
          <w:tab w:leader="none" w:pos="19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following a Responsible Officer of Borrower Representative becoming aware of any (i) default or event of default under any Contractual Obligation of any Group Member or (ii) 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spacing w:after="0" w:line="161" w:lineRule="exact"/>
        <w:rPr>
          <w:rFonts w:ascii="Arial" w:cs="Arial" w:eastAsia="Arial" w:hAnsi="Arial"/>
          <w:sz w:val="18"/>
          <w:szCs w:val="18"/>
          <w:color w:val="auto"/>
        </w:rPr>
      </w:pPr>
    </w:p>
    <w:p>
      <w:pPr>
        <w:jc w:val="both"/>
        <w:ind w:firstLine="1304"/>
        <w:spacing w:after="0" w:line="246" w:lineRule="auto"/>
        <w:tabs>
          <w:tab w:leader="none" w:pos="1944" w:val="left"/>
        </w:tabs>
        <w:numPr>
          <w:ilvl w:val="0"/>
          <w:numId w:val="107"/>
        </w:numPr>
        <w:rPr>
          <w:rFonts w:ascii="Arial" w:cs="Arial" w:eastAsia="Arial" w:hAnsi="Arial"/>
          <w:sz w:val="20"/>
          <w:szCs w:val="20"/>
          <w:color w:val="auto"/>
        </w:rPr>
      </w:pPr>
      <w:r>
        <w:rPr>
          <w:rFonts w:ascii="Arial" w:cs="Arial" w:eastAsia="Arial" w:hAnsi="Arial"/>
          <w:sz w:val="20"/>
          <w:szCs w:val="20"/>
          <w:color w:val="auto"/>
        </w:rPr>
        <w:t>following a Responsible Officer of Borrower Representative becoming aware of any non-frivolous litigation or proceeding affecting any Group Member (i) in which the amount involved is $1,500,000 or more and not covered by insurance, (ii) in which injunctive or similar relief is sought against any Group Member or (iii) which relates to any Loan Document;</w:t>
      </w:r>
    </w:p>
    <w:p>
      <w:pPr>
        <w:spacing w:after="0" w:line="191" w:lineRule="exact"/>
        <w:rPr>
          <w:rFonts w:ascii="Arial" w:cs="Arial" w:eastAsia="Arial" w:hAnsi="Arial"/>
          <w:sz w:val="20"/>
          <w:szCs w:val="20"/>
          <w:color w:val="auto"/>
        </w:rPr>
      </w:pPr>
    </w:p>
    <w:p>
      <w:pPr>
        <w:jc w:val="both"/>
        <w:ind w:firstLine="1304"/>
        <w:spacing w:after="0" w:line="256" w:lineRule="auto"/>
        <w:tabs>
          <w:tab w:leader="none" w:pos="1944"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 promptly after the Borrower has knowledge or becomes aware of the occurrence of any of the following ERISA Events affecting the Borrower or any ERISA Affiliate (but in no event more than twenty days after such event), the occurrence of any of the following ERISA Events, and shall provide the Administrative Agent with a copy of any notice with respect to such event that may be required to be filed with a Governmental Authority and any notice delivered by a Governmental Authority to the Borrower or any ERISA Affiliate with respect to such event: (A) an ERISA Event, (B) the adoption of any new Pension Plan by the Borrower or any ERISA Affiliate, (C) the adoption of any amendment to a Pension Plan, if such amendment will result in a material increase in contribution obligations or unfunded benefit liabilities (as defined in Section 4001(a)(18) of ERISA), or (D) the commencement of contributions by the Borrower or any ERISA Affiliate to any Plan that is subject to Title IV of ERISA or Section 412 of the Code; and</w:t>
      </w:r>
    </w:p>
    <w:p>
      <w:pPr>
        <w:spacing w:after="0" w:line="184" w:lineRule="exact"/>
        <w:rPr>
          <w:rFonts w:ascii="Arial" w:cs="Arial" w:eastAsia="Arial" w:hAnsi="Arial"/>
          <w:sz w:val="19"/>
          <w:szCs w:val="19"/>
          <w:color w:val="auto"/>
        </w:rPr>
      </w:pPr>
    </w:p>
    <w:p>
      <w:pPr>
        <w:jc w:val="both"/>
        <w:ind w:firstLine="1952"/>
        <w:spacing w:after="0" w:line="257" w:lineRule="auto"/>
        <w:tabs>
          <w:tab w:leader="none" w:pos="2592"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(A) (1) promptly after request from the Administrative Agent, copies of each Schedule B (Actuarial Information) to the annual report (Form 5500 Series) filed by the Borrower or any of its ERISA Affiliates with the IRS with respect to each Pension Plan and such other documents or governmental reports or filings relating to any Pension Plan or Multiemployer Plan as the Administrative Agent shall reasonably request, and (2) promptly after the giving, sending or filing thereof, or the receipt thereof, copies of all notices received by the Borrower or any of its ERISA Affiliates from a Multiemployer Plan sponsor concerning an ERISA Event; and (B), without limiting the generality of the foregoing, such certifications or other evidence of compliance with the provisions of </w:t>
      </w:r>
      <w:r>
        <w:rPr>
          <w:rFonts w:ascii="Arial" w:cs="Arial" w:eastAsia="Arial" w:hAnsi="Arial"/>
          <w:sz w:val="19"/>
          <w:szCs w:val="19"/>
          <w:u w:val="single" w:color="auto"/>
          <w:color w:val="auto"/>
        </w:rPr>
        <w:t>Sections 4.13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7.9</w:t>
      </w:r>
      <w:r>
        <w:rPr>
          <w:rFonts w:ascii="Arial" w:cs="Arial" w:eastAsia="Arial" w:hAnsi="Arial"/>
          <w:sz w:val="19"/>
          <w:szCs w:val="19"/>
          <w:color w:val="auto"/>
        </w:rPr>
        <w:t xml:space="preserve"> as any Lender (through the Administrative Agent) may from time to time reasonably request;</w:t>
      </w:r>
    </w:p>
    <w:p>
      <w:pPr>
        <w:spacing w:after="0" w:line="180" w:lineRule="exact"/>
        <w:rPr>
          <w:rFonts w:ascii="Arial" w:cs="Arial" w:eastAsia="Arial" w:hAnsi="Arial"/>
          <w:sz w:val="19"/>
          <w:szCs w:val="19"/>
          <w:color w:val="auto"/>
        </w:rPr>
      </w:pPr>
    </w:p>
    <w:p>
      <w:pPr>
        <w:jc w:val="both"/>
        <w:ind w:firstLine="1304"/>
        <w:spacing w:after="0" w:line="259" w:lineRule="auto"/>
        <w:tabs>
          <w:tab w:leader="none" w:pos="1944"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any changes to the beneficial ownership information set forth in item 37 of the Collateral Information. The Loan Parties understand and acknowledge that the Secured Parties rely on such true, accurate and up-to-date beneficial ownership information to meet their regulatory obligations to obtain, verify and record information about the beneficial owners of their legal entity customers. The Loan Parties understand and acknowledge that the Secured Parties rely on such true, accurate and up-to-date beneficial ownership information to meet their regulatory obligations to obtain, verify and record information about the beneficial owners of their legal entity customers;</w:t>
      </w:r>
    </w:p>
    <w:p>
      <w:pPr>
        <w:spacing w:after="0" w:line="178" w:lineRule="exact"/>
        <w:rPr>
          <w:rFonts w:ascii="Arial" w:cs="Arial" w:eastAsia="Arial" w:hAnsi="Arial"/>
          <w:sz w:val="19"/>
          <w:szCs w:val="19"/>
          <w:color w:val="auto"/>
        </w:rPr>
      </w:pPr>
    </w:p>
    <w:p>
      <w:pPr>
        <w:ind w:left="1960" w:hanging="656"/>
        <w:spacing w:after="0"/>
        <w:tabs>
          <w:tab w:leader="none" w:pos="1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material change in its accounting policies or financial reporting practice by any Loan Party; and</w:t>
      </w:r>
    </w:p>
    <w:p>
      <w:pPr>
        <w:spacing w:after="0" w:line="238" w:lineRule="exact"/>
        <w:rPr>
          <w:rFonts w:ascii="Arial" w:cs="Arial" w:eastAsia="Arial" w:hAnsi="Arial"/>
          <w:sz w:val="18"/>
          <w:szCs w:val="18"/>
          <w:color w:val="auto"/>
        </w:rPr>
      </w:pPr>
    </w:p>
    <w:p>
      <w:pPr>
        <w:ind w:firstLine="1304"/>
        <w:spacing w:after="0" w:line="260" w:lineRule="auto"/>
        <w:tabs>
          <w:tab w:leader="none" w:pos="1944" w:val="left"/>
        </w:tabs>
        <w:numPr>
          <w:ilvl w:val="0"/>
          <w:numId w:val="107"/>
        </w:numPr>
        <w:rPr>
          <w:rFonts w:ascii="Arial" w:cs="Arial" w:eastAsia="Arial" w:hAnsi="Arial"/>
          <w:sz w:val="20"/>
          <w:szCs w:val="20"/>
          <w:color w:val="auto"/>
        </w:rPr>
      </w:pPr>
      <w:r>
        <w:rPr>
          <w:rFonts w:ascii="Arial" w:cs="Arial" w:eastAsia="Arial" w:hAnsi="Arial"/>
          <w:sz w:val="20"/>
          <w:szCs w:val="20"/>
          <w:color w:val="auto"/>
        </w:rPr>
        <w:t>following a Responsible Officer of Borrower Representative becoming aware of any development or event that has had or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17" w:name="page118"/>
    <w:bookmarkEnd w:id="117"/>
    <w:p>
      <w:pPr>
        <w:jc w:val="both"/>
        <w:ind w:firstLine="648"/>
        <w:spacing w:after="0" w:line="250" w:lineRule="auto"/>
        <w:rPr>
          <w:sz w:val="20"/>
          <w:szCs w:val="20"/>
          <w:color w:val="auto"/>
        </w:rPr>
      </w:pPr>
      <w:r>
        <w:rPr>
          <w:rFonts w:ascii="Arial" w:cs="Arial" w:eastAsia="Arial" w:hAnsi="Arial"/>
          <w:sz w:val="20"/>
          <w:szCs w:val="20"/>
          <w:color w:val="auto"/>
        </w:rPr>
        <w:t xml:space="preserve">Each notice pursuant to this </w:t>
      </w:r>
      <w:r>
        <w:rPr>
          <w:rFonts w:ascii="Arial" w:cs="Arial" w:eastAsia="Arial" w:hAnsi="Arial"/>
          <w:sz w:val="20"/>
          <w:szCs w:val="20"/>
          <w:u w:val="single" w:color="auto"/>
          <w:color w:val="auto"/>
        </w:rPr>
        <w:t>Section 6.8</w:t>
      </w:r>
      <w:r>
        <w:rPr>
          <w:rFonts w:ascii="Arial" w:cs="Arial" w:eastAsia="Arial" w:hAnsi="Arial"/>
          <w:sz w:val="20"/>
          <w:szCs w:val="20"/>
          <w:color w:val="auto"/>
        </w:rPr>
        <w:t xml:space="preserve"> shall be accompanied by a statement of a Responsible Officer of the Borrower setting forth details of the occurrence referred to therein and stating what action the relevant Group Member proposes to take with respect thereto.</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6.9</w:t>
      </w:r>
      <w:r>
        <w:rPr>
          <w:sz w:val="20"/>
          <w:szCs w:val="20"/>
          <w:color w:val="auto"/>
        </w:rPr>
        <w:tab/>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263" w:lineRule="auto"/>
        <w:tabs>
          <w:tab w:leader="none" w:pos="1944" w:val="left"/>
        </w:tabs>
        <w:numPr>
          <w:ilvl w:val="0"/>
          <w:numId w:val="108"/>
        </w:numPr>
        <w:rPr>
          <w:rFonts w:ascii="Arial" w:cs="Arial" w:eastAsia="Arial" w:hAnsi="Arial"/>
          <w:sz w:val="19"/>
          <w:szCs w:val="19"/>
          <w:color w:val="auto"/>
        </w:rPr>
      </w:pPr>
      <w:r>
        <w:rPr>
          <w:rFonts w:ascii="Arial" w:cs="Arial" w:eastAsia="Arial" w:hAnsi="Arial"/>
          <w:sz w:val="19"/>
          <w:szCs w:val="19"/>
          <w:color w:val="auto"/>
        </w:rPr>
        <w:t>Except as could not reasonably be expected to result in a Material Adverse Effect, comply with, and ensure compliance by all tenants and subtenants, if any, with, all applicable Environmental Laws, and obtain and comply with and maintain, and ensure that all tenants and subtenants obtain and comply with and maintain, any and all licenses, approvals, notifications, registrations or permits required by applicable Environmental Laws.</w:t>
      </w:r>
    </w:p>
    <w:p>
      <w:pPr>
        <w:spacing w:after="0" w:line="176" w:lineRule="exact"/>
        <w:rPr>
          <w:rFonts w:ascii="Arial" w:cs="Arial" w:eastAsia="Arial" w:hAnsi="Arial"/>
          <w:sz w:val="19"/>
          <w:szCs w:val="19"/>
          <w:color w:val="auto"/>
        </w:rPr>
      </w:pPr>
    </w:p>
    <w:p>
      <w:pPr>
        <w:jc w:val="both"/>
        <w:ind w:firstLine="1304"/>
        <w:spacing w:after="0" w:line="246" w:lineRule="auto"/>
        <w:tabs>
          <w:tab w:leader="none" w:pos="1944" w:val="left"/>
        </w:tabs>
        <w:numPr>
          <w:ilvl w:val="0"/>
          <w:numId w:val="108"/>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in a Material Adverse Effect, conduct and complete all investigations, studies, sampling and testing, and all remedial, removal and other actions required under Environmental Laws and promptly comply with all lawful orders and directives of all Governmental Authorities regarding Environmental Laws.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6.10 Operating Accounts</w:t>
      </w:r>
      <w:r>
        <w:rPr>
          <w:rFonts w:ascii="Arial" w:cs="Arial" w:eastAsia="Arial" w:hAnsi="Arial"/>
          <w:sz w:val="20"/>
          <w:szCs w:val="20"/>
          <w:color w:val="auto"/>
        </w:rPr>
        <w:t>. Except as agreed to by the Administrative Agent in its sole discretion, the Borrower</w:t>
      </w:r>
      <w:r>
        <w:rPr>
          <w:rFonts w:ascii="Arial" w:cs="Arial" w:eastAsia="Arial" w:hAnsi="Arial"/>
          <w:sz w:val="20"/>
          <w:szCs w:val="20"/>
          <w:b w:val="1"/>
          <w:bCs w:val="1"/>
          <w:color w:val="auto"/>
        </w:rPr>
        <w:t xml:space="preserve"> </w:t>
      </w:r>
      <w:r>
        <w:rPr>
          <w:rFonts w:ascii="Arial" w:cs="Arial" w:eastAsia="Arial" w:hAnsi="Arial"/>
          <w:sz w:val="20"/>
          <w:szCs w:val="20"/>
          <w:color w:val="auto"/>
        </w:rPr>
        <w:t>and its Domestic Subsidiaries shall maintain no less than the lesser of (i) $40,000,000 and (ii) 50% of the Borrower’s and its Domestic Subsidiaries’ domestic cash and Cash Equivalents with SVB or SVB’s Affiliates.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6.11</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6.12</w:t>
      </w:r>
      <w:r>
        <w:rPr>
          <w:sz w:val="20"/>
          <w:szCs w:val="20"/>
          <w:color w:val="auto"/>
        </w:rPr>
        <w:tab/>
      </w:r>
      <w:r>
        <w:rPr>
          <w:rFonts w:ascii="Arial" w:cs="Arial" w:eastAsia="Arial" w:hAnsi="Arial"/>
          <w:sz w:val="18"/>
          <w:szCs w:val="18"/>
          <w:b w:val="1"/>
          <w:bCs w:val="1"/>
          <w:color w:val="auto"/>
        </w:rPr>
        <w:t>Additional Collateral, Etc.</w:t>
      </w:r>
    </w:p>
    <w:p>
      <w:pPr>
        <w:spacing w:after="0" w:line="222" w:lineRule="exact"/>
        <w:rPr>
          <w:sz w:val="20"/>
          <w:szCs w:val="20"/>
          <w:color w:val="auto"/>
        </w:rPr>
      </w:pPr>
    </w:p>
    <w:p>
      <w:pPr>
        <w:jc w:val="both"/>
        <w:ind w:firstLine="1304"/>
        <w:spacing w:after="0" w:line="256" w:lineRule="auto"/>
        <w:tabs>
          <w:tab w:leader="none" w:pos="194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With respect to any property (to the extent included in the definition of Collateral) acquired after the Closing Date by any Loan Party (other than (x) any property described in paragraph (b), (c) or (d) below, and (y) any property subject to a Lien expressly permitted by </w:t>
      </w:r>
      <w:r>
        <w:rPr>
          <w:rFonts w:ascii="Arial" w:cs="Arial" w:eastAsia="Arial" w:hAnsi="Arial"/>
          <w:sz w:val="19"/>
          <w:szCs w:val="19"/>
          <w:u w:val="single" w:color="auto"/>
          <w:color w:val="auto"/>
        </w:rPr>
        <w:t>Section 7.3(g)</w:t>
      </w:r>
      <w:r>
        <w:rPr>
          <w:rFonts w:ascii="Arial" w:cs="Arial" w:eastAsia="Arial" w:hAnsi="Arial"/>
          <w:sz w:val="19"/>
          <w:szCs w:val="19"/>
          <w:color w:val="auto"/>
        </w:rPr>
        <w:t xml:space="preserve">) as to which the Administrative Agent, for the benefit of the Secured Parties, does not have a perfected Lien, promptly (and in any event within ten Business Days or such later date as the Administrative Agent may agree in its sole discretion) take all actions deemed reasonably necessary by the Administrative Agent to grant to the Administrative Agent, for the benefit of the Secured Parties, a perfected first priority (except as expressly permitted by </w:t>
      </w:r>
      <w:r>
        <w:rPr>
          <w:rFonts w:ascii="Arial" w:cs="Arial" w:eastAsia="Arial" w:hAnsi="Arial"/>
          <w:sz w:val="19"/>
          <w:szCs w:val="19"/>
          <w:u w:val="single" w:color="auto"/>
          <w:color w:val="auto"/>
        </w:rPr>
        <w:t>Section 7.3</w:t>
      </w:r>
      <w:r>
        <w:rPr>
          <w:rFonts w:ascii="Arial" w:cs="Arial" w:eastAsia="Arial" w:hAnsi="Arial"/>
          <w:sz w:val="19"/>
          <w:szCs w:val="19"/>
          <w:color w:val="auto"/>
        </w:rPr>
        <w:t>) security interest and Lien in such property, including the filing of Uniform Commercial Code financing statements in such jurisdictions as may be required by the Guarantee and Collateral Agreement or by law or as may be requested in writing by the Administrative Agent.</w:t>
      </w:r>
    </w:p>
    <w:p>
      <w:pPr>
        <w:spacing w:after="0" w:line="184" w:lineRule="exact"/>
        <w:rPr>
          <w:rFonts w:ascii="Arial" w:cs="Arial" w:eastAsia="Arial" w:hAnsi="Arial"/>
          <w:sz w:val="19"/>
          <w:szCs w:val="19"/>
          <w:color w:val="auto"/>
        </w:rPr>
      </w:pPr>
    </w:p>
    <w:p>
      <w:pPr>
        <w:jc w:val="both"/>
        <w:ind w:firstLine="1304"/>
        <w:spacing w:after="0" w:line="255" w:lineRule="auto"/>
        <w:tabs>
          <w:tab w:leader="none" w:pos="194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With respect to any fee interest in any real property having a fair market value (together with improvements thereof) of at least $3,000,000 acquired after the Closing Date by any Loan Party (other than any such real property subject to a Lien expressly permitted by </w:t>
      </w:r>
      <w:r>
        <w:rPr>
          <w:rFonts w:ascii="Arial" w:cs="Arial" w:eastAsia="Arial" w:hAnsi="Arial"/>
          <w:sz w:val="19"/>
          <w:szCs w:val="19"/>
          <w:u w:val="single" w:color="auto"/>
          <w:color w:val="auto"/>
        </w:rPr>
        <w:t>Section 7.3(g)</w:t>
      </w:r>
      <w:r>
        <w:rPr>
          <w:rFonts w:ascii="Arial" w:cs="Arial" w:eastAsia="Arial" w:hAnsi="Arial"/>
          <w:sz w:val="19"/>
          <w:szCs w:val="19"/>
          <w:color w:val="auto"/>
        </w:rPr>
        <w:t>), promptly (and in any event within sixty (60) days (or such longer time period as the Administrative Agent may agree in its sole discretion)) after such acquisition, to the extent requested by the Administrative Agent, (i) execute and deliver a first priority Mortgage, in favor of the Administrative Agent, for the benefit of the Secured Parties, covering such real property, (ii) if requested by the Administrative Agent in writing, provide the Lenders with title and extended coverage insurance covering such real property in an amount not in excess of the fair market value as reasonably estimated by the Borrower as well as a current ALTA survey thereof, together with a surveyor’s certificate, each of the foregoing in form and substance reasonably satisfactory to the Administrative Agent and (iii) if requested by the Administrative Agent in writing, deliver to the Administrative Agent legal opinions relating to the matters described above, which opinions shall be in form and substance, and from counsel, reasonably satisfactory to the Administrative Agent. In connection with the foregoing, no later than five (5) Business Days prior to the date on which a Mortgage is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18" w:name="page119"/>
    <w:bookmarkEnd w:id="118"/>
    <w:p>
      <w:pPr>
        <w:jc w:val="both"/>
        <w:spacing w:after="0" w:line="268" w:lineRule="auto"/>
        <w:rPr>
          <w:sz w:val="20"/>
          <w:szCs w:val="20"/>
          <w:color w:val="auto"/>
        </w:rPr>
      </w:pPr>
      <w:r>
        <w:rPr>
          <w:rFonts w:ascii="Arial" w:cs="Arial" w:eastAsia="Arial" w:hAnsi="Arial"/>
          <w:sz w:val="18"/>
          <w:szCs w:val="18"/>
          <w:color w:val="auto"/>
        </w:rPr>
        <w:t xml:space="preserve">and delivered pursuant to this </w:t>
      </w:r>
      <w:r>
        <w:rPr>
          <w:rFonts w:ascii="Arial" w:cs="Arial" w:eastAsia="Arial" w:hAnsi="Arial"/>
          <w:sz w:val="18"/>
          <w:szCs w:val="18"/>
          <w:u w:val="single" w:color="auto"/>
          <w:color w:val="auto"/>
        </w:rPr>
        <w:t>Section 6.12</w:t>
      </w:r>
      <w:r>
        <w:rPr>
          <w:rFonts w:ascii="Arial" w:cs="Arial" w:eastAsia="Arial" w:hAnsi="Arial"/>
          <w:sz w:val="18"/>
          <w:szCs w:val="18"/>
          <w:color w:val="auto"/>
        </w:rPr>
        <w:t>, in order to comply with the Flood Laws, the Administrative Agent (for delivery to each Lender) shall have received the following documents (collectively, the “</w:t>
      </w:r>
      <w:r>
        <w:rPr>
          <w:rFonts w:ascii="Arial" w:cs="Arial" w:eastAsia="Arial" w:hAnsi="Arial"/>
          <w:sz w:val="18"/>
          <w:szCs w:val="18"/>
          <w:b w:val="1"/>
          <w:bCs w:val="1"/>
          <w:i w:val="1"/>
          <w:iCs w:val="1"/>
          <w:color w:val="auto"/>
        </w:rPr>
        <w:t>Flood Documents</w:t>
      </w:r>
      <w:r>
        <w:rPr>
          <w:rFonts w:ascii="Arial" w:cs="Arial" w:eastAsia="Arial" w:hAnsi="Arial"/>
          <w:sz w:val="18"/>
          <w:szCs w:val="18"/>
          <w:color w:val="auto"/>
        </w:rPr>
        <w:t>”): (A) a completed standard “life of loan” flood hazard determination form (a “</w:t>
      </w:r>
      <w:r>
        <w:rPr>
          <w:rFonts w:ascii="Arial" w:cs="Arial" w:eastAsia="Arial" w:hAnsi="Arial"/>
          <w:sz w:val="18"/>
          <w:szCs w:val="18"/>
          <w:b w:val="1"/>
          <w:bCs w:val="1"/>
          <w:i w:val="1"/>
          <w:iCs w:val="1"/>
          <w:color w:val="auto"/>
        </w:rPr>
        <w:t>Flood Determination Form</w:t>
      </w:r>
      <w:r>
        <w:rPr>
          <w:rFonts w:ascii="Arial" w:cs="Arial" w:eastAsia="Arial" w:hAnsi="Arial"/>
          <w:sz w:val="18"/>
          <w:szCs w:val="18"/>
          <w:color w:val="auto"/>
        </w:rPr>
        <w:t>”) and such other documents as any Lender may reasonably request to complete its flood due diligence, (B) if the improvement(s) to the applicable improved real property is located in a special flood hazard area, a notification to the applicable Loan Party (if applicable) (“</w:t>
      </w:r>
      <w:r>
        <w:rPr>
          <w:rFonts w:ascii="Arial" w:cs="Arial" w:eastAsia="Arial" w:hAnsi="Arial"/>
          <w:sz w:val="18"/>
          <w:szCs w:val="18"/>
          <w:b w:val="1"/>
          <w:bCs w:val="1"/>
          <w:i w:val="1"/>
          <w:iCs w:val="1"/>
          <w:color w:val="auto"/>
        </w:rPr>
        <w:t>Loan Party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flood insurance coverage under the National Flood Insurance Program (“</w:t>
      </w:r>
      <w:r>
        <w:rPr>
          <w:rFonts w:ascii="Arial" w:cs="Arial" w:eastAsia="Arial" w:hAnsi="Arial"/>
          <w:sz w:val="18"/>
          <w:szCs w:val="18"/>
          <w:b w:val="1"/>
          <w:bCs w:val="1"/>
          <w:i w:val="1"/>
          <w:iCs w:val="1"/>
          <w:color w:val="auto"/>
        </w:rPr>
        <w:t>NFIP</w:t>
      </w:r>
      <w:r>
        <w:rPr>
          <w:rFonts w:ascii="Arial" w:cs="Arial" w:eastAsia="Arial" w:hAnsi="Arial"/>
          <w:sz w:val="18"/>
          <w:szCs w:val="18"/>
          <w:color w:val="auto"/>
        </w:rPr>
        <w:t>”) is not available because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community does not participate in the NFIP, (C) documentation evidencing the applicable Loan Party’s receipt of any such Loan Party Notice (e.g., countersigned Loan Party Notice, return receipt of certified U.S. Mail, or overnight delivery), and</w:t>
      </w:r>
    </w:p>
    <w:p>
      <w:pPr>
        <w:spacing w:after="0" w:line="3" w:lineRule="exact"/>
        <w:rPr>
          <w:sz w:val="20"/>
          <w:szCs w:val="20"/>
          <w:color w:val="auto"/>
        </w:rPr>
      </w:pPr>
    </w:p>
    <w:p>
      <w:pPr>
        <w:jc w:val="both"/>
        <w:ind w:firstLine="8"/>
        <w:spacing w:after="0" w:line="253" w:lineRule="auto"/>
        <w:tabs>
          <w:tab w:leader="none" w:pos="363" w:val="left"/>
        </w:tabs>
        <w:numPr>
          <w:ilvl w:val="0"/>
          <w:numId w:val="110"/>
        </w:numPr>
        <w:rPr>
          <w:rFonts w:ascii="Arial" w:cs="Arial" w:eastAsia="Arial" w:hAnsi="Arial"/>
          <w:sz w:val="19"/>
          <w:szCs w:val="19"/>
          <w:color w:val="auto"/>
        </w:rPr>
      </w:pPr>
      <w:r>
        <w:rPr>
          <w:rFonts w:ascii="Arial" w:cs="Arial" w:eastAsia="Arial" w:hAnsi="Arial"/>
          <w:sz w:val="19"/>
          <w:szCs w:val="19"/>
          <w:color w:val="auto"/>
        </w:rPr>
        <w:t>if the Loan Party Notice is required to be given and, to the extent flood insurance is required by any applicable Requirement of Law or any Lenders’ written regulatory or compliance procedures and flood insurance is available in the community in which the property is located, a copy of one of the following: the flood insurance policy, the applicable Loan Party’s application for a flood insurance policy plus proof of premium payment, a declaration page confirming that flood insurance has been issued, or such other evidence of flood insurance that complies with all applicable laws and regulations reasonably satisfactory to the Administrative Agent and each Lender (any of the foregoing being “</w:t>
      </w:r>
      <w:r>
        <w:rPr>
          <w:rFonts w:ascii="Arial" w:cs="Arial" w:eastAsia="Arial" w:hAnsi="Arial"/>
          <w:sz w:val="19"/>
          <w:szCs w:val="19"/>
          <w:b w:val="1"/>
          <w:bCs w:val="1"/>
          <w:i w:val="1"/>
          <w:iCs w:val="1"/>
          <w:color w:val="auto"/>
        </w:rPr>
        <w:t>Evidence of Flood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Insurance</w:t>
      </w:r>
      <w:r>
        <w:rPr>
          <w:rFonts w:ascii="Arial" w:cs="Arial" w:eastAsia="Arial" w:hAnsi="Arial"/>
          <w:sz w:val="19"/>
          <w:szCs w:val="19"/>
          <w:color w:val="auto"/>
        </w:rPr>
        <w:t>”). Notwithstanding anything contained herein to the contrary, no Mortgage will be executed and delivered until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each Lender has confirmed to the Administrative Agent that such Lender has satisfactorily completed its flood insurance due diligence and compliance requirements. For the avoidance of doubt, and notwithstanding anything to the contrary contained herein or any other Loan Document to the contrary, the San Fonzo Property shall be exempt from the requirements of this </w:t>
      </w:r>
      <w:r>
        <w:rPr>
          <w:rFonts w:ascii="Arial" w:cs="Arial" w:eastAsia="Arial" w:hAnsi="Arial"/>
          <w:sz w:val="19"/>
          <w:szCs w:val="19"/>
          <w:u w:val="single" w:color="auto"/>
          <w:color w:val="auto"/>
        </w:rPr>
        <w:t>Section 6.12(b)</w:t>
      </w: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jc w:val="both"/>
        <w:ind w:firstLine="1304"/>
        <w:spacing w:after="0" w:line="268" w:lineRule="auto"/>
        <w:tabs>
          <w:tab w:leader="none" w:pos="194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With respect to any Subsidiary (other than an Excluded Subsidiary) created or acquired after the Closing Date by any Loan Party (including pursuant to a Permitted Acquisition or any Subsidiary formed by Division) or if an Excluded Subsidiary ceases to qualify as an Excluded Subsidiary, promptly (i) execute and deliver to the Administrative Agent such amendments to the Guarantee and Collateral Agreement as the Administrative Agent reasonably deems necessary to grant to the Administrative Agent, for the benefit of the Secured Parties, a perfected first priority security interest in the Capital Stock of such Subsidiary that is owned directly by such Loan Party, (ii) deliver to the Administrative Agent such documents and instruments as may be required to grant, perfect, protect and ensure the priority of such security interest, including but not limited to, the certificates representing such Capital Stock (if applicable), together with undated stock powers, in blank, executed and delivered by a duly authorized officer of the relevant Loan Party, (iii) cause such Subsidiary (A) to become a party to the Guarantee and Collateral Agreement, (B) to take such actions as are deemed reasonably necessary by the Administrative Agent to grant to the Administrative Agent for the benefit of the Secured Parties a perfected first priority security interest in the Collateral described in the Guarantee and Collateral Agreement (except as expressly permitted by </w:t>
      </w:r>
      <w:r>
        <w:rPr>
          <w:rFonts w:ascii="Arial" w:cs="Arial" w:eastAsia="Arial" w:hAnsi="Arial"/>
          <w:sz w:val="18"/>
          <w:szCs w:val="18"/>
          <w:u w:val="single" w:color="auto"/>
          <w:color w:val="auto"/>
        </w:rPr>
        <w:t>Section 7.3</w:t>
      </w:r>
      <w:r>
        <w:rPr>
          <w:rFonts w:ascii="Arial" w:cs="Arial" w:eastAsia="Arial" w:hAnsi="Arial"/>
          <w:sz w:val="18"/>
          <w:szCs w:val="18"/>
          <w:color w:val="auto"/>
        </w:rPr>
        <w:t>), with respect to such Subsidiary, including the filing of Uniform Commercial Code financing statements in such jurisdictions as may be required by the Guarantee and Collateral Agreement or by law or as may be reasonably requested by the Administrative Agent and (C) to deliver to the Administrative Agent a customary officer’s certificate of such Subsidiary, in a form reasonably satisfactory to the Administrative Agent, with appropriate insertions and attachments, and (iv) if requested in writing by the Administrative Agent, deliver to the Administrative Agent legal opinions relating to the matters described above, which opinions shall be in form and substance, and from counsel, reasonably satisfactory to the Administrative Agent; it being agreed that if such new Subsidiary is formed by a Division, the foregoing requirements shall be satisfied substantially concurrently with the formation of such Subsidiary.</w:t>
      </w:r>
    </w:p>
    <w:p>
      <w:pPr>
        <w:spacing w:after="0" w:line="183" w:lineRule="exact"/>
        <w:rPr>
          <w:rFonts w:ascii="Arial" w:cs="Arial" w:eastAsia="Arial" w:hAnsi="Arial"/>
          <w:sz w:val="18"/>
          <w:szCs w:val="18"/>
          <w:color w:val="auto"/>
        </w:rPr>
      </w:pPr>
    </w:p>
    <w:p>
      <w:pPr>
        <w:jc w:val="both"/>
        <w:ind w:firstLine="1304"/>
        <w:spacing w:after="0" w:line="250" w:lineRule="auto"/>
        <w:tabs>
          <w:tab w:leader="none" w:pos="1944" w:val="left"/>
        </w:tabs>
        <w:numPr>
          <w:ilvl w:val="1"/>
          <w:numId w:val="110"/>
        </w:numPr>
        <w:rPr>
          <w:rFonts w:ascii="Arial" w:cs="Arial" w:eastAsia="Arial" w:hAnsi="Arial"/>
          <w:sz w:val="20"/>
          <w:szCs w:val="20"/>
          <w:color w:val="auto"/>
        </w:rPr>
      </w:pPr>
      <w:r>
        <w:rPr>
          <w:rFonts w:ascii="Arial" w:cs="Arial" w:eastAsia="Arial" w:hAnsi="Arial"/>
          <w:sz w:val="20"/>
          <w:szCs w:val="20"/>
          <w:color w:val="auto"/>
        </w:rPr>
        <w:t>With respect to any direct Foreign Subsidiary that is an Excluded Subsidiary but not an Immaterial Subsidiary or any direct Foreign Subsidiary Holding Company that is an Excluded Subsidiary but not an Immaterial Subsidiary created or acquired after the Closing Date by any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19" w:name="page120"/>
    <w:bookmarkEnd w:id="119"/>
    <w:p>
      <w:pPr>
        <w:jc w:val="both"/>
        <w:spacing w:after="0" w:line="269" w:lineRule="auto"/>
        <w:rPr>
          <w:sz w:val="20"/>
          <w:szCs w:val="20"/>
          <w:color w:val="auto"/>
        </w:rPr>
      </w:pPr>
      <w:r>
        <w:rPr>
          <w:rFonts w:ascii="Arial" w:cs="Arial" w:eastAsia="Arial" w:hAnsi="Arial"/>
          <w:sz w:val="18"/>
          <w:szCs w:val="18"/>
          <w:color w:val="auto"/>
        </w:rPr>
        <w:t>or if an Excluded Subsidiary that is an Immaterial Subsidiary ceases to qualify as an Immaterial Subsidiary, promptly (i) execute and deliver to the Administrative Agent such amendments to the Guarantee and Collateral Agreement, as the Administrative Agent deems necessary to grant to the Administrative Agent, for the benefit of the Secured Parties, a perfected first priority security interest in the Capital Stock of such Foreign Subsidiary or Foreign Subsidiary Holding Company that is directly owned by any such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more than 65% of the total outstanding voting Capital Stock of any such Foreign Subsidiary or Foreign Subsidiary Holding Company shall be required to be so pledged),</w:t>
      </w:r>
    </w:p>
    <w:p>
      <w:pPr>
        <w:spacing w:after="0" w:line="1" w:lineRule="exact"/>
        <w:rPr>
          <w:sz w:val="20"/>
          <w:szCs w:val="20"/>
          <w:color w:val="auto"/>
        </w:rPr>
      </w:pPr>
    </w:p>
    <w:p>
      <w:pPr>
        <w:jc w:val="both"/>
        <w:ind w:firstLine="8"/>
        <w:spacing w:after="0" w:line="267" w:lineRule="auto"/>
        <w:tabs>
          <w:tab w:leader="none" w:pos="33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deliver to the Administrative Agent the certificates representing such Capital Stock (if certificated), together with undated stock powers, in blank, executed and delivered by a duly authorized officer of the relevant Loan Party, and take such other action (including, as applicable, the delivery of any foreign law pledge documents reasonably requested by the Administrative Agent) as may be deemed reasonably necessary by the Administrative Agent to perfect the Administrative Agent’s security interest therein, and (iii) if reasonably requested in writing by the Administrative Agent, deliver to the Administrative Agent legal opinions relating to the matters described above, which opinions shall be in form and substance, and from counsel, reasonably satisfactory to the Administrative Agent. For the avoidance of doubt, no Loan Party shall be required to take any action with respect to any assets located outside of the United States (or any political subdivision thereof) in connection with pledging Collateral (other than with respect to the pledge of any Capital Stock), entering into any collateral documents (including granting a security interest in such Collateral) governed by the laws of any country (or any political subdivision thereof) other than the United States (or any political subdivision thereof) or perfecting a security interest in such Collateral, in each case of the foregoing with respect to assets located or titled outside the United States, unless the Administrative Agent determines in its reasonable discretion, in consultation with the Borrower, that the benefit of such actions and agreements to the Lenders outweigh the cost of such actions or agreements to the Loan Parties. For the avoidance of doubt, and notwithstanding anything to the contrary contained herein or in </w:t>
      </w:r>
      <w:r>
        <w:rPr>
          <w:rFonts w:ascii="Arial" w:cs="Arial" w:eastAsia="Arial" w:hAnsi="Arial"/>
          <w:sz w:val="18"/>
          <w:szCs w:val="18"/>
          <w:u w:val="single" w:color="auto"/>
          <w:color w:val="auto"/>
        </w:rPr>
        <w:t>Section 5.1(a)(i)(ii)</w:t>
      </w:r>
      <w:r>
        <w:rPr>
          <w:rFonts w:ascii="Arial" w:cs="Arial" w:eastAsia="Arial" w:hAnsi="Arial"/>
          <w:sz w:val="18"/>
          <w:szCs w:val="18"/>
          <w:color w:val="auto"/>
        </w:rPr>
        <w:t>, solely with respect to the Capital Stock of Axcelis Technologies, Limited, the Loan Parties shall only be required to deliver such certificates and accompanying stock powers required to be delivered pursuant to clause (ii) hereof, upon the reasonable request of the Administrative Agent (1) at any time an Event of Default shall have occurred and be continuing or (2) following any such date where Axcelis Technologies, Limited (a) holds assets representing 7.5% or more of the Group Members’ consolidated total assets as of such date (determined in accordance with GAAP) or (b) has generated more than 7.5% of the Group Members’ consolidated total revenues determined in accordance with GAAP for the four fiscal quarter period ending on the last day of the most recent period for which financial statements have been delivered to the Administrative Agent.</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jc w:val="both"/>
        <w:ind w:firstLine="1304"/>
        <w:spacing w:after="0" w:line="271" w:lineRule="auto"/>
        <w:tabs>
          <w:tab w:leader="none" w:pos="194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At the request of the Administrative Agent, each Loan Party shall use commercially reasonable efforts to obtain a landlord’s agreement or bailee letter, as applicable, from the lessor of each leased property or bailee with respect to any domestic warehouse, processor or converter facility or other domestic location where Collateral (excluding any assets provided to customers as “evaluation systems”) having a value exceeding $1,000,000 is stored or located reasonably satisfactory in form and substance to the Administrative Agent. After the Closing Date, no Collateral with a value in excess of $1,000,000 shall be stored at any location without the prior written consent of the Administrative Agent unless and until a reasonably satisfactory landlord agreement or bailee letter, as appropriate, shall first have been obtained with respect to any applicable location. Each Loan Party shall pay and perform its obligations under all leases and other agreements with respect to each leased location or public warehouse where any Collateral is or may be located except to the extent failure to pay or perform could not reasonably be expected to have a Material Adverse Effect.</w:t>
      </w:r>
    </w:p>
    <w:p>
      <w:pPr>
        <w:spacing w:after="0" w:line="173" w:lineRule="exact"/>
        <w:rPr>
          <w:rFonts w:ascii="Arial" w:cs="Arial" w:eastAsia="Arial" w:hAnsi="Arial"/>
          <w:sz w:val="18"/>
          <w:szCs w:val="18"/>
          <w:color w:val="auto"/>
        </w:rPr>
      </w:pPr>
    </w:p>
    <w:p>
      <w:pPr>
        <w:jc w:val="both"/>
        <w:ind w:firstLine="1304"/>
        <w:spacing w:after="0" w:line="246" w:lineRule="auto"/>
        <w:tabs>
          <w:tab w:leader="none" w:pos="1944" w:val="left"/>
        </w:tabs>
        <w:numPr>
          <w:ilvl w:val="1"/>
          <w:numId w:val="111"/>
        </w:numPr>
        <w:rPr>
          <w:rFonts w:ascii="Arial" w:cs="Arial" w:eastAsia="Arial" w:hAnsi="Arial"/>
          <w:sz w:val="20"/>
          <w:szCs w:val="20"/>
          <w:color w:val="auto"/>
        </w:rPr>
      </w:pPr>
      <w:r>
        <w:rPr>
          <w:rFonts w:ascii="Arial" w:cs="Arial" w:eastAsia="Arial" w:hAnsi="Arial"/>
          <w:sz w:val="20"/>
          <w:szCs w:val="20"/>
          <w:color w:val="auto"/>
        </w:rPr>
        <w:t>Notwithstanding the foregoing, Subsidiaries may be excluded from the guarantee requirements in circumstances where the Borrower and the Administrative Agent reasonably agree that the cost or other consequence of providing such a guarantee is excessive in relation to the value afforded thereby. As a result of the limitations in the preceding sentence, the Administrative Agent may elect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20" w:name="page121"/>
    <w:bookmarkEnd w:id="120"/>
    <w:p>
      <w:pPr>
        <w:jc w:val="both"/>
        <w:spacing w:after="0" w:line="260" w:lineRule="auto"/>
        <w:rPr>
          <w:sz w:val="20"/>
          <w:szCs w:val="20"/>
          <w:color w:val="auto"/>
        </w:rPr>
      </w:pPr>
      <w:r>
        <w:rPr>
          <w:rFonts w:ascii="Arial" w:cs="Arial" w:eastAsia="Arial" w:hAnsi="Arial"/>
          <w:sz w:val="20"/>
          <w:szCs w:val="20"/>
          <w:color w:val="auto"/>
        </w:rPr>
        <w:t>waive the requirement to cause a Group Member to become a Guarantor hereunder and such Group Member shall not be a Loan Party for any purposes hereof.</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6.13</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6.14</w:t>
      </w:r>
      <w:r>
        <w:rPr>
          <w:sz w:val="20"/>
          <w:szCs w:val="20"/>
          <w:color w:val="auto"/>
        </w:rPr>
        <w:tab/>
      </w:r>
      <w:r>
        <w:rPr>
          <w:rFonts w:ascii="Arial" w:cs="Arial" w:eastAsia="Arial" w:hAnsi="Arial"/>
          <w:sz w:val="16"/>
          <w:szCs w:val="16"/>
          <w:b w:val="1"/>
          <w:bCs w:val="1"/>
          <w:color w:val="auto"/>
        </w:rPr>
        <w:t>Use of Proceeds</w:t>
      </w:r>
      <w:r>
        <w:rPr>
          <w:rFonts w:ascii="Arial" w:cs="Arial" w:eastAsia="Arial" w:hAnsi="Arial"/>
          <w:sz w:val="16"/>
          <w:szCs w:val="16"/>
          <w:color w:val="auto"/>
        </w:rPr>
        <w:t>. Use the proceeds of each credit extension only for the purposes specified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4.16</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6.15 Designated Senior Indebtedness</w:t>
      </w:r>
      <w:r>
        <w:rPr>
          <w:rFonts w:ascii="Arial" w:cs="Arial" w:eastAsia="Arial" w:hAnsi="Arial"/>
          <w:sz w:val="20"/>
          <w:szCs w:val="20"/>
          <w:color w:val="auto"/>
        </w:rPr>
        <w:t>. Cause the Loan Documents and all of the Obligations to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“Designated Senior Indebtedness” or a similar concept thereto, if applicable, for purposes of any Indebtedness of the Loan Parties.</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6.16 Anti-Corruption Laws</w:t>
      </w:r>
      <w:r>
        <w:rPr>
          <w:rFonts w:ascii="Arial" w:cs="Arial" w:eastAsia="Arial" w:hAnsi="Arial"/>
          <w:sz w:val="20"/>
          <w:szCs w:val="20"/>
          <w:color w:val="auto"/>
        </w:rPr>
        <w:t>. Conduct its business in compliance with all applicable anti-corruption laws and</w:t>
      </w:r>
      <w:r>
        <w:rPr>
          <w:rFonts w:ascii="Arial" w:cs="Arial" w:eastAsia="Arial" w:hAnsi="Arial"/>
          <w:sz w:val="20"/>
          <w:szCs w:val="20"/>
          <w:b w:val="1"/>
          <w:bCs w:val="1"/>
          <w:color w:val="auto"/>
        </w:rPr>
        <w:t xml:space="preserve"> </w:t>
      </w:r>
      <w:r>
        <w:rPr>
          <w:rFonts w:ascii="Arial" w:cs="Arial" w:eastAsia="Arial" w:hAnsi="Arial"/>
          <w:sz w:val="20"/>
          <w:szCs w:val="20"/>
          <w:color w:val="auto"/>
        </w:rPr>
        <w:t>maintain policies and procedures designed to promote and achieve compliance with such laws.</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6.17 Further Assurances</w:t>
      </w:r>
      <w:r>
        <w:rPr>
          <w:rFonts w:ascii="Arial" w:cs="Arial" w:eastAsia="Arial" w:hAnsi="Arial"/>
          <w:sz w:val="20"/>
          <w:szCs w:val="20"/>
          <w:color w:val="auto"/>
        </w:rPr>
        <w:t>. Execute any further instruments and take such further action as the Administrative</w:t>
      </w:r>
      <w:r>
        <w:rPr>
          <w:rFonts w:ascii="Arial" w:cs="Arial" w:eastAsia="Arial" w:hAnsi="Arial"/>
          <w:sz w:val="20"/>
          <w:szCs w:val="20"/>
          <w:b w:val="1"/>
          <w:bCs w:val="1"/>
          <w:color w:val="auto"/>
        </w:rPr>
        <w:t xml:space="preserve"> </w:t>
      </w:r>
      <w:r>
        <w:rPr>
          <w:rFonts w:ascii="Arial" w:cs="Arial" w:eastAsia="Arial" w:hAnsi="Arial"/>
          <w:sz w:val="20"/>
          <w:szCs w:val="20"/>
          <w:color w:val="auto"/>
        </w:rPr>
        <w:t>Agent reasonably deems necessary to perfect, protect, ensure the priority of or continue the Administrative Agent’s Lien on the Collateral or to effect the purposes of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NEGATIVE COVENANTS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Borrower hereby agrees that, at all times prior to the Discharge of Obligations, no Loan Party shall, nor shall any Loan Party permit any of its respective Subsidiaries to, directly or indirectly:</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6"/>
          <w:szCs w:val="16"/>
          <w:b w:val="1"/>
          <w:bCs w:val="1"/>
          <w:color w:val="auto"/>
        </w:rPr>
        <w:t>Financial Condition Covenants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50" w:lineRule="auto"/>
        <w:tabs>
          <w:tab w:leader="none" w:pos="1944"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Maximum Consolidated Senior Leverage Ratio</w:t>
      </w:r>
      <w:r>
        <w:rPr>
          <w:rFonts w:ascii="Arial" w:cs="Arial" w:eastAsia="Arial" w:hAnsi="Arial"/>
          <w:sz w:val="20"/>
          <w:szCs w:val="20"/>
          <w:color w:val="auto"/>
        </w:rPr>
        <w:t>. Permit the Consolidated Senior Leverage Ratio as of the last day of any period of four (4) consecutive quarters of the Group Members ending with any fiscal quarter end set forth below to exceed the ratio set forth below opposite such quarter end.</w:t>
      </w:r>
    </w:p>
    <w:p>
      <w:pPr>
        <w:spacing w:after="0" w:line="183" w:lineRule="exact"/>
        <w:rPr>
          <w:sz w:val="20"/>
          <w:szCs w:val="20"/>
          <w:color w:val="auto"/>
        </w:rPr>
      </w:pPr>
    </w:p>
    <w:tbl>
      <w:tblPr>
        <w:tblLayout w:type="fixed"/>
        <w:tblInd w:w="1010" w:type="dxa"/>
        <w:tblCellMar>
          <w:top w:w="0" w:type="dxa"/>
          <w:left w:w="0" w:type="dxa"/>
          <w:bottom w:w="0" w:type="dxa"/>
          <w:right w:w="0" w:type="dxa"/>
        </w:tblCellMar>
      </w:tblPr>
      <w:tr>
        <w:trPr>
          <w:trHeight w:val="203"/>
        </w:trPr>
        <w:tc>
          <w:tcPr>
            <w:tcW w:w="1160" w:type="dxa"/>
            <w:vAlign w:val="bottom"/>
            <w:tcBorders>
              <w:top w:val="single" w:sz="8" w:color="auto"/>
              <w:left w:val="single" w:sz="8" w:color="auto"/>
              <w:right w:val="single" w:sz="8" w:color="D9D9D9"/>
            </w:tcBorders>
            <w:shd w:val="clear" w:color="auto" w:fill="D9D9D9"/>
          </w:tcPr>
          <w:p>
            <w:pPr>
              <w:spacing w:after="0"/>
              <w:rPr>
                <w:sz w:val="17"/>
                <w:szCs w:val="17"/>
                <w:color w:val="auto"/>
              </w:rPr>
            </w:pPr>
          </w:p>
        </w:tc>
        <w:tc>
          <w:tcPr>
            <w:tcW w:w="3140" w:type="dxa"/>
            <w:vAlign w:val="bottom"/>
            <w:tcBorders>
              <w:top w:val="single" w:sz="8" w:color="auto"/>
              <w:right w:val="single" w:sz="8" w:color="auto"/>
            </w:tcBorders>
            <w:gridSpan w:val="2"/>
            <w:vMerge w:val="restart"/>
            <w:shd w:val="clear" w:color="auto" w:fill="D9D9D9"/>
          </w:tcPr>
          <w:p>
            <w:pPr>
              <w:jc w:val="center"/>
              <w:ind w:right="1140"/>
              <w:spacing w:after="0"/>
              <w:rPr>
                <w:sz w:val="20"/>
                <w:szCs w:val="20"/>
                <w:color w:val="auto"/>
              </w:rPr>
            </w:pPr>
            <w:r>
              <w:rPr>
                <w:rFonts w:ascii="Arial" w:cs="Arial" w:eastAsia="Arial" w:hAnsi="Arial"/>
                <w:sz w:val="20"/>
                <w:szCs w:val="20"/>
                <w:b w:val="1"/>
                <w:bCs w:val="1"/>
                <w:color w:val="auto"/>
                <w:w w:val="86"/>
              </w:rPr>
              <w:t>Four Consecutive Fiscal</w:t>
            </w:r>
          </w:p>
        </w:tc>
        <w:tc>
          <w:tcPr>
            <w:tcW w:w="780" w:type="dxa"/>
            <w:vAlign w:val="bottom"/>
            <w:tcBorders>
              <w:top w:val="single" w:sz="8" w:color="auto"/>
            </w:tcBorders>
            <w:shd w:val="clear" w:color="auto" w:fill="D9D9D9"/>
          </w:tcPr>
          <w:p>
            <w:pPr>
              <w:spacing w:after="0"/>
              <w:rPr>
                <w:sz w:val="17"/>
                <w:szCs w:val="17"/>
                <w:color w:val="auto"/>
              </w:rPr>
            </w:pPr>
          </w:p>
        </w:tc>
        <w:tc>
          <w:tcPr>
            <w:tcW w:w="2860" w:type="dxa"/>
            <w:vAlign w:val="bottom"/>
            <w:tcBorders>
              <w:top w:val="single" w:sz="8" w:color="auto"/>
              <w:right w:val="single" w:sz="8" w:color="auto"/>
            </w:tcBorders>
            <w:gridSpan w:val="6"/>
            <w:shd w:val="clear" w:color="auto" w:fill="D9D9D9"/>
          </w:tcPr>
          <w:p>
            <w:pPr>
              <w:jc w:val="center"/>
              <w:ind w:right="820"/>
              <w:spacing w:after="0" w:line="203" w:lineRule="exact"/>
              <w:rPr>
                <w:sz w:val="20"/>
                <w:szCs w:val="20"/>
                <w:color w:val="auto"/>
              </w:rPr>
            </w:pPr>
            <w:r>
              <w:rPr>
                <w:rFonts w:ascii="Arial" w:cs="Arial" w:eastAsia="Arial" w:hAnsi="Arial"/>
                <w:sz w:val="20"/>
                <w:szCs w:val="20"/>
                <w:b w:val="1"/>
                <w:bCs w:val="1"/>
                <w:color w:val="auto"/>
                <w:w w:val="90"/>
              </w:rPr>
              <w:t>Maximum Consolidated</w:t>
            </w:r>
          </w:p>
        </w:tc>
        <w:tc>
          <w:tcPr>
            <w:tcW w:w="0" w:type="dxa"/>
            <w:vAlign w:val="bottom"/>
          </w:tcPr>
          <w:p>
            <w:pPr>
              <w:spacing w:after="0"/>
              <w:rPr>
                <w:sz w:val="1"/>
                <w:szCs w:val="1"/>
                <w:color w:val="auto"/>
              </w:rPr>
            </w:pPr>
          </w:p>
        </w:tc>
      </w:tr>
      <w:tr>
        <w:trPr>
          <w:trHeight w:val="209"/>
        </w:trPr>
        <w:tc>
          <w:tcPr>
            <w:tcW w:w="1160" w:type="dxa"/>
            <w:vAlign w:val="bottom"/>
            <w:tcBorders>
              <w:top w:val="single" w:sz="8" w:color="D9D9D9"/>
              <w:left w:val="single" w:sz="8" w:color="auto"/>
              <w:right w:val="single" w:sz="8" w:color="D9D9D9"/>
            </w:tcBorders>
            <w:shd w:val="clear" w:color="auto" w:fill="D9D9D9"/>
          </w:tcPr>
          <w:p>
            <w:pPr>
              <w:spacing w:after="0"/>
              <w:rPr>
                <w:sz w:val="18"/>
                <w:szCs w:val="18"/>
                <w:color w:val="auto"/>
              </w:rPr>
            </w:pPr>
          </w:p>
        </w:tc>
        <w:tc>
          <w:tcPr>
            <w:tcW w:w="3140" w:type="dxa"/>
            <w:vAlign w:val="bottom"/>
            <w:tcBorders>
              <w:top w:val="single" w:sz="8" w:color="auto"/>
              <w:right w:val="single" w:sz="8" w:color="auto"/>
            </w:tcBorders>
            <w:gridSpan w:val="2"/>
            <w:vMerge w:val="continue"/>
            <w:shd w:val="clear" w:color="auto" w:fill="D9D9D9"/>
          </w:tcPr>
          <w:p>
            <w:pPr>
              <w:spacing w:after="0"/>
              <w:rPr>
                <w:sz w:val="18"/>
                <w:szCs w:val="18"/>
                <w:color w:val="auto"/>
              </w:rPr>
            </w:pPr>
          </w:p>
        </w:tc>
        <w:tc>
          <w:tcPr>
            <w:tcW w:w="780" w:type="dxa"/>
            <w:vAlign w:val="bottom"/>
            <w:tcBorders>
              <w:top w:val="single" w:sz="8" w:color="D9D9D9"/>
            </w:tcBorders>
            <w:shd w:val="clear" w:color="auto" w:fill="D9D9D9"/>
          </w:tcPr>
          <w:p>
            <w:pPr>
              <w:spacing w:after="0"/>
              <w:rPr>
                <w:sz w:val="18"/>
                <w:szCs w:val="18"/>
                <w:color w:val="auto"/>
              </w:rPr>
            </w:pPr>
          </w:p>
        </w:tc>
        <w:tc>
          <w:tcPr>
            <w:tcW w:w="380" w:type="dxa"/>
            <w:vAlign w:val="bottom"/>
            <w:tcBorders>
              <w:top w:val="single" w:sz="8" w:color="auto"/>
            </w:tcBorders>
            <w:shd w:val="clear" w:color="auto" w:fill="D9D9D9"/>
          </w:tcPr>
          <w:p>
            <w:pPr>
              <w:spacing w:after="0"/>
              <w:rPr>
                <w:sz w:val="18"/>
                <w:szCs w:val="18"/>
                <w:color w:val="auto"/>
              </w:rPr>
            </w:pPr>
          </w:p>
        </w:tc>
        <w:tc>
          <w:tcPr>
            <w:tcW w:w="1660" w:type="dxa"/>
            <w:vAlign w:val="bottom"/>
            <w:tcBorders>
              <w:top w:val="single" w:sz="8" w:color="auto"/>
            </w:tcBorders>
            <w:gridSpan w:val="4"/>
            <w:shd w:val="clear" w:color="auto" w:fill="D9D9D9"/>
          </w:tcPr>
          <w:p>
            <w:pPr>
              <w:jc w:val="center"/>
              <w:ind w:right="380"/>
              <w:spacing w:after="0" w:line="209" w:lineRule="exact"/>
              <w:rPr>
                <w:sz w:val="20"/>
                <w:szCs w:val="20"/>
                <w:color w:val="auto"/>
              </w:rPr>
            </w:pPr>
            <w:r>
              <w:rPr>
                <w:rFonts w:ascii="Arial" w:cs="Arial" w:eastAsia="Arial" w:hAnsi="Arial"/>
                <w:sz w:val="20"/>
                <w:szCs w:val="20"/>
                <w:b w:val="1"/>
                <w:bCs w:val="1"/>
                <w:color w:val="auto"/>
                <w:w w:val="89"/>
              </w:rPr>
              <w:t>Senior</w:t>
            </w:r>
          </w:p>
        </w:tc>
        <w:tc>
          <w:tcPr>
            <w:tcW w:w="820" w:type="dxa"/>
            <w:vAlign w:val="bottom"/>
            <w:tcBorders>
              <w:top w:val="single" w:sz="8" w:color="D9D9D9"/>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Borders>
              <w:left w:val="single" w:sz="8" w:color="auto"/>
              <w:right w:val="single" w:sz="8" w:color="auto"/>
            </w:tcBorders>
            <w:shd w:val="clear" w:color="auto" w:fill="D9D9D9"/>
          </w:tcPr>
          <w:p>
            <w:pPr>
              <w:spacing w:after="0" w:line="20" w:lineRule="exact"/>
              <w:rPr>
                <w:sz w:val="1"/>
                <w:szCs w:val="1"/>
                <w:color w:val="auto"/>
              </w:rPr>
            </w:pPr>
          </w:p>
        </w:tc>
        <w:tc>
          <w:tcPr>
            <w:tcW w:w="200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D9D9D9"/>
          </w:tcPr>
          <w:p>
            <w:pPr>
              <w:spacing w:after="0" w:line="20" w:lineRule="exact"/>
              <w:rPr>
                <w:sz w:val="1"/>
                <w:szCs w:val="1"/>
                <w:color w:val="auto"/>
              </w:rPr>
            </w:pPr>
          </w:p>
        </w:tc>
        <w:tc>
          <w:tcPr>
            <w:tcW w:w="780" w:type="dxa"/>
            <w:vAlign w:val="bottom"/>
            <w:shd w:val="clear" w:color="auto" w:fill="D9D9D9"/>
          </w:tcPr>
          <w:p>
            <w:pPr>
              <w:spacing w:after="0" w:line="20" w:lineRule="exact"/>
              <w:rPr>
                <w:sz w:val="1"/>
                <w:szCs w:val="1"/>
                <w:color w:val="auto"/>
              </w:rPr>
            </w:pPr>
          </w:p>
        </w:tc>
        <w:tc>
          <w:tcPr>
            <w:tcW w:w="380" w:type="dxa"/>
            <w:vAlign w:val="bottom"/>
            <w:shd w:val="clear" w:color="auto" w:fill="D9D9D9"/>
          </w:tcPr>
          <w:p>
            <w:pPr>
              <w:spacing w:after="0" w:line="20" w:lineRule="exact"/>
              <w:rPr>
                <w:sz w:val="1"/>
                <w:szCs w:val="1"/>
                <w:color w:val="auto"/>
              </w:rPr>
            </w:pPr>
          </w:p>
        </w:tc>
        <w:tc>
          <w:tcPr>
            <w:tcW w:w="360" w:type="dxa"/>
            <w:vAlign w:val="bottom"/>
            <w:shd w:val="clear" w:color="auto" w:fill="D9D9D9"/>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D9D9D9"/>
          </w:tcPr>
          <w:p>
            <w:pPr>
              <w:spacing w:after="0" w:line="20" w:lineRule="exact"/>
              <w:rPr>
                <w:sz w:val="1"/>
                <w:szCs w:val="1"/>
                <w:color w:val="auto"/>
              </w:rPr>
            </w:pPr>
          </w:p>
        </w:tc>
        <w:tc>
          <w:tcPr>
            <w:tcW w:w="380" w:type="dxa"/>
            <w:vAlign w:val="bottom"/>
            <w:shd w:val="clear" w:color="auto" w:fill="D9D9D9"/>
          </w:tcPr>
          <w:p>
            <w:pPr>
              <w:spacing w:after="0" w:line="20" w:lineRule="exact"/>
              <w:rPr>
                <w:sz w:val="1"/>
                <w:szCs w:val="1"/>
                <w:color w:val="auto"/>
              </w:rPr>
            </w:pPr>
          </w:p>
        </w:tc>
        <w:tc>
          <w:tcPr>
            <w:tcW w:w="820" w:type="dxa"/>
            <w:vAlign w:val="bottom"/>
            <w:tcBorders>
              <w:right w:val="single" w:sz="8" w:color="auto"/>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Borders>
              <w:left w:val="single" w:sz="8" w:color="auto"/>
              <w:right w:val="single" w:sz="8" w:color="D9D9D9"/>
            </w:tcBorders>
            <w:shd w:val="clear" w:color="auto" w:fill="D9D9D9"/>
          </w:tcPr>
          <w:p>
            <w:pPr>
              <w:spacing w:after="0"/>
              <w:rPr>
                <w:sz w:val="18"/>
                <w:szCs w:val="18"/>
                <w:color w:val="auto"/>
              </w:rPr>
            </w:pPr>
          </w:p>
        </w:tc>
        <w:tc>
          <w:tcPr>
            <w:tcW w:w="2000" w:type="dxa"/>
            <w:vAlign w:val="bottom"/>
            <w:tcBorders>
              <w:right w:val="single" w:sz="8" w:color="D9D9D9"/>
            </w:tcBorders>
            <w:shd w:val="clear" w:color="auto" w:fill="D9D9D9"/>
          </w:tcPr>
          <w:p>
            <w:pPr>
              <w:jc w:val="center"/>
              <w:spacing w:after="0" w:line="209" w:lineRule="exact"/>
              <w:rPr>
                <w:sz w:val="20"/>
                <w:szCs w:val="20"/>
                <w:color w:val="auto"/>
              </w:rPr>
            </w:pPr>
            <w:r>
              <w:rPr>
                <w:rFonts w:ascii="Arial" w:cs="Arial" w:eastAsia="Arial" w:hAnsi="Arial"/>
                <w:sz w:val="20"/>
                <w:szCs w:val="20"/>
                <w:b w:val="1"/>
                <w:bCs w:val="1"/>
                <w:color w:val="auto"/>
                <w:w w:val="92"/>
              </w:rPr>
              <w:t>Quarter Period Ending</w:t>
            </w:r>
          </w:p>
        </w:tc>
        <w:tc>
          <w:tcPr>
            <w:tcW w:w="1140" w:type="dxa"/>
            <w:vAlign w:val="bottom"/>
            <w:tcBorders>
              <w:right w:val="single" w:sz="8" w:color="auto"/>
            </w:tcBorders>
            <w:shd w:val="clear" w:color="auto" w:fill="D9D9D9"/>
          </w:tcPr>
          <w:p>
            <w:pPr>
              <w:spacing w:after="0"/>
              <w:rPr>
                <w:sz w:val="18"/>
                <w:szCs w:val="18"/>
                <w:color w:val="auto"/>
              </w:rPr>
            </w:pPr>
          </w:p>
        </w:tc>
        <w:tc>
          <w:tcPr>
            <w:tcW w:w="780" w:type="dxa"/>
            <w:vAlign w:val="bottom"/>
            <w:shd w:val="clear" w:color="auto" w:fill="D9D9D9"/>
          </w:tcPr>
          <w:p>
            <w:pPr>
              <w:spacing w:after="0"/>
              <w:rPr>
                <w:sz w:val="18"/>
                <w:szCs w:val="18"/>
                <w:color w:val="auto"/>
              </w:rPr>
            </w:pPr>
          </w:p>
        </w:tc>
        <w:tc>
          <w:tcPr>
            <w:tcW w:w="2860" w:type="dxa"/>
            <w:vAlign w:val="bottom"/>
            <w:tcBorders>
              <w:right w:val="single" w:sz="8" w:color="auto"/>
            </w:tcBorders>
            <w:gridSpan w:val="6"/>
            <w:shd w:val="clear" w:color="auto" w:fill="D9D9D9"/>
          </w:tcPr>
          <w:p>
            <w:pPr>
              <w:jc w:val="center"/>
              <w:ind w:right="820"/>
              <w:spacing w:after="0" w:line="209" w:lineRule="exact"/>
              <w:rPr>
                <w:sz w:val="20"/>
                <w:szCs w:val="20"/>
                <w:color w:val="auto"/>
              </w:rPr>
            </w:pPr>
            <w:r>
              <w:rPr>
                <w:rFonts w:ascii="Arial" w:cs="Arial" w:eastAsia="Arial" w:hAnsi="Arial"/>
                <w:sz w:val="20"/>
                <w:szCs w:val="20"/>
                <w:b w:val="1"/>
                <w:bCs w:val="1"/>
                <w:color w:val="auto"/>
                <w:w w:val="89"/>
              </w:rPr>
              <w:t>Leverage Ratio</w:t>
            </w:r>
          </w:p>
        </w:tc>
        <w:tc>
          <w:tcPr>
            <w:tcW w:w="0" w:type="dxa"/>
            <w:vAlign w:val="bottom"/>
          </w:tcPr>
          <w:p>
            <w:pPr>
              <w:spacing w:after="0"/>
              <w:rPr>
                <w:sz w:val="1"/>
                <w:szCs w:val="1"/>
                <w:color w:val="auto"/>
              </w:rPr>
            </w:pPr>
          </w:p>
        </w:tc>
      </w:tr>
      <w:tr>
        <w:trPr>
          <w:trHeight w:val="88"/>
        </w:trPr>
        <w:tc>
          <w:tcPr>
            <w:tcW w:w="1160" w:type="dxa"/>
            <w:vAlign w:val="bottom"/>
            <w:tcBorders>
              <w:top w:val="single" w:sz="8" w:color="D9D9D9"/>
              <w:left w:val="single" w:sz="8" w:color="auto"/>
              <w:bottom w:val="single" w:sz="8" w:color="auto"/>
              <w:right w:val="single" w:sz="8" w:color="D9D9D9"/>
            </w:tcBorders>
            <w:shd w:val="clear" w:color="auto" w:fill="D9D9D9"/>
          </w:tcPr>
          <w:p>
            <w:pPr>
              <w:spacing w:after="0"/>
              <w:rPr>
                <w:sz w:val="7"/>
                <w:szCs w:val="7"/>
                <w:color w:val="auto"/>
              </w:rPr>
            </w:pPr>
          </w:p>
        </w:tc>
        <w:tc>
          <w:tcPr>
            <w:tcW w:w="2000" w:type="dxa"/>
            <w:vAlign w:val="bottom"/>
            <w:tcBorders>
              <w:top w:val="single" w:sz="8" w:color="auto"/>
              <w:bottom w:val="single" w:sz="8" w:color="auto"/>
              <w:right w:val="single" w:sz="8" w:color="D9D9D9"/>
            </w:tcBorders>
            <w:shd w:val="clear" w:color="auto" w:fill="D9D9D9"/>
          </w:tcPr>
          <w:p>
            <w:pPr>
              <w:spacing w:after="0"/>
              <w:rPr>
                <w:sz w:val="7"/>
                <w:szCs w:val="7"/>
                <w:color w:val="auto"/>
              </w:rPr>
            </w:pPr>
          </w:p>
        </w:tc>
        <w:tc>
          <w:tcPr>
            <w:tcW w:w="1140" w:type="dxa"/>
            <w:vAlign w:val="bottom"/>
            <w:tcBorders>
              <w:top w:val="single" w:sz="8" w:color="D9D9D9"/>
              <w:bottom w:val="single" w:sz="8" w:color="auto"/>
              <w:right w:val="single" w:sz="8" w:color="auto"/>
            </w:tcBorders>
            <w:shd w:val="clear" w:color="auto" w:fill="D9D9D9"/>
          </w:tcPr>
          <w:p>
            <w:pPr>
              <w:spacing w:after="0"/>
              <w:rPr>
                <w:sz w:val="7"/>
                <w:szCs w:val="7"/>
                <w:color w:val="auto"/>
              </w:rPr>
            </w:pPr>
          </w:p>
        </w:tc>
        <w:tc>
          <w:tcPr>
            <w:tcW w:w="780" w:type="dxa"/>
            <w:vAlign w:val="bottom"/>
            <w:tcBorders>
              <w:top w:val="single" w:sz="8" w:color="D9D9D9"/>
              <w:bottom w:val="single" w:sz="8" w:color="auto"/>
            </w:tcBorders>
            <w:shd w:val="clear" w:color="auto" w:fill="D9D9D9"/>
          </w:tcPr>
          <w:p>
            <w:pPr>
              <w:spacing w:after="0"/>
              <w:rPr>
                <w:sz w:val="7"/>
                <w:szCs w:val="7"/>
                <w:color w:val="auto"/>
              </w:rPr>
            </w:pPr>
          </w:p>
        </w:tc>
        <w:tc>
          <w:tcPr>
            <w:tcW w:w="380" w:type="dxa"/>
            <w:vAlign w:val="bottom"/>
            <w:tcBorders>
              <w:top w:val="single" w:sz="8" w:color="D9D9D9"/>
              <w:bottom w:val="single" w:sz="8" w:color="auto"/>
            </w:tcBorders>
            <w:shd w:val="clear" w:color="auto" w:fill="D9D9D9"/>
          </w:tcPr>
          <w:p>
            <w:pPr>
              <w:spacing w:after="0"/>
              <w:rPr>
                <w:sz w:val="7"/>
                <w:szCs w:val="7"/>
                <w:color w:val="auto"/>
              </w:rPr>
            </w:pPr>
          </w:p>
        </w:tc>
        <w:tc>
          <w:tcPr>
            <w:tcW w:w="360" w:type="dxa"/>
            <w:vAlign w:val="bottom"/>
            <w:tcBorders>
              <w:top w:val="single" w:sz="8" w:color="auto"/>
              <w:bottom w:val="single" w:sz="8" w:color="auto"/>
            </w:tcBorders>
            <w:shd w:val="clear" w:color="auto" w:fill="D9D9D9"/>
          </w:tcPr>
          <w:p>
            <w:pPr>
              <w:spacing w:after="0"/>
              <w:rPr>
                <w:sz w:val="7"/>
                <w:szCs w:val="7"/>
                <w:color w:val="auto"/>
              </w:rPr>
            </w:pPr>
          </w:p>
        </w:tc>
        <w:tc>
          <w:tcPr>
            <w:tcW w:w="560" w:type="dxa"/>
            <w:vAlign w:val="bottom"/>
            <w:tcBorders>
              <w:top w:val="single" w:sz="8" w:color="auto"/>
              <w:bottom w:val="single" w:sz="8" w:color="auto"/>
            </w:tcBorders>
            <w:shd w:val="clear" w:color="auto" w:fill="D9D9D9"/>
          </w:tcPr>
          <w:p>
            <w:pPr>
              <w:spacing w:after="0"/>
              <w:rPr>
                <w:sz w:val="7"/>
                <w:szCs w:val="7"/>
                <w:color w:val="auto"/>
              </w:rPr>
            </w:pPr>
          </w:p>
        </w:tc>
        <w:tc>
          <w:tcPr>
            <w:tcW w:w="360" w:type="dxa"/>
            <w:vAlign w:val="bottom"/>
            <w:tcBorders>
              <w:top w:val="single" w:sz="8" w:color="auto"/>
              <w:bottom w:val="single" w:sz="8" w:color="auto"/>
            </w:tcBorders>
            <w:shd w:val="clear" w:color="auto" w:fill="D9D9D9"/>
          </w:tcPr>
          <w:p>
            <w:pPr>
              <w:spacing w:after="0"/>
              <w:rPr>
                <w:sz w:val="7"/>
                <w:szCs w:val="7"/>
                <w:color w:val="auto"/>
              </w:rPr>
            </w:pPr>
          </w:p>
        </w:tc>
        <w:tc>
          <w:tcPr>
            <w:tcW w:w="380" w:type="dxa"/>
            <w:vAlign w:val="bottom"/>
            <w:tcBorders>
              <w:top w:val="single" w:sz="8" w:color="D9D9D9"/>
              <w:bottom w:val="single" w:sz="8" w:color="auto"/>
            </w:tcBorders>
            <w:shd w:val="clear" w:color="auto" w:fill="D9D9D9"/>
          </w:tcPr>
          <w:p>
            <w:pPr>
              <w:spacing w:after="0"/>
              <w:rPr>
                <w:sz w:val="7"/>
                <w:szCs w:val="7"/>
                <w:color w:val="auto"/>
              </w:rPr>
            </w:pPr>
          </w:p>
        </w:tc>
        <w:tc>
          <w:tcPr>
            <w:tcW w:w="820" w:type="dxa"/>
            <w:vAlign w:val="bottom"/>
            <w:tcBorders>
              <w:top w:val="single" w:sz="8" w:color="D9D9D9"/>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tcBorders>
          </w:tcPr>
          <w:p>
            <w:pPr>
              <w:spacing w:after="0"/>
              <w:rPr>
                <w:sz w:val="19"/>
                <w:szCs w:val="19"/>
                <w:color w:val="auto"/>
              </w:rPr>
            </w:pPr>
          </w:p>
        </w:tc>
        <w:tc>
          <w:tcPr>
            <w:tcW w:w="3140" w:type="dxa"/>
            <w:vAlign w:val="bottom"/>
            <w:tcBorders>
              <w:bottom w:val="single" w:sz="8" w:color="auto"/>
              <w:right w:val="single" w:sz="8" w:color="auto"/>
            </w:tcBorders>
            <w:gridSpan w:val="2"/>
          </w:tcPr>
          <w:p>
            <w:pPr>
              <w:jc w:val="center"/>
              <w:ind w:right="1160"/>
              <w:spacing w:after="0" w:line="223" w:lineRule="exact"/>
              <w:rPr>
                <w:sz w:val="20"/>
                <w:szCs w:val="20"/>
                <w:color w:val="auto"/>
              </w:rPr>
            </w:pPr>
            <w:r>
              <w:rPr>
                <w:rFonts w:ascii="Arial" w:cs="Arial" w:eastAsia="Arial" w:hAnsi="Arial"/>
                <w:sz w:val="20"/>
                <w:szCs w:val="20"/>
                <w:color w:val="auto"/>
                <w:w w:val="86"/>
              </w:rPr>
              <w:t>June 30, 2020</w:t>
            </w:r>
          </w:p>
        </w:tc>
        <w:tc>
          <w:tcPr>
            <w:tcW w:w="2440" w:type="dxa"/>
            <w:vAlign w:val="bottom"/>
            <w:tcBorders>
              <w:bottom w:val="single" w:sz="8" w:color="auto"/>
            </w:tcBorders>
            <w:gridSpan w:val="5"/>
          </w:tcPr>
          <w:p>
            <w:pPr>
              <w:jc w:val="center"/>
              <w:ind w:left="1081"/>
              <w:spacing w:after="0" w:line="223" w:lineRule="exact"/>
              <w:rPr>
                <w:sz w:val="20"/>
                <w:szCs w:val="20"/>
                <w:color w:val="auto"/>
              </w:rPr>
            </w:pPr>
            <w:r>
              <w:rPr>
                <w:rFonts w:ascii="Arial" w:cs="Arial" w:eastAsia="Arial" w:hAnsi="Arial"/>
                <w:sz w:val="20"/>
                <w:szCs w:val="20"/>
                <w:color w:val="auto"/>
                <w:w w:val="88"/>
              </w:rPr>
              <w:t>2.75:1.00</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tcBorders>
          </w:tcPr>
          <w:p>
            <w:pPr>
              <w:spacing w:after="0"/>
              <w:rPr>
                <w:sz w:val="19"/>
                <w:szCs w:val="19"/>
                <w:color w:val="auto"/>
              </w:rPr>
            </w:pPr>
          </w:p>
        </w:tc>
        <w:tc>
          <w:tcPr>
            <w:tcW w:w="3140" w:type="dxa"/>
            <w:vAlign w:val="bottom"/>
            <w:tcBorders>
              <w:bottom w:val="single" w:sz="8" w:color="auto"/>
              <w:right w:val="single" w:sz="8" w:color="auto"/>
            </w:tcBorders>
            <w:gridSpan w:val="2"/>
          </w:tcPr>
          <w:p>
            <w:pPr>
              <w:jc w:val="center"/>
              <w:ind w:right="1160"/>
              <w:spacing w:after="0" w:line="223" w:lineRule="exact"/>
              <w:rPr>
                <w:sz w:val="20"/>
                <w:szCs w:val="20"/>
                <w:color w:val="auto"/>
              </w:rPr>
            </w:pPr>
            <w:r>
              <w:rPr>
                <w:rFonts w:ascii="Arial" w:cs="Arial" w:eastAsia="Arial" w:hAnsi="Arial"/>
                <w:sz w:val="20"/>
                <w:szCs w:val="20"/>
                <w:color w:val="auto"/>
                <w:w w:val="87"/>
              </w:rPr>
              <w:t>September 30, 2020</w:t>
            </w:r>
          </w:p>
        </w:tc>
        <w:tc>
          <w:tcPr>
            <w:tcW w:w="2440" w:type="dxa"/>
            <w:vAlign w:val="bottom"/>
            <w:tcBorders>
              <w:bottom w:val="single" w:sz="8" w:color="auto"/>
            </w:tcBorders>
            <w:gridSpan w:val="5"/>
          </w:tcPr>
          <w:p>
            <w:pPr>
              <w:jc w:val="center"/>
              <w:ind w:left="1081"/>
              <w:spacing w:after="0" w:line="223" w:lineRule="exact"/>
              <w:rPr>
                <w:sz w:val="20"/>
                <w:szCs w:val="20"/>
                <w:color w:val="auto"/>
              </w:rPr>
            </w:pPr>
            <w:r>
              <w:rPr>
                <w:rFonts w:ascii="Arial" w:cs="Arial" w:eastAsia="Arial" w:hAnsi="Arial"/>
                <w:sz w:val="20"/>
                <w:szCs w:val="20"/>
                <w:color w:val="auto"/>
                <w:w w:val="88"/>
              </w:rPr>
              <w:t>2.75:1.00</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tcBorders>
          </w:tcPr>
          <w:p>
            <w:pPr>
              <w:spacing w:after="0"/>
              <w:rPr>
                <w:sz w:val="19"/>
                <w:szCs w:val="19"/>
                <w:color w:val="auto"/>
              </w:rPr>
            </w:pPr>
          </w:p>
        </w:tc>
        <w:tc>
          <w:tcPr>
            <w:tcW w:w="3140" w:type="dxa"/>
            <w:vAlign w:val="bottom"/>
            <w:tcBorders>
              <w:bottom w:val="single" w:sz="8" w:color="auto"/>
              <w:right w:val="single" w:sz="8" w:color="auto"/>
            </w:tcBorders>
            <w:gridSpan w:val="2"/>
          </w:tcPr>
          <w:p>
            <w:pPr>
              <w:jc w:val="center"/>
              <w:ind w:right="1160"/>
              <w:spacing w:after="0" w:line="223" w:lineRule="exact"/>
              <w:rPr>
                <w:sz w:val="20"/>
                <w:szCs w:val="20"/>
                <w:color w:val="auto"/>
              </w:rPr>
            </w:pPr>
            <w:r>
              <w:rPr>
                <w:rFonts w:ascii="Arial" w:cs="Arial" w:eastAsia="Arial" w:hAnsi="Arial"/>
                <w:sz w:val="20"/>
                <w:szCs w:val="20"/>
                <w:color w:val="auto"/>
                <w:w w:val="87"/>
              </w:rPr>
              <w:t>December 31, 2020</w:t>
            </w:r>
          </w:p>
        </w:tc>
        <w:tc>
          <w:tcPr>
            <w:tcW w:w="2440" w:type="dxa"/>
            <w:vAlign w:val="bottom"/>
            <w:tcBorders>
              <w:bottom w:val="single" w:sz="8" w:color="auto"/>
            </w:tcBorders>
            <w:gridSpan w:val="5"/>
          </w:tcPr>
          <w:p>
            <w:pPr>
              <w:jc w:val="center"/>
              <w:ind w:left="1081"/>
              <w:spacing w:after="0" w:line="223" w:lineRule="exact"/>
              <w:rPr>
                <w:sz w:val="20"/>
                <w:szCs w:val="20"/>
                <w:color w:val="auto"/>
              </w:rPr>
            </w:pPr>
            <w:r>
              <w:rPr>
                <w:rFonts w:ascii="Arial" w:cs="Arial" w:eastAsia="Arial" w:hAnsi="Arial"/>
                <w:sz w:val="20"/>
                <w:szCs w:val="20"/>
                <w:color w:val="auto"/>
                <w:w w:val="88"/>
              </w:rPr>
              <w:t>2.75:1.00</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tcBorders>
          </w:tcPr>
          <w:p>
            <w:pPr>
              <w:spacing w:after="0"/>
              <w:rPr>
                <w:sz w:val="19"/>
                <w:szCs w:val="19"/>
                <w:color w:val="auto"/>
              </w:rPr>
            </w:pPr>
          </w:p>
        </w:tc>
        <w:tc>
          <w:tcPr>
            <w:tcW w:w="3140" w:type="dxa"/>
            <w:vAlign w:val="bottom"/>
            <w:tcBorders>
              <w:bottom w:val="single" w:sz="8" w:color="auto"/>
              <w:right w:val="single" w:sz="8" w:color="auto"/>
            </w:tcBorders>
            <w:gridSpan w:val="2"/>
          </w:tcPr>
          <w:p>
            <w:pPr>
              <w:jc w:val="center"/>
              <w:ind w:right="1160"/>
              <w:spacing w:after="0" w:line="223" w:lineRule="exact"/>
              <w:rPr>
                <w:sz w:val="20"/>
                <w:szCs w:val="20"/>
                <w:color w:val="auto"/>
              </w:rPr>
            </w:pPr>
            <w:r>
              <w:rPr>
                <w:rFonts w:ascii="Arial" w:cs="Arial" w:eastAsia="Arial" w:hAnsi="Arial"/>
                <w:sz w:val="20"/>
                <w:szCs w:val="20"/>
                <w:color w:val="auto"/>
                <w:w w:val="90"/>
              </w:rPr>
              <w:t>March 31, 2021</w:t>
            </w:r>
          </w:p>
        </w:tc>
        <w:tc>
          <w:tcPr>
            <w:tcW w:w="2440" w:type="dxa"/>
            <w:vAlign w:val="bottom"/>
            <w:tcBorders>
              <w:bottom w:val="single" w:sz="8" w:color="auto"/>
            </w:tcBorders>
            <w:gridSpan w:val="5"/>
          </w:tcPr>
          <w:p>
            <w:pPr>
              <w:jc w:val="center"/>
              <w:ind w:left="1081"/>
              <w:spacing w:after="0" w:line="223" w:lineRule="exact"/>
              <w:rPr>
                <w:sz w:val="20"/>
                <w:szCs w:val="20"/>
                <w:color w:val="auto"/>
              </w:rPr>
            </w:pPr>
            <w:r>
              <w:rPr>
                <w:rFonts w:ascii="Arial" w:cs="Arial" w:eastAsia="Arial" w:hAnsi="Arial"/>
                <w:sz w:val="20"/>
                <w:szCs w:val="20"/>
                <w:color w:val="auto"/>
                <w:w w:val="88"/>
              </w:rPr>
              <w:t>2.75:1.00</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left w:val="single" w:sz="8" w:color="auto"/>
              <w:bottom w:val="single" w:sz="8" w:color="auto"/>
              <w:right w:val="single" w:sz="8" w:color="auto"/>
            </w:tcBorders>
            <w:gridSpan w:val="3"/>
          </w:tcPr>
          <w:p>
            <w:pPr>
              <w:jc w:val="center"/>
              <w:spacing w:after="0" w:line="223" w:lineRule="exact"/>
              <w:rPr>
                <w:sz w:val="20"/>
                <w:szCs w:val="20"/>
                <w:color w:val="auto"/>
              </w:rPr>
            </w:pPr>
            <w:r>
              <w:rPr>
                <w:rFonts w:ascii="Arial" w:cs="Arial" w:eastAsia="Arial" w:hAnsi="Arial"/>
                <w:sz w:val="20"/>
                <w:szCs w:val="20"/>
                <w:color w:val="auto"/>
                <w:w w:val="87"/>
              </w:rPr>
              <w:t>June 30, 2021 and each fiscal quarter thereafter</w:t>
            </w:r>
          </w:p>
        </w:tc>
        <w:tc>
          <w:tcPr>
            <w:tcW w:w="2440" w:type="dxa"/>
            <w:vAlign w:val="bottom"/>
            <w:tcBorders>
              <w:bottom w:val="single" w:sz="8" w:color="auto"/>
            </w:tcBorders>
            <w:gridSpan w:val="5"/>
          </w:tcPr>
          <w:p>
            <w:pPr>
              <w:jc w:val="center"/>
              <w:ind w:left="1081"/>
              <w:spacing w:after="0" w:line="223" w:lineRule="exact"/>
              <w:rPr>
                <w:sz w:val="20"/>
                <w:szCs w:val="20"/>
                <w:color w:val="auto"/>
              </w:rPr>
            </w:pPr>
            <w:r>
              <w:rPr>
                <w:rFonts w:ascii="Arial" w:cs="Arial" w:eastAsia="Arial" w:hAnsi="Arial"/>
                <w:sz w:val="20"/>
                <w:szCs w:val="20"/>
                <w:color w:val="auto"/>
                <w:w w:val="88"/>
              </w:rPr>
              <w:t>2.50:1.00</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1304"/>
        <w:spacing w:after="0" w:line="250" w:lineRule="auto"/>
        <w:tabs>
          <w:tab w:leader="none" w:pos="1944"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Minimum Consolidated Fixed Charge Coverage Ratio</w:t>
      </w:r>
      <w:r>
        <w:rPr>
          <w:rFonts w:ascii="Arial" w:cs="Arial" w:eastAsia="Arial" w:hAnsi="Arial"/>
          <w:sz w:val="20"/>
          <w:szCs w:val="20"/>
          <w:color w:val="auto"/>
        </w:rPr>
        <w:t>. Permit the Consolidated Fixed Charge Coverage Ratio of the Group Members, as of the last day of any period of four (4) consecutive quarters of the Group Members, commencing with the fiscal quarter ending June 30, 2020, to be less than 1.25:1.00.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21" w:name="page122"/>
    <w:bookmarkEnd w:id="121"/>
    <w:p>
      <w:pPr>
        <w:ind w:left="660"/>
        <w:spacing w:after="0"/>
        <w:tabs>
          <w:tab w:leader="none" w:pos="128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6"/>
          <w:szCs w:val="16"/>
          <w:b w:val="1"/>
          <w:bCs w:val="1"/>
          <w:color w:val="auto"/>
        </w:rPr>
        <w:t>Indebtedness</w:t>
      </w:r>
      <w:r>
        <w:rPr>
          <w:rFonts w:ascii="Arial" w:cs="Arial" w:eastAsia="Arial" w:hAnsi="Arial"/>
          <w:sz w:val="16"/>
          <w:szCs w:val="16"/>
          <w:color w:val="auto"/>
        </w:rPr>
        <w:t>. Create, issue, incur, assume, become liable in respect of or suffer to exist any Indebtedness,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except:</w:t>
      </w:r>
    </w:p>
    <w:p>
      <w:pPr>
        <w:spacing w:after="0" w:line="200" w:lineRule="exact"/>
        <w:rPr>
          <w:sz w:val="20"/>
          <w:szCs w:val="20"/>
          <w:color w:val="auto"/>
        </w:rPr>
      </w:pPr>
    </w:p>
    <w:p>
      <w:pPr>
        <w:ind w:left="1960" w:hanging="656"/>
        <w:spacing w:after="0"/>
        <w:tabs>
          <w:tab w:leader="none" w:pos="1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Indebtedness of any Loan Party pursuant to any Loan Document and under any Cash Management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jc w:val="both"/>
        <w:ind w:firstLine="1304"/>
        <w:spacing w:after="0" w:line="257" w:lineRule="auto"/>
        <w:tabs>
          <w:tab w:leader="none" w:pos="1944" w:val="left"/>
        </w:tabs>
        <w:numPr>
          <w:ilvl w:val="1"/>
          <w:numId w:val="115"/>
        </w:numPr>
        <w:rPr>
          <w:rFonts w:ascii="Arial" w:cs="Arial" w:eastAsia="Arial" w:hAnsi="Arial"/>
          <w:sz w:val="19"/>
          <w:szCs w:val="19"/>
          <w:color w:val="auto"/>
        </w:rPr>
      </w:pPr>
      <w:r>
        <w:rPr>
          <w:rFonts w:ascii="Arial" w:cs="Arial" w:eastAsia="Arial" w:hAnsi="Arial"/>
          <w:sz w:val="19"/>
          <w:szCs w:val="19"/>
          <w:color w:val="auto"/>
        </w:rPr>
        <w:t xml:space="preserve">Indebtedness of (i) any Loan Party owing to any other Loan Party; (ii) any Group Member (which is not a Loan Party) owing to any other Group Member (which is not a Loan Party); (iii) any Group Member (which is not a Loan Party) owing to any Loan Party, which constitutes an Investment permitted by </w:t>
      </w:r>
      <w:r>
        <w:rPr>
          <w:rFonts w:ascii="Arial" w:cs="Arial" w:eastAsia="Arial" w:hAnsi="Arial"/>
          <w:sz w:val="19"/>
          <w:szCs w:val="19"/>
          <w:u w:val="single" w:color="auto"/>
          <w:color w:val="auto"/>
        </w:rPr>
        <w:t>Section 7.8(f)(iii)</w:t>
      </w:r>
      <w:r>
        <w:rPr>
          <w:rFonts w:ascii="Arial" w:cs="Arial" w:eastAsia="Arial" w:hAnsi="Arial"/>
          <w:sz w:val="19"/>
          <w:szCs w:val="19"/>
          <w:color w:val="auto"/>
        </w:rPr>
        <w:t>; provided, that, such Indebtedness owing from any Group Member (which is not a Loan Party) to a Loan Party shall be evidenced by a promissory note and such promissory note shall be pledged as Collateral; and (iv) any Loan Party owing to any Group Member (which is not a Loan Party); provided that such Indebtedness is subordinated to the Obligations on terms and conditions reasonably acceptable to the Administrative Agent;</w:t>
      </w:r>
    </w:p>
    <w:p>
      <w:pPr>
        <w:spacing w:after="0" w:line="184" w:lineRule="exact"/>
        <w:rPr>
          <w:rFonts w:ascii="Arial" w:cs="Arial" w:eastAsia="Arial" w:hAnsi="Arial"/>
          <w:sz w:val="19"/>
          <w:szCs w:val="19"/>
          <w:color w:val="auto"/>
        </w:rPr>
      </w:pPr>
    </w:p>
    <w:p>
      <w:pPr>
        <w:jc w:val="both"/>
        <w:ind w:firstLine="1304"/>
        <w:spacing w:after="0" w:line="259" w:lineRule="auto"/>
        <w:tabs>
          <w:tab w:leader="none" w:pos="1944" w:val="left"/>
        </w:tabs>
        <w:numPr>
          <w:ilvl w:val="1"/>
          <w:numId w:val="115"/>
        </w:numPr>
        <w:rPr>
          <w:rFonts w:ascii="Arial" w:cs="Arial" w:eastAsia="Arial" w:hAnsi="Arial"/>
          <w:sz w:val="19"/>
          <w:szCs w:val="19"/>
          <w:color w:val="auto"/>
        </w:rPr>
      </w:pPr>
      <w:r>
        <w:rPr>
          <w:rFonts w:ascii="Arial" w:cs="Arial" w:eastAsia="Arial" w:hAnsi="Arial"/>
          <w:sz w:val="19"/>
          <w:szCs w:val="19"/>
          <w:color w:val="auto"/>
        </w:rPr>
        <w:t xml:space="preserve">Guarantee Obligations (i) of any Loan Party of the Indebtedness of any other Loan Party; (ii) of any Group Member (which is not a Loan Party) of the Indebtedness of any Loan Party; (iii) by any Group Member (which is not a Loan Party) of the Indebtedness of any other Group Member (which is not a Loan Party) or (iv) of any Loan Party of the Indebtedness of any Group Member that is not a Loan Party, so long as the aggregate amount of such Guarantee Obligations is an Investment permitted by </w:t>
      </w:r>
      <w:r>
        <w:rPr>
          <w:rFonts w:ascii="Arial" w:cs="Arial" w:eastAsia="Arial" w:hAnsi="Arial"/>
          <w:sz w:val="19"/>
          <w:szCs w:val="19"/>
          <w:u w:val="single" w:color="auto"/>
          <w:color w:val="auto"/>
        </w:rPr>
        <w:t>Section 7.8(f)(iii)</w:t>
      </w:r>
      <w:r>
        <w:rPr>
          <w:rFonts w:ascii="Arial" w:cs="Arial" w:eastAsia="Arial" w:hAnsi="Arial"/>
          <w:sz w:val="19"/>
          <w:szCs w:val="19"/>
          <w:color w:val="auto"/>
        </w:rPr>
        <w:t>; provided that, in any case of clauses (i), (ii), (iii) or (iv), the underlying Indebtedness so guaranteed is otherwise permitted by the terms hereof;</w:t>
      </w:r>
    </w:p>
    <w:p>
      <w:pPr>
        <w:spacing w:after="0" w:line="178" w:lineRule="exact"/>
        <w:rPr>
          <w:rFonts w:ascii="Arial" w:cs="Arial" w:eastAsia="Arial" w:hAnsi="Arial"/>
          <w:sz w:val="19"/>
          <w:szCs w:val="19"/>
          <w:color w:val="auto"/>
        </w:rPr>
      </w:pPr>
    </w:p>
    <w:p>
      <w:pPr>
        <w:jc w:val="both"/>
        <w:ind w:firstLine="1304"/>
        <w:spacing w:after="0" w:line="250" w:lineRule="auto"/>
        <w:tabs>
          <w:tab w:leader="none" w:pos="1944" w:val="left"/>
        </w:tabs>
        <w:numPr>
          <w:ilvl w:val="1"/>
          <w:numId w:val="115"/>
        </w:numPr>
        <w:rPr>
          <w:rFonts w:ascii="Arial" w:cs="Arial" w:eastAsia="Arial" w:hAnsi="Arial"/>
          <w:sz w:val="20"/>
          <w:szCs w:val="20"/>
          <w:color w:val="auto"/>
        </w:rPr>
      </w:pPr>
      <w:r>
        <w:rPr>
          <w:rFonts w:ascii="Arial" w:cs="Arial" w:eastAsia="Arial" w:hAnsi="Arial"/>
          <w:sz w:val="20"/>
          <w:szCs w:val="20"/>
          <w:color w:val="auto"/>
        </w:rPr>
        <w:t xml:space="preserve">Indebtedness outstanding on the date hereof and listed on </w:t>
      </w:r>
      <w:r>
        <w:rPr>
          <w:rFonts w:ascii="Arial" w:cs="Arial" w:eastAsia="Arial" w:hAnsi="Arial"/>
          <w:sz w:val="20"/>
          <w:szCs w:val="20"/>
          <w:u w:val="single" w:color="auto"/>
          <w:color w:val="auto"/>
        </w:rPr>
        <w:t>Schedule 7.2(d)</w:t>
      </w:r>
      <w:r>
        <w:rPr>
          <w:rFonts w:ascii="Arial" w:cs="Arial" w:eastAsia="Arial" w:hAnsi="Arial"/>
          <w:sz w:val="20"/>
          <w:szCs w:val="20"/>
          <w:color w:val="auto"/>
        </w:rPr>
        <w:t xml:space="preserve"> to the Disclosure Letter and any refinancings, refundings, renewals or extensions thereof (which do not shorten the maturity thereof or increase the principal amount thereof);</w:t>
      </w:r>
    </w:p>
    <w:p>
      <w:pPr>
        <w:spacing w:after="0" w:line="185" w:lineRule="exact"/>
        <w:rPr>
          <w:rFonts w:ascii="Arial" w:cs="Arial" w:eastAsia="Arial" w:hAnsi="Arial"/>
          <w:sz w:val="20"/>
          <w:szCs w:val="20"/>
          <w:color w:val="auto"/>
        </w:rPr>
      </w:pPr>
    </w:p>
    <w:p>
      <w:pPr>
        <w:jc w:val="both"/>
        <w:ind w:firstLine="1304"/>
        <w:spacing w:after="0" w:line="246" w:lineRule="auto"/>
        <w:tabs>
          <w:tab w:leader="none" w:pos="1944" w:val="left"/>
        </w:tabs>
        <w:numPr>
          <w:ilvl w:val="1"/>
          <w:numId w:val="115"/>
        </w:numPr>
        <w:rPr>
          <w:rFonts w:ascii="Arial" w:cs="Arial" w:eastAsia="Arial" w:hAnsi="Arial"/>
          <w:sz w:val="20"/>
          <w:szCs w:val="20"/>
          <w:color w:val="auto"/>
        </w:rPr>
      </w:pPr>
      <w:r>
        <w:rPr>
          <w:rFonts w:ascii="Arial" w:cs="Arial" w:eastAsia="Arial" w:hAnsi="Arial"/>
          <w:sz w:val="20"/>
          <w:szCs w:val="20"/>
          <w:color w:val="auto"/>
        </w:rPr>
        <w:t xml:space="preserve">Indebtedness (including, without limitation, Capital Lease Obligations and purchase money financing) secured by Liens permitted by </w:t>
      </w:r>
      <w:r>
        <w:rPr>
          <w:rFonts w:ascii="Arial" w:cs="Arial" w:eastAsia="Arial" w:hAnsi="Arial"/>
          <w:sz w:val="20"/>
          <w:szCs w:val="20"/>
          <w:u w:val="single" w:color="auto"/>
          <w:color w:val="auto"/>
        </w:rPr>
        <w:t>Section 7.3(g)</w:t>
      </w:r>
      <w:r>
        <w:rPr>
          <w:rFonts w:ascii="Arial" w:cs="Arial" w:eastAsia="Arial" w:hAnsi="Arial"/>
          <w:sz w:val="20"/>
          <w:szCs w:val="20"/>
          <w:color w:val="auto"/>
        </w:rPr>
        <w:t xml:space="preserve"> in an aggregate principal amount not to exceed $5,000,000 at any one time outstanding and any refinancings, refundings, renewals or extensions thereof (which do not shorten the maturity thereof or increase the principal amount thereof);</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Indebtedness consisting of the financing of insurance premiums;</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944" w:val="left"/>
        </w:tabs>
        <w:numPr>
          <w:ilvl w:val="1"/>
          <w:numId w:val="115"/>
        </w:numPr>
        <w:rPr>
          <w:rFonts w:ascii="Arial" w:cs="Arial" w:eastAsia="Arial" w:hAnsi="Arial"/>
          <w:sz w:val="20"/>
          <w:szCs w:val="20"/>
          <w:color w:val="auto"/>
        </w:rPr>
      </w:pPr>
      <w:r>
        <w:rPr>
          <w:rFonts w:ascii="Arial" w:cs="Arial" w:eastAsia="Arial" w:hAnsi="Arial"/>
          <w:sz w:val="20"/>
          <w:szCs w:val="20"/>
          <w:color w:val="auto"/>
        </w:rPr>
        <w:t>Surety Indebtedness and any other Indebtedness in respect of letters of credit, banker’s acceptances, bank guarantees or similar arrangements, provided that the aggregate amount of any such Indebtedness outstanding at any time shall not exceed $2,500,000;</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1"/>
          <w:numId w:val="115"/>
        </w:numPr>
        <w:rPr>
          <w:rFonts w:ascii="Arial" w:cs="Arial" w:eastAsia="Arial" w:hAnsi="Arial"/>
          <w:sz w:val="20"/>
          <w:szCs w:val="20"/>
          <w:color w:val="auto"/>
        </w:rPr>
      </w:pPr>
      <w:r>
        <w:rPr>
          <w:rFonts w:ascii="Arial" w:cs="Arial" w:eastAsia="Arial" w:hAnsi="Arial"/>
          <w:sz w:val="20"/>
          <w:szCs w:val="20"/>
          <w:color w:val="auto"/>
        </w:rPr>
        <w:t>unsecured Indebtedness of the Group Members in an aggregate principal amount, for all such Indebtedness taken together, not to exceed $2,500,000 at any one time outstanding;</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44" w:val="left"/>
        </w:tabs>
        <w:numPr>
          <w:ilvl w:val="1"/>
          <w:numId w:val="115"/>
        </w:numPr>
        <w:rPr>
          <w:rFonts w:ascii="Arial" w:cs="Arial" w:eastAsia="Arial" w:hAnsi="Arial"/>
          <w:sz w:val="20"/>
          <w:szCs w:val="20"/>
          <w:color w:val="auto"/>
        </w:rPr>
      </w:pPr>
      <w:r>
        <w:rPr>
          <w:rFonts w:ascii="Arial" w:cs="Arial" w:eastAsia="Arial" w:hAnsi="Arial"/>
          <w:sz w:val="20"/>
          <w:szCs w:val="20"/>
          <w:color w:val="auto"/>
        </w:rPr>
        <w:t xml:space="preserve">obligations (contingent or otherwise) of the Group Members existing or arising under any Specified Swap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obligations are (or were) entered into by such Person in accordance with </w:t>
      </w:r>
      <w:r>
        <w:rPr>
          <w:rFonts w:ascii="Arial" w:cs="Arial" w:eastAsia="Arial" w:hAnsi="Arial"/>
          <w:sz w:val="20"/>
          <w:szCs w:val="20"/>
          <w:u w:val="single" w:color="auto"/>
          <w:color w:val="auto"/>
        </w:rPr>
        <w:t>Section 7.13</w:t>
      </w:r>
      <w:r>
        <w:rPr>
          <w:rFonts w:ascii="Arial" w:cs="Arial" w:eastAsia="Arial" w:hAnsi="Arial"/>
          <w:sz w:val="20"/>
          <w:szCs w:val="20"/>
          <w:color w:val="auto"/>
        </w:rPr>
        <w:t xml:space="preserve"> and not for purposes of speculation;</w:t>
      </w:r>
    </w:p>
    <w:p>
      <w:pPr>
        <w:spacing w:after="0" w:line="185" w:lineRule="exact"/>
        <w:rPr>
          <w:rFonts w:ascii="Arial" w:cs="Arial" w:eastAsia="Arial" w:hAnsi="Arial"/>
          <w:sz w:val="20"/>
          <w:szCs w:val="20"/>
          <w:color w:val="auto"/>
        </w:rPr>
      </w:pPr>
    </w:p>
    <w:p>
      <w:pPr>
        <w:jc w:val="both"/>
        <w:ind w:firstLine="1304"/>
        <w:spacing w:after="0" w:line="306" w:lineRule="auto"/>
        <w:tabs>
          <w:tab w:leader="none" w:pos="1944" w:val="left"/>
        </w:tabs>
        <w:numPr>
          <w:ilvl w:val="1"/>
          <w:numId w:val="115"/>
        </w:numPr>
        <w:rPr>
          <w:rFonts w:ascii="Arial" w:cs="Arial" w:eastAsia="Arial" w:hAnsi="Arial"/>
          <w:sz w:val="16"/>
          <w:szCs w:val="16"/>
          <w:color w:val="auto"/>
        </w:rPr>
      </w:pPr>
      <w:r>
        <w:rPr>
          <w:rFonts w:ascii="Arial" w:cs="Arial" w:eastAsia="Arial" w:hAnsi="Arial"/>
          <w:sz w:val="16"/>
          <w:szCs w:val="16"/>
          <w:color w:val="auto"/>
        </w:rPr>
        <w:t xml:space="preserve">Indebtedness of a Person (other than a Loan Party or an existing Subsidiary) existing at the time such Person is merged with or into a Loan Party or a Subsidiary or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was not, in any case, incurred by such other Person in connection with, or in contemplation of, such merger or acquisition,</w:t>
      </w:r>
    </w:p>
    <w:p>
      <w:pPr>
        <w:jc w:val="both"/>
        <w:ind w:firstLine="8"/>
        <w:spacing w:after="0" w:line="241" w:lineRule="auto"/>
        <w:tabs>
          <w:tab w:leader="none" w:pos="317" w:val="left"/>
        </w:tabs>
        <w:numPr>
          <w:ilvl w:val="0"/>
          <w:numId w:val="116"/>
        </w:numPr>
        <w:rPr>
          <w:rFonts w:ascii="Arial" w:cs="Arial" w:eastAsia="Arial" w:hAnsi="Arial"/>
          <w:sz w:val="20"/>
          <w:szCs w:val="20"/>
          <w:color w:val="auto"/>
        </w:rPr>
      </w:pPr>
      <w:r>
        <w:rPr>
          <w:rFonts w:ascii="Arial" w:cs="Arial" w:eastAsia="Arial" w:hAnsi="Arial"/>
          <w:sz w:val="20"/>
          <w:szCs w:val="20"/>
          <w:color w:val="auto"/>
        </w:rPr>
        <w:t>such merger or acquisition constitutes a Permitted Acquisition, (iii) with respect to any such Person who becomes a Subsidiary, (A) such Subsidiary is the only obligor in respect of such Indebtedness, and (B) to the extent such Indebtedness is permitted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0" w:right="999" w:bottom="1440" w:gutter="0" w:footer="0" w:header="0"/>
        </w:sectPr>
      </w:pPr>
    </w:p>
    <w:bookmarkStart w:id="122" w:name="page123"/>
    <w:bookmarkEnd w:id="122"/>
    <w:p>
      <w:pPr>
        <w:ind w:right="20"/>
        <w:spacing w:after="0" w:line="260" w:lineRule="auto"/>
        <w:rPr>
          <w:sz w:val="20"/>
          <w:szCs w:val="20"/>
          <w:color w:val="auto"/>
        </w:rPr>
      </w:pPr>
      <w:r>
        <w:rPr>
          <w:rFonts w:ascii="Arial" w:cs="Arial" w:eastAsia="Arial" w:hAnsi="Arial"/>
          <w:sz w:val="20"/>
          <w:szCs w:val="20"/>
          <w:color w:val="auto"/>
        </w:rPr>
        <w:t>secured hereunder, only the assets of such Subsidiary secure such Indebtedness, and (iv) the aggregate amount of such Indebtedness does not exceed $2,500,000 in the aggregate;</w:t>
      </w:r>
    </w:p>
    <w:p>
      <w:pPr>
        <w:spacing w:after="0" w:line="177" w:lineRule="exact"/>
        <w:rPr>
          <w:sz w:val="20"/>
          <w:szCs w:val="20"/>
          <w:color w:val="auto"/>
        </w:rPr>
      </w:pPr>
    </w:p>
    <w:p>
      <w:pPr>
        <w:ind w:left="1960" w:hanging="656"/>
        <w:spacing w:after="0"/>
        <w:tabs>
          <w:tab w:leader="none" w:pos="196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Indebtedness incurred as a result of endorsing negotiable instruments received in the ordinary</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course of business;</w:t>
      </w:r>
    </w:p>
    <w:p>
      <w:pPr>
        <w:spacing w:after="0" w:line="199" w:lineRule="exact"/>
        <w:rPr>
          <w:rFonts w:ascii="Arial" w:cs="Arial" w:eastAsia="Arial" w:hAnsi="Arial"/>
          <w:sz w:val="19"/>
          <w:szCs w:val="19"/>
          <w:color w:val="auto"/>
        </w:rPr>
      </w:pPr>
    </w:p>
    <w:p>
      <w:pPr>
        <w:jc w:val="both"/>
        <w:ind w:firstLine="1304"/>
        <w:spacing w:after="0" w:line="244" w:lineRule="auto"/>
        <w:tabs>
          <w:tab w:leader="none" w:pos="194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solely to the extent constituting Indebtedness, any purchase price adjustments, earn outs, deferred compensation, or other arrangements representing acquisition consideration or deferred payments of a similar nature incurred in connection with Investments permitted by </w:t>
      </w:r>
      <w:r>
        <w:rPr>
          <w:rFonts w:ascii="Arial" w:cs="Arial" w:eastAsia="Arial" w:hAnsi="Arial"/>
          <w:sz w:val="20"/>
          <w:szCs w:val="20"/>
          <w:u w:val="single" w:color="auto"/>
          <w:color w:val="auto"/>
        </w:rPr>
        <w:t>Section 7.8</w:t>
      </w:r>
      <w:r>
        <w:rPr>
          <w:rFonts w:ascii="Arial" w:cs="Arial" w:eastAsia="Arial" w:hAnsi="Arial"/>
          <w:sz w:val="20"/>
          <w:szCs w:val="20"/>
          <w:color w:val="auto"/>
        </w:rPr>
        <w:t>; provided that the amount of such obligation shall be deemed part of the cost of such Investment (the amount of which shall be deemed to be the amount required to be accrued as a liability in accordance with GAAP or the amount actually paid);</w:t>
      </w:r>
    </w:p>
    <w:p>
      <w:pPr>
        <w:spacing w:after="0" w:line="194" w:lineRule="exact"/>
        <w:rPr>
          <w:rFonts w:ascii="Arial" w:cs="Arial" w:eastAsia="Arial" w:hAnsi="Arial"/>
          <w:sz w:val="20"/>
          <w:szCs w:val="20"/>
          <w:color w:val="auto"/>
        </w:rPr>
      </w:pPr>
    </w:p>
    <w:p>
      <w:pPr>
        <w:ind w:firstLine="1304"/>
        <w:spacing w:after="0" w:line="260" w:lineRule="auto"/>
        <w:tabs>
          <w:tab w:leader="none" w:pos="194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Indebtedness in respect of netting services, overdraft protections and otherwise in connection with deposit, securities, and commodities accounts arising in the ordinary course of business;</w:t>
      </w:r>
    </w:p>
    <w:p>
      <w:pPr>
        <w:spacing w:after="0" w:line="176" w:lineRule="exact"/>
        <w:rPr>
          <w:rFonts w:ascii="Arial" w:cs="Arial" w:eastAsia="Arial" w:hAnsi="Arial"/>
          <w:sz w:val="20"/>
          <w:szCs w:val="20"/>
          <w:color w:val="auto"/>
        </w:rPr>
      </w:pPr>
    </w:p>
    <w:p>
      <w:pPr>
        <w:ind w:right="20" w:firstLine="1304"/>
        <w:spacing w:after="0" w:line="260" w:lineRule="auto"/>
        <w:tabs>
          <w:tab w:leader="none" w:pos="194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Indebtedness arising from the honoring by a bank or other financial institution of a check, draft</w:t>
      </w:r>
      <w:r>
        <w:rPr>
          <w:rFonts w:ascii="Arial" w:cs="Arial" w:eastAsia="Arial" w:hAnsi="Arial"/>
          <w:sz w:val="20"/>
          <w:szCs w:val="20"/>
          <w:u w:val="single" w:color="auto"/>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returned item,</w:t>
      </w:r>
      <w:r>
        <w:rPr>
          <w:rFonts w:ascii="Arial" w:cs="Arial" w:eastAsia="Arial" w:hAnsi="Arial"/>
          <w:sz w:val="20"/>
          <w:szCs w:val="20"/>
          <w:color w:val="auto"/>
        </w:rPr>
        <w:t xml:space="preserve"> or similar instrument drawn against insufficient funds in the ordinary course of business;</w:t>
      </w:r>
    </w:p>
    <w:p>
      <w:pPr>
        <w:spacing w:after="0" w:line="176" w:lineRule="exact"/>
        <w:rPr>
          <w:rFonts w:ascii="Arial" w:cs="Arial" w:eastAsia="Arial" w:hAnsi="Arial"/>
          <w:sz w:val="20"/>
          <w:szCs w:val="20"/>
          <w:color w:val="auto"/>
        </w:rPr>
      </w:pPr>
    </w:p>
    <w:p>
      <w:pPr>
        <w:ind w:right="20" w:firstLine="1304"/>
        <w:spacing w:after="0" w:line="260" w:lineRule="auto"/>
        <w:tabs>
          <w:tab w:leader="none" w:pos="194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Indebtedness arising as a direct result of judgments, orders, awards or decrees against any Group Member, in each case not constituting an Event of Default;</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unsecured Indebtedness representing any Taxes to the extent such Taxes are being contested by any Group Member in good faith by appropriate proceedings and adequate reserves are being maintained by the applicable Person in accordance with GAAP;</w:t>
      </w:r>
    </w:p>
    <w:p>
      <w:pPr>
        <w:spacing w:after="0" w:line="185" w:lineRule="exact"/>
        <w:rPr>
          <w:rFonts w:ascii="Arial" w:cs="Arial" w:eastAsia="Arial" w:hAnsi="Arial"/>
          <w:sz w:val="20"/>
          <w:szCs w:val="20"/>
          <w:color w:val="auto"/>
        </w:rPr>
      </w:pPr>
    </w:p>
    <w:p>
      <w:pPr>
        <w:ind w:firstLine="1304"/>
        <w:spacing w:after="0" w:line="316" w:lineRule="auto"/>
        <w:tabs>
          <w:tab w:leader="none" w:pos="194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unsecured Indebtedness with respect to surety bonds and/or similar instruments in connection with value added tax recovery initiatives of Axcelis Technologies GmbH incurred in the ordinary course of business; and</w:t>
      </w:r>
    </w:p>
    <w:p>
      <w:pPr>
        <w:spacing w:after="0" w:line="129" w:lineRule="exact"/>
        <w:rPr>
          <w:rFonts w:ascii="Arial" w:cs="Arial" w:eastAsia="Arial" w:hAnsi="Arial"/>
          <w:sz w:val="18"/>
          <w:szCs w:val="18"/>
          <w:color w:val="auto"/>
        </w:rPr>
      </w:pPr>
    </w:p>
    <w:p>
      <w:pPr>
        <w:ind w:firstLine="1304"/>
        <w:spacing w:after="0" w:line="260" w:lineRule="auto"/>
        <w:tabs>
          <w:tab w:leader="none" w:pos="194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Indebtedness not otherwise permitted by this Section in an aggregate amount not to exceed $1,000,000 at any time outstanding.</w:t>
      </w:r>
    </w:p>
    <w:p>
      <w:pPr>
        <w:spacing w:after="0" w:line="171"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7.3 Liens</w:t>
      </w:r>
      <w:r>
        <w:rPr>
          <w:rFonts w:ascii="Arial" w:cs="Arial" w:eastAsia="Arial" w:hAnsi="Arial"/>
          <w:sz w:val="20"/>
          <w:szCs w:val="20"/>
          <w:color w:val="auto"/>
        </w:rPr>
        <w:t>. Create, incur, assume or suffer to exist any Lien upon any of its property, whether now owned or</w:t>
      </w:r>
      <w:r>
        <w:rPr>
          <w:rFonts w:ascii="Arial" w:cs="Arial" w:eastAsia="Arial" w:hAnsi="Arial"/>
          <w:sz w:val="20"/>
          <w:szCs w:val="20"/>
          <w:b w:val="1"/>
          <w:bCs w:val="1"/>
          <w:color w:val="auto"/>
        </w:rPr>
        <w:t xml:space="preserve"> </w:t>
      </w:r>
      <w:r>
        <w:rPr>
          <w:rFonts w:ascii="Arial" w:cs="Arial" w:eastAsia="Arial" w:hAnsi="Arial"/>
          <w:sz w:val="20"/>
          <w:szCs w:val="20"/>
          <w:color w:val="auto"/>
        </w:rPr>
        <w:t>hereafter acquired, except:</w:t>
      </w:r>
    </w:p>
    <w:p>
      <w:pPr>
        <w:spacing w:after="0" w:line="169" w:lineRule="exact"/>
        <w:rPr>
          <w:sz w:val="20"/>
          <w:szCs w:val="20"/>
          <w:color w:val="auto"/>
        </w:rPr>
      </w:pPr>
    </w:p>
    <w:p>
      <w:pPr>
        <w:jc w:val="both"/>
        <w:ind w:firstLine="1304"/>
        <w:spacing w:after="0" w:line="250" w:lineRule="auto"/>
        <w:tabs>
          <w:tab w:leader="none" w:pos="194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Liens for taxes, assessments, government charges or levies not yet due or that are being contested in good faith by appropriate proceedings;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adequate reserves with respect thereto are maintained on the books of the applicable Group Member in conformity with GAAP;</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carriers’, warehousemen’s, landlord’s, mechanics’, materialmen’s, repairmen’s or other like Liens arising in the ordinary course of business that are not overdue for a period of more than 60 days or that are being contested in good faith by appropriate proceedings;</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pledges or deposits in connection with workers’ compensation, unemployment insurance and other social security legislation and deposits made to secure liability to insurance carriers;</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deposits to secure the performance of bids, trade contracts (other than for borrowed money), leases, statutory obligations, surety and appeal bonds, performance bonds and other obligations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a like nature incurred in the ordinary course of business (other than for indebtedness or any Liens arising under ERISA);</w:t>
      </w:r>
    </w:p>
    <w:p>
      <w:pPr>
        <w:spacing w:after="0" w:line="239" w:lineRule="exact"/>
        <w:rPr>
          <w:sz w:val="20"/>
          <w:szCs w:val="20"/>
          <w:color w:val="auto"/>
        </w:rPr>
      </w:pPr>
    </w:p>
    <w:p>
      <w:pPr>
        <w:jc w:val="both"/>
        <w:ind w:firstLine="1304"/>
        <w:spacing w:after="0" w:line="246" w:lineRule="auto"/>
        <w:tabs>
          <w:tab w:leader="none" w:pos="1944" w:val="left"/>
        </w:tabs>
        <w:numPr>
          <w:ilvl w:val="1"/>
          <w:numId w:val="119"/>
        </w:numPr>
        <w:rPr>
          <w:rFonts w:ascii="Arial" w:cs="Arial" w:eastAsia="Arial" w:hAnsi="Arial"/>
          <w:sz w:val="20"/>
          <w:szCs w:val="20"/>
          <w:color w:val="auto"/>
        </w:rPr>
      </w:pPr>
      <w:r>
        <w:rPr>
          <w:rFonts w:ascii="Arial" w:cs="Arial" w:eastAsia="Arial" w:hAnsi="Arial"/>
          <w:sz w:val="20"/>
          <w:szCs w:val="20"/>
          <w:color w:val="auto"/>
        </w:rPr>
        <w:t>easements, rights-of-way,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applicable Group Member;</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Liens in existence on the date hereof listed on </w:t>
      </w:r>
      <w:r>
        <w:rPr>
          <w:rFonts w:ascii="Arial" w:cs="Arial" w:eastAsia="Arial" w:hAnsi="Arial"/>
          <w:sz w:val="16"/>
          <w:szCs w:val="16"/>
          <w:u w:val="single" w:color="auto"/>
          <w:color w:val="auto"/>
        </w:rPr>
        <w:t>Schedule 7.3(f)</w:t>
      </w:r>
      <w:r>
        <w:rPr>
          <w:rFonts w:ascii="Arial" w:cs="Arial" w:eastAsia="Arial" w:hAnsi="Arial"/>
          <w:sz w:val="16"/>
          <w:szCs w:val="16"/>
          <w:color w:val="auto"/>
        </w:rPr>
        <w:t xml:space="preserve"> to the Disclosure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61" w:lineRule="exact"/>
        <w:rPr>
          <w:rFonts w:ascii="Arial" w:cs="Arial" w:eastAsia="Arial" w:hAnsi="Arial"/>
          <w:sz w:val="16"/>
          <w:szCs w:val="16"/>
          <w:color w:val="auto"/>
        </w:rPr>
      </w:pPr>
    </w:p>
    <w:p>
      <w:pPr>
        <w:jc w:val="both"/>
        <w:ind w:right="20" w:firstLine="8"/>
        <w:spacing w:after="0" w:line="260" w:lineRule="auto"/>
        <w:tabs>
          <w:tab w:leader="none" w:pos="273"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no such Lien is spread to cover any additional property after the Closing Date, (ii) the amount of Indebtedness or obligations secured or benefitted thereby is not increased, (iii) the direct or any contingent obligor with respect thereto is not changed, and (iv) any renewal or extension of the obligations secured thereby is permitted by </w:t>
      </w:r>
      <w:r>
        <w:rPr>
          <w:rFonts w:ascii="Arial" w:cs="Arial" w:eastAsia="Arial" w:hAnsi="Arial"/>
          <w:sz w:val="19"/>
          <w:szCs w:val="19"/>
          <w:u w:val="single" w:color="auto"/>
          <w:color w:val="auto"/>
        </w:rPr>
        <w:t>Section 7.2(d)</w:t>
      </w:r>
      <w:r>
        <w:rPr>
          <w:rFonts w:ascii="Arial" w:cs="Arial" w:eastAsia="Arial" w:hAnsi="Arial"/>
          <w:sz w:val="19"/>
          <w:szCs w:val="19"/>
          <w:color w:val="auto"/>
        </w:rPr>
        <w:t>;</w:t>
      </w:r>
    </w:p>
    <w:p>
      <w:pPr>
        <w:spacing w:after="0" w:line="178" w:lineRule="exact"/>
        <w:rPr>
          <w:rFonts w:ascii="Arial" w:cs="Arial" w:eastAsia="Arial" w:hAnsi="Arial"/>
          <w:sz w:val="19"/>
          <w:szCs w:val="19"/>
          <w:color w:val="auto"/>
        </w:rPr>
      </w:pPr>
    </w:p>
    <w:p>
      <w:pPr>
        <w:jc w:val="both"/>
        <w:ind w:firstLine="1304"/>
        <w:spacing w:after="0" w:line="244" w:lineRule="auto"/>
        <w:tabs>
          <w:tab w:leader="none" w:pos="1944" w:val="left"/>
        </w:tabs>
        <w:numPr>
          <w:ilvl w:val="1"/>
          <w:numId w:val="120"/>
        </w:numPr>
        <w:rPr>
          <w:rFonts w:ascii="Arial" w:cs="Arial" w:eastAsia="Arial" w:hAnsi="Arial"/>
          <w:sz w:val="20"/>
          <w:szCs w:val="20"/>
          <w:color w:val="auto"/>
        </w:rPr>
      </w:pPr>
      <w:r>
        <w:rPr>
          <w:rFonts w:ascii="Arial" w:cs="Arial" w:eastAsia="Arial" w:hAnsi="Arial"/>
          <w:sz w:val="20"/>
          <w:szCs w:val="20"/>
          <w:color w:val="auto"/>
        </w:rPr>
        <w:t xml:space="preserve">Liens securing Indebtedness incurred pursuant to </w:t>
      </w:r>
      <w:r>
        <w:rPr>
          <w:rFonts w:ascii="Arial" w:cs="Arial" w:eastAsia="Arial" w:hAnsi="Arial"/>
          <w:sz w:val="20"/>
          <w:szCs w:val="20"/>
          <w:u w:val="single" w:color="auto"/>
          <w:color w:val="auto"/>
        </w:rPr>
        <w:t>Section 7.2(e)</w:t>
      </w:r>
      <w:r>
        <w:rPr>
          <w:rFonts w:ascii="Arial" w:cs="Arial" w:eastAsia="Arial" w:hAnsi="Arial"/>
          <w:sz w:val="20"/>
          <w:szCs w:val="20"/>
          <w:color w:val="auto"/>
        </w:rPr>
        <w:t xml:space="preserve"> to finance the acquisition of fixed or capital assets; provided that (i) such Liens shall be created substantially simultaneously with, or within ninety (90) days after, the acquisition of such fixed or capital assets, (ii) such Liens do not at any time encumber any property other than the property financed by such Indebtedness, and (iii) the amount of Indebtedness secured thereby is not increased, except by an amount permitted by </w:t>
      </w:r>
      <w:r>
        <w:rPr>
          <w:rFonts w:ascii="Arial" w:cs="Arial" w:eastAsia="Arial" w:hAnsi="Arial"/>
          <w:sz w:val="20"/>
          <w:szCs w:val="20"/>
          <w:u w:val="single" w:color="auto"/>
          <w:color w:val="auto"/>
        </w:rPr>
        <w:t>Section 7.2(e)</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ind w:left="1960" w:hanging="656"/>
        <w:spacing w:after="0"/>
        <w:tabs>
          <w:tab w:leader="none" w:pos="196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Liens created pursuant to the Security Documents;</w:t>
      </w:r>
    </w:p>
    <w:p>
      <w:pPr>
        <w:spacing w:after="0" w:line="215" w:lineRule="exact"/>
        <w:rPr>
          <w:rFonts w:ascii="Arial" w:cs="Arial" w:eastAsia="Arial" w:hAnsi="Arial"/>
          <w:sz w:val="20"/>
          <w:szCs w:val="20"/>
          <w:color w:val="auto"/>
        </w:rPr>
      </w:pPr>
    </w:p>
    <w:p>
      <w:pPr>
        <w:ind w:firstLine="1304"/>
        <w:spacing w:after="0" w:line="260" w:lineRule="auto"/>
        <w:tabs>
          <w:tab w:leader="none" w:pos="1944" w:val="left"/>
        </w:tabs>
        <w:numPr>
          <w:ilvl w:val="1"/>
          <w:numId w:val="120"/>
        </w:numPr>
        <w:rPr>
          <w:rFonts w:ascii="Arial" w:cs="Arial" w:eastAsia="Arial" w:hAnsi="Arial"/>
          <w:sz w:val="20"/>
          <w:szCs w:val="20"/>
          <w:color w:val="auto"/>
        </w:rPr>
      </w:pPr>
      <w:r>
        <w:rPr>
          <w:rFonts w:ascii="Arial" w:cs="Arial" w:eastAsia="Arial" w:hAnsi="Arial"/>
          <w:sz w:val="20"/>
          <w:szCs w:val="20"/>
          <w:color w:val="auto"/>
        </w:rPr>
        <w:t>any interest or title of a lessor or licensor under any lease or license entered into by a Group Member in the ordinary course of its business and covering only the assets so leased or licensed;</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judgment Liens that do not constitute a Default or an Event of Default under </w:t>
      </w:r>
      <w:r>
        <w:rPr>
          <w:rFonts w:ascii="Arial" w:cs="Arial" w:eastAsia="Arial" w:hAnsi="Arial"/>
          <w:sz w:val="18"/>
          <w:szCs w:val="18"/>
          <w:u w:val="single" w:color="auto"/>
          <w:color w:val="auto"/>
        </w:rPr>
        <w:t>Section 8.1(h)</w:t>
      </w:r>
      <w:r>
        <w:rPr>
          <w:rFonts w:ascii="Arial" w:cs="Arial" w:eastAsia="Arial" w:hAnsi="Arial"/>
          <w:sz w:val="18"/>
          <w:szCs w:val="18"/>
          <w:color w:val="auto"/>
        </w:rPr>
        <w:t xml:space="preserve"> of this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Agreement;</w:t>
      </w:r>
    </w:p>
    <w:p>
      <w:pPr>
        <w:spacing w:after="0" w:line="199" w:lineRule="exact"/>
        <w:rPr>
          <w:rFonts w:ascii="Arial" w:cs="Arial" w:eastAsia="Arial" w:hAnsi="Arial"/>
          <w:sz w:val="18"/>
          <w:szCs w:val="18"/>
          <w:color w:val="auto"/>
        </w:rPr>
      </w:pPr>
    </w:p>
    <w:p>
      <w:pPr>
        <w:jc w:val="both"/>
        <w:ind w:firstLine="1304"/>
        <w:spacing w:after="0" w:line="259" w:lineRule="auto"/>
        <w:tabs>
          <w:tab w:leader="none" w:pos="1944" w:val="left"/>
        </w:tabs>
        <w:numPr>
          <w:ilvl w:val="1"/>
          <w:numId w:val="120"/>
        </w:numPr>
        <w:rPr>
          <w:rFonts w:ascii="Arial" w:cs="Arial" w:eastAsia="Arial" w:hAnsi="Arial"/>
          <w:sz w:val="19"/>
          <w:szCs w:val="19"/>
          <w:color w:val="auto"/>
        </w:rPr>
      </w:pPr>
      <w:r>
        <w:rPr>
          <w:rFonts w:ascii="Arial" w:cs="Arial" w:eastAsia="Arial" w:hAnsi="Arial"/>
          <w:sz w:val="19"/>
          <w:szCs w:val="19"/>
          <w:color w:val="auto"/>
        </w:rPr>
        <w:t>bankers’ Liens, rights of setoff and other similar Liens existing solely with respect to cash, Cash Equivalents, securities, commodities and other funds on deposit in one or more accounts maintained by a Group Member,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w:t>
      </w:r>
    </w:p>
    <w:p>
      <w:pPr>
        <w:spacing w:after="0" w:line="178" w:lineRule="exact"/>
        <w:rPr>
          <w:rFonts w:ascii="Arial" w:cs="Arial" w:eastAsia="Arial" w:hAnsi="Arial"/>
          <w:sz w:val="19"/>
          <w:szCs w:val="19"/>
          <w:color w:val="auto"/>
        </w:rPr>
      </w:pPr>
    </w:p>
    <w:p>
      <w:pPr>
        <w:jc w:val="both"/>
        <w:ind w:firstLine="1304"/>
        <w:spacing w:after="0" w:line="282" w:lineRule="auto"/>
        <w:tabs>
          <w:tab w:leader="none" w:pos="194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(i) cash deposits and liens on cash and Cash Equivalents pledged to secure Indebtedness permitted under </w:t>
      </w:r>
      <w:r>
        <w:rPr>
          <w:rFonts w:ascii="Arial" w:cs="Arial" w:eastAsia="Arial" w:hAnsi="Arial"/>
          <w:sz w:val="18"/>
          <w:szCs w:val="18"/>
          <w:u w:val="single" w:color="auto"/>
          <w:color w:val="auto"/>
        </w:rPr>
        <w:t>Section 7.2(g)</w:t>
      </w:r>
      <w:r>
        <w:rPr>
          <w:rFonts w:ascii="Arial" w:cs="Arial" w:eastAsia="Arial" w:hAnsi="Arial"/>
          <w:sz w:val="18"/>
          <w:szCs w:val="18"/>
          <w:color w:val="auto"/>
        </w:rPr>
        <w:t xml:space="preserve">, (ii) Liens securing reimbursement obligations with respect to letters of credit, banker’s acceptances, bank guarantees permitted by </w:t>
      </w:r>
      <w:r>
        <w:rPr>
          <w:rFonts w:ascii="Arial" w:cs="Arial" w:eastAsia="Arial" w:hAnsi="Arial"/>
          <w:sz w:val="18"/>
          <w:szCs w:val="18"/>
          <w:u w:val="single" w:color="auto"/>
          <w:color w:val="auto"/>
        </w:rPr>
        <w:t>Section 7.2(g)</w:t>
      </w:r>
      <w:r>
        <w:rPr>
          <w:rFonts w:ascii="Arial" w:cs="Arial" w:eastAsia="Arial" w:hAnsi="Arial"/>
          <w:sz w:val="18"/>
          <w:szCs w:val="18"/>
          <w:color w:val="auto"/>
        </w:rPr>
        <w:t xml:space="preserve"> that encumber documents and other property relating to such letters of credit, and (iii) Liens securing Obligations under any Specified Swap Agreements permitted by </w:t>
      </w:r>
      <w:r>
        <w:rPr>
          <w:rFonts w:ascii="Arial" w:cs="Arial" w:eastAsia="Arial" w:hAnsi="Arial"/>
          <w:sz w:val="18"/>
          <w:szCs w:val="18"/>
          <w:u w:val="single" w:color="auto"/>
          <w:color w:val="auto"/>
        </w:rPr>
        <w:t>Section 7.2(i)</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960" w:hanging="656"/>
        <w:spacing w:after="0"/>
        <w:tabs>
          <w:tab w:leader="none" w:pos="19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Liens on insurance proceeds in favor of insurance companies granted solely to secured financed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insurance premiums;</w:t>
      </w:r>
    </w:p>
    <w:p>
      <w:pPr>
        <w:spacing w:after="0" w:line="199" w:lineRule="exact"/>
        <w:rPr>
          <w:rFonts w:ascii="Arial" w:cs="Arial" w:eastAsia="Arial" w:hAnsi="Arial"/>
          <w:sz w:val="18"/>
          <w:szCs w:val="18"/>
          <w:color w:val="auto"/>
        </w:rPr>
      </w:pPr>
    </w:p>
    <w:p>
      <w:pPr>
        <w:jc w:val="both"/>
        <w:ind w:firstLine="1304"/>
        <w:spacing w:after="0" w:line="246" w:lineRule="auto"/>
        <w:tabs>
          <w:tab w:leader="none" w:pos="1944" w:val="left"/>
        </w:tabs>
        <w:numPr>
          <w:ilvl w:val="1"/>
          <w:numId w:val="120"/>
        </w:numPr>
        <w:rPr>
          <w:rFonts w:ascii="Arial" w:cs="Arial" w:eastAsia="Arial" w:hAnsi="Arial"/>
          <w:sz w:val="20"/>
          <w:szCs w:val="20"/>
          <w:color w:val="auto"/>
        </w:rPr>
      </w:pPr>
      <w:r>
        <w:rPr>
          <w:rFonts w:ascii="Arial" w:cs="Arial" w:eastAsia="Arial" w:hAnsi="Arial"/>
          <w:sz w:val="20"/>
          <w:szCs w:val="20"/>
          <w:color w:val="auto"/>
        </w:rPr>
        <w:t xml:space="preserve">Liens on property of a Person existing at the time such Person is acquired by, merged into or consolidated with a Group Member or becomes a Subsidiary of a Group Member or acquired by a Group Member;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Liens were not created in contemplation of such acquisition, merger, consolidation or Investment, (ii) such Liens do not extend to any assets other than those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24" w:name="page125"/>
    <w:bookmarkEnd w:id="124"/>
    <w:p>
      <w:pPr>
        <w:spacing w:after="0"/>
        <w:rPr>
          <w:sz w:val="20"/>
          <w:szCs w:val="20"/>
          <w:color w:val="auto"/>
        </w:rPr>
      </w:pPr>
      <w:r>
        <w:rPr>
          <w:rFonts w:ascii="Arial" w:cs="Arial" w:eastAsia="Arial" w:hAnsi="Arial"/>
          <w:sz w:val="19"/>
          <w:szCs w:val="19"/>
          <w:color w:val="auto"/>
        </w:rPr>
        <w:t xml:space="preserve">Person, and (iii) the applicable Indebtedness or obligation secured by such Lien is not prohibited under </w:t>
      </w:r>
      <w:r>
        <w:rPr>
          <w:rFonts w:ascii="Arial" w:cs="Arial" w:eastAsia="Arial" w:hAnsi="Arial"/>
          <w:sz w:val="19"/>
          <w:szCs w:val="19"/>
          <w:u w:val="single" w:color="auto"/>
          <w:color w:val="auto"/>
        </w:rPr>
        <w:t>Section 7.2</w:t>
      </w:r>
      <w:r>
        <w:rPr>
          <w:rFonts w:ascii="Arial" w:cs="Arial" w:eastAsia="Arial" w:hAnsi="Arial"/>
          <w:sz w:val="19"/>
          <w:szCs w:val="19"/>
          <w:color w:val="auto"/>
        </w:rPr>
        <w:t>;</w:t>
      </w:r>
    </w:p>
    <w:p>
      <w:pPr>
        <w:spacing w:after="0" w:line="227" w:lineRule="exact"/>
        <w:rPr>
          <w:sz w:val="20"/>
          <w:szCs w:val="20"/>
          <w:color w:val="auto"/>
        </w:rPr>
      </w:pPr>
    </w:p>
    <w:p>
      <w:pPr>
        <w:jc w:val="both"/>
        <w:ind w:right="20" w:firstLine="1304"/>
        <w:spacing w:after="0" w:line="250" w:lineRule="auto"/>
        <w:tabs>
          <w:tab w:leader="none" w:pos="1944"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replacement, extension or renewal of any Lien permitted by clause (m) above upon or in the same property theretofore subject thereto or the replacement, extension or renewal (without increase in the amount or change in any direct or contingent obligor) of the Indebtedness secured thereby;</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0"/>
          <w:numId w:val="121"/>
        </w:numPr>
        <w:rPr>
          <w:rFonts w:ascii="Arial" w:cs="Arial" w:eastAsia="Arial" w:hAnsi="Arial"/>
          <w:sz w:val="20"/>
          <w:szCs w:val="20"/>
          <w:color w:val="auto"/>
        </w:rPr>
      </w:pPr>
      <w:r>
        <w:rPr>
          <w:rFonts w:ascii="Arial" w:cs="Arial" w:eastAsia="Arial" w:hAnsi="Arial"/>
          <w:sz w:val="20"/>
          <w:szCs w:val="20"/>
          <w:color w:val="auto"/>
        </w:rPr>
        <w:t>Liens not otherwise permitted by this Section so long as the aggregate outstanding principal amount of the obligations secured thereby (as to all Group Members) $1,000,000 at any one time;</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0"/>
          <w:numId w:val="121"/>
        </w:numPr>
        <w:rPr>
          <w:rFonts w:ascii="Arial" w:cs="Arial" w:eastAsia="Arial" w:hAnsi="Arial"/>
          <w:sz w:val="20"/>
          <w:szCs w:val="20"/>
          <w:color w:val="auto"/>
        </w:rPr>
      </w:pPr>
      <w:r>
        <w:rPr>
          <w:rFonts w:ascii="Arial" w:cs="Arial" w:eastAsia="Arial" w:hAnsi="Arial"/>
          <w:sz w:val="20"/>
          <w:szCs w:val="20"/>
          <w:color w:val="auto"/>
        </w:rPr>
        <w:t>Liens in favor of custom and revenue authorities arising as a matter of law to secure the payment of custom duties in connection with the importation of goods;</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121"/>
        </w:numPr>
        <w:rPr>
          <w:rFonts w:ascii="Arial" w:cs="Arial" w:eastAsia="Arial" w:hAnsi="Arial"/>
          <w:sz w:val="20"/>
          <w:szCs w:val="20"/>
          <w:color w:val="auto"/>
        </w:rPr>
      </w:pPr>
      <w:r>
        <w:rPr>
          <w:rFonts w:ascii="Arial" w:cs="Arial" w:eastAsia="Arial" w:hAnsi="Arial"/>
          <w:sz w:val="20"/>
          <w:szCs w:val="20"/>
          <w:color w:val="auto"/>
        </w:rPr>
        <w:t>Liens on any earnest money deposits required in connection with a Permitted Acquisition or consisting of earnest money deposits required in connection with an acquisition of property not otherwise prohibited hereunder;</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by </w:t>
      </w:r>
      <w:r>
        <w:rPr>
          <w:rFonts w:ascii="Arial" w:cs="Arial" w:eastAsia="Arial" w:hAnsi="Arial"/>
          <w:sz w:val="20"/>
          <w:szCs w:val="20"/>
          <w:u w:val="single" w:color="auto"/>
          <w:color w:val="auto"/>
        </w:rPr>
        <w:t>Section 7.2(q);</w:t>
      </w:r>
    </w:p>
    <w:p>
      <w:pPr>
        <w:spacing w:after="0" w:line="215" w:lineRule="exact"/>
        <w:rPr>
          <w:rFonts w:ascii="Arial" w:cs="Arial" w:eastAsia="Arial" w:hAnsi="Arial"/>
          <w:sz w:val="20"/>
          <w:szCs w:val="20"/>
          <w:color w:val="auto"/>
        </w:rPr>
      </w:pPr>
    </w:p>
    <w:p>
      <w:pPr>
        <w:ind w:firstLine="1304"/>
        <w:spacing w:after="0" w:line="316" w:lineRule="auto"/>
        <w:tabs>
          <w:tab w:leader="none" w:pos="194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Group Members in the ordinary course of business to the extent not prohibited by this Agreement;</w:t>
      </w:r>
    </w:p>
    <w:p>
      <w:pPr>
        <w:spacing w:after="0" w:line="129" w:lineRule="exact"/>
        <w:rPr>
          <w:rFonts w:ascii="Arial" w:cs="Arial" w:eastAsia="Arial" w:hAnsi="Arial"/>
          <w:sz w:val="18"/>
          <w:szCs w:val="18"/>
          <w:color w:val="auto"/>
        </w:rPr>
      </w:pPr>
    </w:p>
    <w:p>
      <w:pPr>
        <w:ind w:right="20" w:firstLine="1304"/>
        <w:spacing w:after="0" w:line="260" w:lineRule="auto"/>
        <w:tabs>
          <w:tab w:leader="none" w:pos="1944" w:val="left"/>
        </w:tabs>
        <w:numPr>
          <w:ilvl w:val="0"/>
          <w:numId w:val="121"/>
        </w:numPr>
        <w:rPr>
          <w:rFonts w:ascii="Arial" w:cs="Arial" w:eastAsia="Arial" w:hAnsi="Arial"/>
          <w:sz w:val="20"/>
          <w:szCs w:val="20"/>
          <w:color w:val="auto"/>
        </w:rPr>
      </w:pPr>
      <w:r>
        <w:rPr>
          <w:rFonts w:ascii="Arial" w:cs="Arial" w:eastAsia="Arial" w:hAnsi="Arial"/>
          <w:sz w:val="20"/>
          <w:szCs w:val="20"/>
          <w:color w:val="auto"/>
        </w:rPr>
        <w:t>Liens that are contractual rights of set-off relating to purchase orders and other agreements entered into with customers of Group Members in the ordinary course of business;</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Liens arising from precautionary Uniform Commercial Code financing statements or similar filings;</w:t>
      </w:r>
    </w:p>
    <w:p>
      <w:pPr>
        <w:spacing w:after="0" w:line="238" w:lineRule="exact"/>
        <w:rPr>
          <w:rFonts w:ascii="Arial" w:cs="Arial" w:eastAsia="Arial" w:hAnsi="Arial"/>
          <w:sz w:val="18"/>
          <w:szCs w:val="18"/>
          <w:color w:val="auto"/>
        </w:rPr>
      </w:pPr>
    </w:p>
    <w:p>
      <w:pPr>
        <w:ind w:left="1960" w:hanging="656"/>
        <w:spacing w:after="0"/>
        <w:tabs>
          <w:tab w:leader="none" w:pos="196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Liens on property subject to any Sale Leaseback Transaction permitted hereunder;</w:t>
      </w:r>
    </w:p>
    <w:p>
      <w:pPr>
        <w:spacing w:after="0" w:line="215"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 zoning, building, entitlement and other land use regulations by Governmental Authorities with which the normal operation of the business complies, and (B) any zoning or similar law or right reserved to or vested in any Governmental Authority to control or regulate the use of any real property that does not materially interfere with the ordinary conduct of the business of the Group Members, taken as a whole; and</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Liens of customers on assets provided as “evaluation systems” in the ordinary course of business.</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7.4 Fundamental Changes</w:t>
      </w:r>
      <w:r>
        <w:rPr>
          <w:rFonts w:ascii="Arial" w:cs="Arial" w:eastAsia="Arial" w:hAnsi="Arial"/>
          <w:sz w:val="20"/>
          <w:szCs w:val="20"/>
          <w:color w:val="auto"/>
        </w:rPr>
        <w:t>. Consummate any merger, consolidation or amalgamation, or liquidate, wind up or</w:t>
      </w:r>
      <w:r>
        <w:rPr>
          <w:rFonts w:ascii="Arial" w:cs="Arial" w:eastAsia="Arial" w:hAnsi="Arial"/>
          <w:sz w:val="20"/>
          <w:szCs w:val="20"/>
          <w:b w:val="1"/>
          <w:bCs w:val="1"/>
          <w:color w:val="auto"/>
        </w:rPr>
        <w:t xml:space="preserve"> </w:t>
      </w:r>
      <w:r>
        <w:rPr>
          <w:rFonts w:ascii="Arial" w:cs="Arial" w:eastAsia="Arial" w:hAnsi="Arial"/>
          <w:sz w:val="20"/>
          <w:szCs w:val="20"/>
          <w:color w:val="auto"/>
        </w:rPr>
        <w:t>dissolve itself (or suffer any liquidation or dissolution), or Dispose of all or substantially all of its property or business, except that:</w:t>
      </w:r>
    </w:p>
    <w:p>
      <w:pPr>
        <w:spacing w:after="0" w:line="183" w:lineRule="exact"/>
        <w:rPr>
          <w:sz w:val="20"/>
          <w:szCs w:val="20"/>
          <w:color w:val="auto"/>
        </w:rPr>
      </w:pPr>
    </w:p>
    <w:p>
      <w:pPr>
        <w:jc w:val="both"/>
        <w:ind w:firstLine="1304"/>
        <w:spacing w:after="0" w:line="259" w:lineRule="auto"/>
        <w:tabs>
          <w:tab w:leader="none" w:pos="194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 any Group Member that is not a Loan Party may be merged, amalgamated or consolidated with or into (A) any Loan Party (provided that a Loan Party shall be the continuing or surviving Person, or the continuing or surviving Person shall become a Loan Party substantially contemporaneous with such merger, amalgamation or consolidation) or (B) any Group Member that is not a Loan Party, and (ii) any Loan Party may be merged, amalgamated or consolidated with or into with any other Loan Party (provided that if such merger, amalgamation or consolidation involves the Borrower, the Borrower shall be the continuing or surviving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25" w:name="page126"/>
    <w:bookmarkEnd w:id="125"/>
    <w:p>
      <w:pPr>
        <w:jc w:val="both"/>
        <w:ind w:firstLine="1304"/>
        <w:spacing w:after="0" w:line="244" w:lineRule="auto"/>
        <w:tabs>
          <w:tab w:leader="none" w:pos="1944" w:val="left"/>
        </w:tabs>
        <w:numPr>
          <w:ilvl w:val="0"/>
          <w:numId w:val="123"/>
        </w:numPr>
        <w:rPr>
          <w:rFonts w:ascii="Arial" w:cs="Arial" w:eastAsia="Arial" w:hAnsi="Arial"/>
          <w:sz w:val="20"/>
          <w:szCs w:val="20"/>
          <w:color w:val="auto"/>
        </w:rPr>
      </w:pPr>
      <w:r>
        <w:rPr>
          <w:rFonts w:ascii="Arial" w:cs="Arial" w:eastAsia="Arial" w:hAnsi="Arial"/>
          <w:sz w:val="20"/>
          <w:szCs w:val="20"/>
          <w:color w:val="auto"/>
        </w:rPr>
        <w:t xml:space="preserve">(i) any Group Member that is not a Loan Party may Dispose of any or all of its assets (including upon voluntary liquidation, dissolution or otherwise) (A) to any other Group Member or (B) pursuant to a Disposition permitted by </w:t>
      </w:r>
      <w:r>
        <w:rPr>
          <w:rFonts w:ascii="Arial" w:cs="Arial" w:eastAsia="Arial" w:hAnsi="Arial"/>
          <w:sz w:val="20"/>
          <w:szCs w:val="20"/>
          <w:u w:val="single" w:color="auto"/>
          <w:color w:val="auto"/>
        </w:rPr>
        <w:t>Section 7.5</w:t>
      </w:r>
      <w:r>
        <w:rPr>
          <w:rFonts w:ascii="Arial" w:cs="Arial" w:eastAsia="Arial" w:hAnsi="Arial"/>
          <w:sz w:val="20"/>
          <w:szCs w:val="20"/>
          <w:color w:val="auto"/>
        </w:rPr>
        <w:t xml:space="preserve">; and (ii) any Loan Party (other than the Borrower) may Dispose of any or all of its assets (including upon voluntary liquidation, dissolution or otherwise) (A) to any other Loan Party or (B) pursuant to a Disposition permitted by </w:t>
      </w:r>
      <w:r>
        <w:rPr>
          <w:rFonts w:ascii="Arial" w:cs="Arial" w:eastAsia="Arial" w:hAnsi="Arial"/>
          <w:sz w:val="20"/>
          <w:szCs w:val="20"/>
          <w:u w:val="single" w:color="auto"/>
          <w:color w:val="auto"/>
        </w:rPr>
        <w:t>Section 7.5</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ind w:firstLine="1304"/>
        <w:spacing w:after="0" w:line="260" w:lineRule="auto"/>
        <w:tabs>
          <w:tab w:leader="none" w:pos="1944" w:val="left"/>
        </w:tabs>
        <w:numPr>
          <w:ilvl w:val="0"/>
          <w:numId w:val="123"/>
        </w:numPr>
        <w:rPr>
          <w:rFonts w:ascii="Arial" w:cs="Arial" w:eastAsia="Arial" w:hAnsi="Arial"/>
          <w:sz w:val="20"/>
          <w:szCs w:val="20"/>
          <w:color w:val="auto"/>
        </w:rPr>
      </w:pPr>
      <w:r>
        <w:rPr>
          <w:rFonts w:ascii="Arial" w:cs="Arial" w:eastAsia="Arial" w:hAnsi="Arial"/>
          <w:sz w:val="20"/>
          <w:szCs w:val="20"/>
          <w:color w:val="auto"/>
        </w:rPr>
        <w:t xml:space="preserve">any Investment (including, without limitation, any Permitted Acquisition) expressly permitted by </w:t>
      </w:r>
      <w:r>
        <w:rPr>
          <w:rFonts w:ascii="Arial" w:cs="Arial" w:eastAsia="Arial" w:hAnsi="Arial"/>
          <w:sz w:val="20"/>
          <w:szCs w:val="20"/>
          <w:u w:val="single" w:color="auto"/>
          <w:color w:val="auto"/>
        </w:rPr>
        <w:t>Section 7.8</w:t>
      </w:r>
      <w:r>
        <w:rPr>
          <w:rFonts w:ascii="Arial" w:cs="Arial" w:eastAsia="Arial" w:hAnsi="Arial"/>
          <w:sz w:val="20"/>
          <w:szCs w:val="20"/>
          <w:color w:val="auto"/>
        </w:rPr>
        <w:t xml:space="preserve"> may be structured as a merger, consolidation or amalgamation; and</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any Subsidiary that is a limited liability company may consummate a Division as the dividing Person if, immediately upon the consummation of the Division, the assets of the applicable dividing Person are held by one or more Guarantors.</w:t>
      </w:r>
    </w:p>
    <w:p>
      <w:pPr>
        <w:spacing w:after="0" w:line="180"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7.5 Disposition of Property</w:t>
      </w:r>
      <w:r>
        <w:rPr>
          <w:rFonts w:ascii="Arial" w:cs="Arial" w:eastAsia="Arial" w:hAnsi="Arial"/>
          <w:sz w:val="18"/>
          <w:szCs w:val="18"/>
          <w:color w:val="auto"/>
        </w:rPr>
        <w:t>. Dispose of any of its property, whether now owned or hereafter acquired,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of any Subsidiary of the Borrower, issue or sell any shares of such Subsidiary’s Capital Stock to any Person, except:</w:t>
      </w:r>
    </w:p>
    <w:p>
      <w:pPr>
        <w:spacing w:after="0" w:line="124" w:lineRule="exact"/>
        <w:rPr>
          <w:sz w:val="20"/>
          <w:szCs w:val="20"/>
          <w:color w:val="auto"/>
        </w:rPr>
      </w:pPr>
    </w:p>
    <w:p>
      <w:pPr>
        <w:jc w:val="both"/>
        <w:ind w:firstLine="1304"/>
        <w:spacing w:after="0" w:line="250" w:lineRule="auto"/>
        <w:tabs>
          <w:tab w:leader="none" w:pos="194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Dispositions of obsolete, worn out or surplus property in the ordinary course of business that is, in the reasonable judgment of Borrower, no longer economically practicable to maintain or useful in the ordinary course of business of Borrower;</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Dispositions of Inventory in the ordinary course of business;</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 xml:space="preserve">Dispositions permitted by </w:t>
      </w:r>
      <w:r>
        <w:rPr>
          <w:rFonts w:ascii="Arial" w:cs="Arial" w:eastAsia="Arial" w:hAnsi="Arial"/>
          <w:sz w:val="20"/>
          <w:szCs w:val="20"/>
          <w:u w:val="single" w:color="auto"/>
          <w:color w:val="auto"/>
        </w:rPr>
        <w:t>Sections 7.4(b)(i)(A)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(b)(ii)(A)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sale or issuance of the Capital Stock of a Subsidiary of the Borrower (i) to the Borrower or any other Loan Party, or (ii) by a Subsidiary that is not a Loan Party to another Subsidiary that is not a Loan Party or (iii) in connection with any transaction that does not result in a Change of Control;</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use or transfer of money, cash or Cash Equivalents in a manner that is not prohibited by the terms of this Agreement or the other Loan Documents;</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non-exclusive licensing of patents, trademarks, copyrights, and other Intellectual Property rights in the ordinary course of business;</w:t>
      </w:r>
    </w:p>
    <w:p>
      <w:pPr>
        <w:spacing w:after="0" w:line="176"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Disposition of property (i) from any Loan Party to any other Loan Party, and (ii) from any Group Member (which is not a Loan Party) to any other Group Member; provided that in each case in which there is a Lien over the relevant property in favor of the Administrative Agent in advance of the Disposition, an equivalent Lien will be granted to the Administrative Agent by the Group Member which acquires the property;</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Dispositions of property subject to a Casualty Event;</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leases or subleases of real property;</w:t>
      </w:r>
    </w:p>
    <w:p>
      <w:pPr>
        <w:spacing w:after="0" w:line="215" w:lineRule="exact"/>
        <w:rPr>
          <w:rFonts w:ascii="Arial" w:cs="Arial" w:eastAsia="Arial" w:hAnsi="Arial"/>
          <w:sz w:val="20"/>
          <w:szCs w:val="20"/>
          <w:color w:val="auto"/>
        </w:rPr>
      </w:pPr>
    </w:p>
    <w:p>
      <w:pPr>
        <w:ind w:right="20" w:firstLine="1304"/>
        <w:spacing w:after="0" w:line="260" w:lineRule="auto"/>
        <w:tabs>
          <w:tab w:leader="none" w:pos="194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sale or discount without recourse of accounts receivable arising in the ordinary course of business in connection with the compromise or collection thereof;</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any abandonment, cancellation, non-renewal or discontinuance of use or maintenance of Intellectual Property (or rights relating thereto) of any Group Member that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26" w:name="page127"/>
    <w:bookmarkEnd w:id="126"/>
    <w:p>
      <w:pPr>
        <w:spacing w:after="0" w:line="260" w:lineRule="auto"/>
        <w:rPr>
          <w:sz w:val="20"/>
          <w:szCs w:val="20"/>
          <w:color w:val="auto"/>
        </w:rPr>
      </w:pPr>
      <w:r>
        <w:rPr>
          <w:rFonts w:ascii="Arial" w:cs="Arial" w:eastAsia="Arial" w:hAnsi="Arial"/>
          <w:sz w:val="20"/>
          <w:szCs w:val="20"/>
          <w:color w:val="auto"/>
        </w:rPr>
        <w:t>determines in good faith is desirable in the conduct of its business and not materially disadvantageous to the interests of the Lenders;</w:t>
      </w:r>
    </w:p>
    <w:p>
      <w:pPr>
        <w:spacing w:after="0" w:line="177" w:lineRule="exact"/>
        <w:rPr>
          <w:sz w:val="20"/>
          <w:szCs w:val="20"/>
          <w:color w:val="auto"/>
        </w:rPr>
      </w:pPr>
    </w:p>
    <w:p>
      <w:pPr>
        <w:jc w:val="both"/>
        <w:ind w:firstLine="1304"/>
        <w:spacing w:after="0" w:line="250" w:lineRule="auto"/>
        <w:tabs>
          <w:tab w:leader="none" w:pos="1944" w:val="left"/>
        </w:tabs>
        <w:numPr>
          <w:ilvl w:val="0"/>
          <w:numId w:val="125"/>
        </w:numPr>
        <w:rPr>
          <w:rFonts w:ascii="Arial" w:cs="Arial" w:eastAsia="Arial" w:hAnsi="Arial"/>
          <w:sz w:val="20"/>
          <w:szCs w:val="20"/>
          <w:color w:val="auto"/>
        </w:rPr>
      </w:pPr>
      <w:r>
        <w:rPr>
          <w:rFonts w:ascii="Arial" w:cs="Arial" w:eastAsia="Arial" w:hAnsi="Arial"/>
          <w:sz w:val="20"/>
          <w:szCs w:val="20"/>
          <w:color w:val="auto"/>
        </w:rPr>
        <w:t>Dispositions of equipment or real estate to the extent that (i) such property is exchanged for credit against the purchase price of similar replacement property and (ii) the proceeds of such Disposition are reasonably promptly applied to the purchase price of such replacement property;</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0"/>
          <w:numId w:val="125"/>
        </w:numPr>
        <w:rPr>
          <w:rFonts w:ascii="Arial" w:cs="Arial" w:eastAsia="Arial" w:hAnsi="Arial"/>
          <w:sz w:val="20"/>
          <w:szCs w:val="20"/>
          <w:color w:val="auto"/>
        </w:rPr>
      </w:pPr>
      <w:r>
        <w:rPr>
          <w:rFonts w:ascii="Arial" w:cs="Arial" w:eastAsia="Arial" w:hAnsi="Arial"/>
          <w:sz w:val="20"/>
          <w:szCs w:val="20"/>
          <w:color w:val="auto"/>
        </w:rPr>
        <w:t xml:space="preserve">any Disposition of the Sam Fonzo Property; </w:t>
      </w:r>
      <w:r>
        <w:rPr>
          <w:rFonts w:ascii="Arial" w:cs="Arial" w:eastAsia="Arial" w:hAnsi="Arial"/>
          <w:sz w:val="20"/>
          <w:szCs w:val="20"/>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that any Disposition made pursuant to this </w:t>
      </w:r>
      <w:r>
        <w:rPr>
          <w:rFonts w:ascii="Arial" w:cs="Arial" w:eastAsia="Arial" w:hAnsi="Arial"/>
          <w:sz w:val="20"/>
          <w:szCs w:val="20"/>
          <w:u w:val="single" w:color="auto"/>
          <w:color w:val="auto"/>
        </w:rPr>
        <w:t>clause (m)</w:t>
      </w:r>
      <w:r>
        <w:rPr>
          <w:rFonts w:ascii="Arial" w:cs="Arial" w:eastAsia="Arial" w:hAnsi="Arial"/>
          <w:sz w:val="20"/>
          <w:szCs w:val="20"/>
          <w:color w:val="auto"/>
        </w:rPr>
        <w:t xml:space="preserve"> shall be made in good faith on an arm’s length basis for fair market value;</w:t>
      </w:r>
    </w:p>
    <w:p>
      <w:pPr>
        <w:spacing w:after="0" w:line="176" w:lineRule="exact"/>
        <w:rPr>
          <w:rFonts w:ascii="Arial" w:cs="Arial" w:eastAsia="Arial" w:hAnsi="Arial"/>
          <w:sz w:val="20"/>
          <w:szCs w:val="20"/>
          <w:color w:val="auto"/>
        </w:rPr>
      </w:pPr>
    </w:p>
    <w:p>
      <w:pPr>
        <w:jc w:val="both"/>
        <w:ind w:firstLine="1304"/>
        <w:spacing w:after="0" w:line="263" w:lineRule="auto"/>
        <w:tabs>
          <w:tab w:leader="none" w:pos="1944"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Dispositions of other property having a book value not to exceed $5,000,000 in the aggregate for any fiscal year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any such Disposition, no Event of Default shall have occurred and be continuing or would result from such Disposition;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any Disposition made pursuant to this </w:t>
      </w:r>
      <w:r>
        <w:rPr>
          <w:rFonts w:ascii="Arial" w:cs="Arial" w:eastAsia="Arial" w:hAnsi="Arial"/>
          <w:sz w:val="19"/>
          <w:szCs w:val="19"/>
          <w:u w:val="single" w:color="auto"/>
          <w:color w:val="auto"/>
        </w:rPr>
        <w:t>clause (n)</w:t>
      </w:r>
      <w:r>
        <w:rPr>
          <w:rFonts w:ascii="Arial" w:cs="Arial" w:eastAsia="Arial" w:hAnsi="Arial"/>
          <w:sz w:val="19"/>
          <w:szCs w:val="19"/>
          <w:color w:val="auto"/>
        </w:rPr>
        <w:t xml:space="preserve"> shall be made in good faith on an arm’s length basis for fair market value; and</w:t>
      </w:r>
    </w:p>
    <w:p>
      <w:pPr>
        <w:spacing w:after="0" w:line="176" w:lineRule="exact"/>
        <w:rPr>
          <w:rFonts w:ascii="Arial" w:cs="Arial" w:eastAsia="Arial" w:hAnsi="Arial"/>
          <w:sz w:val="19"/>
          <w:szCs w:val="19"/>
          <w:color w:val="auto"/>
        </w:rPr>
      </w:pPr>
    </w:p>
    <w:p>
      <w:pPr>
        <w:ind w:firstLine="1304"/>
        <w:spacing w:after="0" w:line="260" w:lineRule="auto"/>
        <w:tabs>
          <w:tab w:leader="none" w:pos="1944" w:val="left"/>
        </w:tabs>
        <w:numPr>
          <w:ilvl w:val="0"/>
          <w:numId w:val="125"/>
        </w:numPr>
        <w:rPr>
          <w:rFonts w:ascii="Arial" w:cs="Arial" w:eastAsia="Arial" w:hAnsi="Arial"/>
          <w:sz w:val="20"/>
          <w:szCs w:val="20"/>
          <w:color w:val="auto"/>
        </w:rPr>
      </w:pPr>
      <w:r>
        <w:rPr>
          <w:rFonts w:ascii="Arial" w:cs="Arial" w:eastAsia="Arial" w:hAnsi="Arial"/>
          <w:sz w:val="20"/>
          <w:szCs w:val="20"/>
          <w:color w:val="auto"/>
        </w:rPr>
        <w:t xml:space="preserve">Restricted Payments permitted by </w:t>
      </w:r>
      <w:r>
        <w:rPr>
          <w:rFonts w:ascii="Arial" w:cs="Arial" w:eastAsia="Arial" w:hAnsi="Arial"/>
          <w:sz w:val="20"/>
          <w:szCs w:val="20"/>
          <w:u w:val="single" w:color="auto"/>
          <w:color w:val="auto"/>
        </w:rPr>
        <w:t>Section 7.6</w:t>
      </w:r>
      <w:r>
        <w:rPr>
          <w:rFonts w:ascii="Arial" w:cs="Arial" w:eastAsia="Arial" w:hAnsi="Arial"/>
          <w:sz w:val="20"/>
          <w:szCs w:val="20"/>
          <w:color w:val="auto"/>
        </w:rPr>
        <w:t xml:space="preserve">, Investments (including, without limitation, any Permitted Acquisition) permitted by </w:t>
      </w:r>
      <w:r>
        <w:rPr>
          <w:rFonts w:ascii="Arial" w:cs="Arial" w:eastAsia="Arial" w:hAnsi="Arial"/>
          <w:sz w:val="20"/>
          <w:szCs w:val="20"/>
          <w:u w:val="single" w:color="auto"/>
          <w:color w:val="auto"/>
        </w:rPr>
        <w:t>Section 7.8</w:t>
      </w:r>
      <w:r>
        <w:rPr>
          <w:rFonts w:ascii="Arial" w:cs="Arial" w:eastAsia="Arial" w:hAnsi="Arial"/>
          <w:sz w:val="20"/>
          <w:szCs w:val="20"/>
          <w:color w:val="auto"/>
        </w:rPr>
        <w:t xml:space="preserve"> and Liens permitted by </w:t>
      </w:r>
      <w:r>
        <w:rPr>
          <w:rFonts w:ascii="Arial" w:cs="Arial" w:eastAsia="Arial" w:hAnsi="Arial"/>
          <w:sz w:val="20"/>
          <w:szCs w:val="20"/>
          <w:u w:val="single" w:color="auto"/>
          <w:color w:val="auto"/>
        </w:rPr>
        <w:t>Section 7.3</w:t>
      </w:r>
      <w:r>
        <w:rPr>
          <w:rFonts w:ascii="Arial" w:cs="Arial" w:eastAsia="Arial" w:hAnsi="Arial"/>
          <w:sz w:val="20"/>
          <w:szCs w:val="20"/>
          <w:color w:val="auto"/>
        </w:rPr>
        <w:t>.</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7.6 Restricted Payments</w:t>
      </w:r>
      <w:r>
        <w:rPr>
          <w:rFonts w:ascii="Arial" w:cs="Arial" w:eastAsia="Arial" w:hAnsi="Arial"/>
          <w:sz w:val="19"/>
          <w:szCs w:val="19"/>
          <w:color w:val="auto"/>
        </w:rPr>
        <w:t>. Make any payment or prepayment of principal of, premium, if any, or interest on, or</w:t>
      </w:r>
      <w:r>
        <w:rPr>
          <w:rFonts w:ascii="Arial" w:cs="Arial" w:eastAsia="Arial" w:hAnsi="Arial"/>
          <w:sz w:val="19"/>
          <w:szCs w:val="19"/>
          <w:b w:val="1"/>
          <w:bCs w:val="1"/>
          <w:color w:val="auto"/>
        </w:rPr>
        <w:t xml:space="preserve"> </w:t>
      </w:r>
      <w:r>
        <w:rPr>
          <w:rFonts w:ascii="Arial" w:cs="Arial" w:eastAsia="Arial" w:hAnsi="Arial"/>
          <w:sz w:val="19"/>
          <w:szCs w:val="19"/>
          <w:color w:val="auto"/>
        </w:rPr>
        <w:t>redemption, purchase, retirement, defeasance (including in-substance or legal defeasance), sinking fund or similar payment with respect to, any Subordinated Indebtedness, pay any earn-out payment, seller debt or deferred purchase price payments, declare or pay any dividend (other than dividends payable solely in Capital Stock (other than Disqualified Stock) of the Person making such dividend)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(collectively, “</w:t>
      </w:r>
      <w:r>
        <w:rPr>
          <w:rFonts w:ascii="Arial" w:cs="Arial" w:eastAsia="Arial" w:hAnsi="Arial"/>
          <w:sz w:val="19"/>
          <w:szCs w:val="19"/>
          <w:b w:val="1"/>
          <w:bCs w:val="1"/>
          <w:i w:val="1"/>
          <w:iCs w:val="1"/>
          <w:color w:val="auto"/>
        </w:rPr>
        <w:t>Restricted Payments</w:t>
      </w:r>
      <w:r>
        <w:rPr>
          <w:rFonts w:ascii="Arial" w:cs="Arial" w:eastAsia="Arial" w:hAnsi="Arial"/>
          <w:sz w:val="19"/>
          <w:szCs w:val="19"/>
          <w:color w:val="auto"/>
        </w:rPr>
        <w:t>”), except that so long as no Event of Default shall have occurred and be continuing at the time of any action described below or would immediately result therefrom:</w:t>
      </w:r>
    </w:p>
    <w:p>
      <w:pPr>
        <w:spacing w:after="0" w:line="186" w:lineRule="exact"/>
        <w:rPr>
          <w:sz w:val="20"/>
          <w:szCs w:val="20"/>
          <w:color w:val="auto"/>
        </w:rPr>
      </w:pPr>
    </w:p>
    <w:p>
      <w:pPr>
        <w:ind w:firstLine="1304"/>
        <w:spacing w:after="0" w:line="260" w:lineRule="auto"/>
        <w:tabs>
          <w:tab w:leader="none" w:pos="1944"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any Group Member may make Restricted Payments to any Loan Party and any Group Member that is not a Loan Party may make Restricted Payments to any other Group Member;</w:t>
      </w:r>
    </w:p>
    <w:p>
      <w:pPr>
        <w:spacing w:after="0" w:line="176" w:lineRule="exact"/>
        <w:rPr>
          <w:rFonts w:ascii="Arial" w:cs="Arial" w:eastAsia="Arial" w:hAnsi="Arial"/>
          <w:sz w:val="20"/>
          <w:szCs w:val="20"/>
          <w:color w:val="auto"/>
        </w:rPr>
      </w:pPr>
    </w:p>
    <w:p>
      <w:pPr>
        <w:jc w:val="both"/>
        <w:ind w:firstLine="1304"/>
        <w:spacing w:after="0" w:line="243" w:lineRule="auto"/>
        <w:tabs>
          <w:tab w:leader="none" w:pos="1944"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each Loan Party may, (i) purchase Capital Stock from present or former officers, directors, employees, consultants, advisors, or other service providers of any Group Member upon the death, disability or termination of employment of such officer, director, employee, consultant, advisor, or service provider;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payments made under this clause (i) shall not exceed $1,000,000 during any fiscal year of the Borrower, and (ii) declare and make dividend payments or other distributions payable solely in Capital Stock (other than Disqualified Stock) of the Borrower;</w:t>
      </w:r>
    </w:p>
    <w:p>
      <w:pPr>
        <w:spacing w:after="0" w:line="195" w:lineRule="exact"/>
        <w:rPr>
          <w:rFonts w:ascii="Arial" w:cs="Arial" w:eastAsia="Arial" w:hAnsi="Arial"/>
          <w:sz w:val="20"/>
          <w:szCs w:val="20"/>
          <w:color w:val="auto"/>
        </w:rPr>
      </w:pPr>
    </w:p>
    <w:p>
      <w:pPr>
        <w:jc w:val="both"/>
        <w:ind w:firstLine="1304"/>
        <w:spacing w:after="0" w:line="256" w:lineRule="auto"/>
        <w:tabs>
          <w:tab w:leader="none" w:pos="1944"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any Group Member may make Restricted Payments so long as (i) the aggregate amount of (A) all such Restricted Payments made in any fiscal year of the Group Members plus (B) the aggregate consideration (excluding Capital Stock of the Borrower that is not Disqualified Stock, but including earn-out payments, seller debt payments or deferred purchase price payments unless repayable with Capital Stock of the Borrower that is not Disqualified Stock) paid for all Permitted Acquisitions in any fiscal year of the Group Members, shall not exceed (X) $25,000,000 if the Consolidated Senior Leverage is greater than or equal to 2.00:1.00 and (Y) $50,000,000 if the Consolidated Senior Leverage is less than 2.00:1.00, in each case of the foregoing items (X) and (Y), calculated on a pro forma basis after giving effect to such Permitted Acquisition or Restricted Payment, as applicable, as for the most recent determination period for which financial statements are internally available and have been delivered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27" w:name="page128"/>
    <w:bookmarkEnd w:id="127"/>
    <w:p>
      <w:pPr>
        <w:jc w:val="both"/>
        <w:spacing w:after="0" w:line="250" w:lineRule="auto"/>
        <w:rPr>
          <w:sz w:val="20"/>
          <w:szCs w:val="20"/>
          <w:color w:val="auto"/>
        </w:rPr>
      </w:pPr>
      <w:r>
        <w:rPr>
          <w:rFonts w:ascii="Arial" w:cs="Arial" w:eastAsia="Arial" w:hAnsi="Arial"/>
          <w:sz w:val="20"/>
          <w:szCs w:val="20"/>
          <w:color w:val="auto"/>
        </w:rPr>
        <w:t xml:space="preserve">Administrative Agent and (ii) the Borrower is in pro forma compliance with the financial covenants set forth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as for the most recent determination period for which financial statements are internally available and have been delivered to the Administrative Agent after giving effect to such payment;</w:t>
      </w:r>
    </w:p>
    <w:p>
      <w:pPr>
        <w:spacing w:after="0" w:line="186" w:lineRule="exact"/>
        <w:rPr>
          <w:sz w:val="20"/>
          <w:szCs w:val="20"/>
          <w:color w:val="auto"/>
        </w:rPr>
      </w:pPr>
    </w:p>
    <w:p>
      <w:pPr>
        <w:jc w:val="both"/>
        <w:ind w:firstLine="1304"/>
        <w:spacing w:after="0" w:line="269" w:lineRule="auto"/>
        <w:tabs>
          <w:tab w:leader="none" w:pos="1944"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each Group Member may purchase, redeem or otherwise acquire Capital Stock issued by it with the proceeds received from the substantially concurrent issue of new shares of its Capital Stock (other than Disqualified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issuance is otherwise permitted hereunder (including by </w:t>
      </w:r>
      <w:r>
        <w:rPr>
          <w:rFonts w:ascii="Arial" w:cs="Arial" w:eastAsia="Arial" w:hAnsi="Arial"/>
          <w:sz w:val="19"/>
          <w:szCs w:val="19"/>
          <w:u w:val="single" w:color="auto"/>
          <w:color w:val="auto"/>
        </w:rPr>
        <w:t>Section 7.5(d)</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jc w:val="both"/>
        <w:ind w:firstLine="1304"/>
        <w:spacing w:after="0" w:line="278" w:lineRule="auto"/>
        <w:tabs>
          <w:tab w:leader="none" w:pos="194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each Group Member may make repurchases of Capital Stock deemed to occur upon exercise of stock options or warrants if such repurchased Capital Stock represents a portion of the exercise price of such options or warrants, and (ii) each Group Member may make repurchases of Capital Stock deemed to occur upon the withholding of a portion of the Capital Stock issued, granted or awarded to a current or former officer, director, employee or consultant to pay for the taxes payable by such Person upon such issuance, grant or award (or upon vesting thereof);</w:t>
      </w:r>
    </w:p>
    <w:p>
      <w:pPr>
        <w:spacing w:after="0" w:line="164" w:lineRule="exact"/>
        <w:rPr>
          <w:rFonts w:ascii="Arial" w:cs="Arial" w:eastAsia="Arial" w:hAnsi="Arial"/>
          <w:sz w:val="18"/>
          <w:szCs w:val="18"/>
          <w:color w:val="auto"/>
        </w:rPr>
      </w:pPr>
    </w:p>
    <w:p>
      <w:pPr>
        <w:jc w:val="both"/>
        <w:ind w:firstLine="1304"/>
        <w:spacing w:after="0" w:line="250" w:lineRule="auto"/>
        <w:tabs>
          <w:tab w:leader="none" w:pos="1944" w:val="left"/>
        </w:tabs>
        <w:numPr>
          <w:ilvl w:val="0"/>
          <w:numId w:val="127"/>
        </w:numPr>
        <w:rPr>
          <w:rFonts w:ascii="Arial" w:cs="Arial" w:eastAsia="Arial" w:hAnsi="Arial"/>
          <w:sz w:val="20"/>
          <w:szCs w:val="20"/>
          <w:color w:val="auto"/>
        </w:rPr>
      </w:pPr>
      <w:r>
        <w:rPr>
          <w:rFonts w:ascii="Arial" w:cs="Arial" w:eastAsia="Arial" w:hAnsi="Arial"/>
          <w:sz w:val="20"/>
          <w:szCs w:val="20"/>
          <w:color w:val="auto"/>
        </w:rPr>
        <w:t xml:space="preserve">each Group Member may deliver its common Capital Stock upon conversion of any convertible Indebtedness having been issued by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Indebtedness is otherwise permitted by </w:t>
      </w:r>
      <w:r>
        <w:rPr>
          <w:rFonts w:ascii="Arial" w:cs="Arial" w:eastAsia="Arial" w:hAnsi="Arial"/>
          <w:sz w:val="20"/>
          <w:szCs w:val="20"/>
          <w:u w:val="single" w:color="auto"/>
          <w:color w:val="auto"/>
        </w:rPr>
        <w:t>Section 7.2</w:t>
      </w:r>
      <w:r>
        <w:rPr>
          <w:rFonts w:ascii="Arial" w:cs="Arial" w:eastAsia="Arial" w:hAnsi="Arial"/>
          <w:sz w:val="20"/>
          <w:szCs w:val="20"/>
          <w:color w:val="auto"/>
        </w:rPr>
        <w:t>; and</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0"/>
          <w:numId w:val="127"/>
        </w:numPr>
        <w:rPr>
          <w:rFonts w:ascii="Arial" w:cs="Arial" w:eastAsia="Arial" w:hAnsi="Arial"/>
          <w:sz w:val="20"/>
          <w:szCs w:val="20"/>
          <w:color w:val="auto"/>
        </w:rPr>
      </w:pPr>
      <w:r>
        <w:rPr>
          <w:rFonts w:ascii="Arial" w:cs="Arial" w:eastAsia="Arial" w:hAnsi="Arial"/>
          <w:sz w:val="20"/>
          <w:szCs w:val="20"/>
          <w:color w:val="auto"/>
        </w:rPr>
        <w:t>each Group Member may make payments in respect of Subordinated Indebtedness to the extent permitted by the applicable subordination agreement or subordination terms in respect thereof.</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7.7</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7.8 Investments</w:t>
      </w:r>
      <w:r>
        <w:rPr>
          <w:rFonts w:ascii="Arial" w:cs="Arial" w:eastAsia="Arial" w:hAnsi="Arial"/>
          <w:sz w:val="18"/>
          <w:szCs w:val="18"/>
          <w:color w:val="auto"/>
        </w:rPr>
        <w:t>. Make any advance, loan, extension of credit (by way of guarantee or otherwise) or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 to, or purchase any Capital Stock, bonds, notes, debentures or other debt securities of, or any assets constituting a business unit of, or make any other investment in, any Person (all of the foregoing, “</w:t>
      </w: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 except:</w:t>
      </w:r>
    </w:p>
    <w:p>
      <w:pPr>
        <w:spacing w:after="0" w:line="150" w:lineRule="exact"/>
        <w:rPr>
          <w:sz w:val="20"/>
          <w:szCs w:val="20"/>
          <w:color w:val="auto"/>
        </w:rPr>
      </w:pPr>
    </w:p>
    <w:p>
      <w:pPr>
        <w:ind w:left="1960" w:hanging="656"/>
        <w:spacing w:after="0"/>
        <w:tabs>
          <w:tab w:leader="none" w:pos="196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extensions of trade credit in the ordinary course of business;</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Investments in cash and Cash Equivalents and any Investments permitted by Borrower’s investment policy, as amended from time to time, provided that such investment policy (and any such amendment thereto) has been approved in writing by the Administrative Agent;</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 xml:space="preserve">Guarantee Obligations permitted by </w:t>
      </w:r>
      <w:r>
        <w:rPr>
          <w:rFonts w:ascii="Arial" w:cs="Arial" w:eastAsia="Arial" w:hAnsi="Arial"/>
          <w:sz w:val="20"/>
          <w:szCs w:val="20"/>
          <w:u w:val="single" w:color="auto"/>
          <w:color w:val="auto"/>
        </w:rPr>
        <w:t>Section 7.2</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128"/>
        </w:numPr>
        <w:rPr>
          <w:rFonts w:ascii="Arial" w:cs="Arial" w:eastAsia="Arial" w:hAnsi="Arial"/>
          <w:sz w:val="20"/>
          <w:szCs w:val="20"/>
          <w:color w:val="auto"/>
        </w:rPr>
      </w:pPr>
      <w:r>
        <w:rPr>
          <w:rFonts w:ascii="Arial" w:cs="Arial" w:eastAsia="Arial" w:hAnsi="Arial"/>
          <w:sz w:val="20"/>
          <w:szCs w:val="20"/>
          <w:color w:val="auto"/>
        </w:rPr>
        <w:t>loans and advances to employees, officers, consultants and directors of any Group Member in the ordinary course of business (including for travel, entertainment and relocation expenses) in an aggregate amount for all Group Members not to exceed $1,000,000 at any one time outstanding;</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Investments existing on the Closing Date and set forth on </w:t>
      </w:r>
      <w:r>
        <w:rPr>
          <w:rFonts w:ascii="Arial" w:cs="Arial" w:eastAsia="Arial" w:hAnsi="Arial"/>
          <w:sz w:val="18"/>
          <w:szCs w:val="18"/>
          <w:u w:val="single" w:color="auto"/>
          <w:color w:val="auto"/>
        </w:rPr>
        <w:t>Schedule 7.8</w:t>
      </w:r>
      <w:r>
        <w:rPr>
          <w:rFonts w:ascii="Arial" w:cs="Arial" w:eastAsia="Arial" w:hAnsi="Arial"/>
          <w:sz w:val="18"/>
          <w:szCs w:val="18"/>
          <w:color w:val="auto"/>
        </w:rPr>
        <w:t xml:space="preserve"> to the Disclosure Letter;</w:t>
      </w:r>
    </w:p>
    <w:p>
      <w:pPr>
        <w:spacing w:after="0" w:line="238" w:lineRule="exact"/>
        <w:rPr>
          <w:rFonts w:ascii="Arial" w:cs="Arial" w:eastAsia="Arial" w:hAnsi="Arial"/>
          <w:sz w:val="18"/>
          <w:szCs w:val="18"/>
          <w:color w:val="auto"/>
        </w:rPr>
      </w:pPr>
    </w:p>
    <w:p>
      <w:pPr>
        <w:jc w:val="both"/>
        <w:ind w:firstLine="1304"/>
        <w:spacing w:after="0" w:line="243" w:lineRule="auto"/>
        <w:tabs>
          <w:tab w:leader="none" w:pos="1944"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intercompany Investments by (i) any Loan Party in any other Loan Party, (ii) any Group Member that is not a Loan Party in any other Group Member and (iii) any Loan Party in any Group Member that is not a Loan Party to the extent either (A) both (x) no Event of Defaults exists or would immediately result therefrom, and (y) all such Investments made pursuant to this clause (f)(iii)(A) shall be limited to $2,500,000 in any fiscal year of the Group Members or (B) arising from customary transfer pricing or cost-plus services agreements entered into in the ordinary course of business and on terms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28" w:name="page129"/>
    <w:bookmarkEnd w:id="128"/>
    <w:p>
      <w:pPr>
        <w:ind w:right="20"/>
        <w:spacing w:after="0" w:line="260" w:lineRule="auto"/>
        <w:rPr>
          <w:sz w:val="20"/>
          <w:szCs w:val="20"/>
          <w:color w:val="auto"/>
        </w:rPr>
      </w:pPr>
      <w:r>
        <w:rPr>
          <w:rFonts w:ascii="Arial" w:cs="Arial" w:eastAsia="Arial" w:hAnsi="Arial"/>
          <w:sz w:val="20"/>
          <w:szCs w:val="20"/>
          <w:color w:val="auto"/>
        </w:rPr>
        <w:t>are, when taken as a whole and in the good faith judgment of the Borrower, no less favorable to the Loan Parties than would be obtained in arm’s length transactions with a nonaffiliated third party;</w:t>
      </w:r>
    </w:p>
    <w:p>
      <w:pPr>
        <w:spacing w:after="0" w:line="177" w:lineRule="exact"/>
        <w:rPr>
          <w:sz w:val="20"/>
          <w:szCs w:val="20"/>
          <w:color w:val="auto"/>
        </w:rPr>
      </w:pPr>
    </w:p>
    <w:p>
      <w:pPr>
        <w:ind w:firstLine="1304"/>
        <w:spacing w:after="0" w:line="260" w:lineRule="auto"/>
        <w:tabs>
          <w:tab w:leader="none" w:pos="1944" w:val="left"/>
        </w:tabs>
        <w:numPr>
          <w:ilvl w:val="0"/>
          <w:numId w:val="129"/>
        </w:numPr>
        <w:rPr>
          <w:rFonts w:ascii="Arial" w:cs="Arial" w:eastAsia="Arial" w:hAnsi="Arial"/>
          <w:sz w:val="20"/>
          <w:szCs w:val="20"/>
          <w:color w:val="auto"/>
        </w:rPr>
      </w:pPr>
      <w:r>
        <w:rPr>
          <w:rFonts w:ascii="Arial" w:cs="Arial" w:eastAsia="Arial" w:hAnsi="Arial"/>
          <w:sz w:val="20"/>
          <w:szCs w:val="20"/>
          <w:color w:val="auto"/>
        </w:rPr>
        <w:t>Investments in the ordinary course of business consisting of endorsements of negotiable instruments for collection or deposit;</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129"/>
        </w:numPr>
        <w:rPr>
          <w:rFonts w:ascii="Arial" w:cs="Arial" w:eastAsia="Arial" w:hAnsi="Arial"/>
          <w:sz w:val="20"/>
          <w:szCs w:val="20"/>
          <w:color w:val="auto"/>
        </w:rPr>
      </w:pPr>
      <w:r>
        <w:rPr>
          <w:rFonts w:ascii="Arial" w:cs="Arial" w:eastAsia="Arial" w:hAnsi="Arial"/>
          <w:sz w:val="20"/>
          <w:szCs w:val="20"/>
          <w:color w:val="auto"/>
        </w:rPr>
        <w:t>Investments received in settlement of amounts due to any Group Member effected in the ordinary course of business or owing to such Group Member as a result of Insolvency Proceedings involving an Account Debtor or upon the foreclosure or enforcement of any Lien in favor of such Group Member;</w:t>
      </w:r>
    </w:p>
    <w:p>
      <w:pPr>
        <w:spacing w:after="0" w:line="185" w:lineRule="exact"/>
        <w:rPr>
          <w:rFonts w:ascii="Arial" w:cs="Arial" w:eastAsia="Arial" w:hAnsi="Arial"/>
          <w:sz w:val="20"/>
          <w:szCs w:val="20"/>
          <w:color w:val="auto"/>
        </w:rPr>
      </w:pPr>
    </w:p>
    <w:p>
      <w:pPr>
        <w:jc w:val="both"/>
        <w:ind w:firstLine="1304"/>
        <w:spacing w:after="0" w:line="263" w:lineRule="auto"/>
        <w:tabs>
          <w:tab w:leader="none" w:pos="194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Investments held by any Person as of the date such Person is acquired in connection with a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Investments were not made, in any case, by such Person in connection with, or in contemplation of, such Permitted Acquisition, and (B) with respect to any such Person which becomes a Subsidiary as a result of such Permitted Acquisition, such Subsidiary remains the only holder of such Investment;</w:t>
      </w:r>
    </w:p>
    <w:p>
      <w:pPr>
        <w:spacing w:after="0" w:line="176" w:lineRule="exact"/>
        <w:rPr>
          <w:rFonts w:ascii="Arial" w:cs="Arial" w:eastAsia="Arial" w:hAnsi="Arial"/>
          <w:sz w:val="19"/>
          <w:szCs w:val="19"/>
          <w:color w:val="auto"/>
        </w:rPr>
      </w:pPr>
    </w:p>
    <w:p>
      <w:pPr>
        <w:jc w:val="both"/>
        <w:ind w:firstLine="1304"/>
        <w:spacing w:after="0" w:line="250" w:lineRule="auto"/>
        <w:tabs>
          <w:tab w:leader="none" w:pos="1944" w:val="left"/>
        </w:tabs>
        <w:numPr>
          <w:ilvl w:val="0"/>
          <w:numId w:val="129"/>
        </w:numPr>
        <w:rPr>
          <w:rFonts w:ascii="Arial" w:cs="Arial" w:eastAsia="Arial" w:hAnsi="Arial"/>
          <w:sz w:val="20"/>
          <w:szCs w:val="20"/>
          <w:color w:val="auto"/>
        </w:rPr>
      </w:pPr>
      <w:r>
        <w:rPr>
          <w:rFonts w:ascii="Arial" w:cs="Arial" w:eastAsia="Arial" w:hAnsi="Arial"/>
          <w:sz w:val="20"/>
          <w:szCs w:val="20"/>
          <w:color w:val="auto"/>
        </w:rPr>
        <w:t xml:space="preserve">so long as no Event of Default exists at the time of such Investment or immediately after giving effect thereto, in addition to Investments otherwise expressly permitted by this </w:t>
      </w:r>
      <w:r>
        <w:rPr>
          <w:rFonts w:ascii="Arial" w:cs="Arial" w:eastAsia="Arial" w:hAnsi="Arial"/>
          <w:sz w:val="20"/>
          <w:szCs w:val="20"/>
          <w:u w:val="single" w:color="auto"/>
          <w:color w:val="auto"/>
        </w:rPr>
        <w:t>Section 7.8</w:t>
      </w:r>
      <w:r>
        <w:rPr>
          <w:rFonts w:ascii="Arial" w:cs="Arial" w:eastAsia="Arial" w:hAnsi="Arial"/>
          <w:sz w:val="20"/>
          <w:szCs w:val="20"/>
          <w:color w:val="auto"/>
        </w:rPr>
        <w:t>, any Investments in an aggregate amount not to exceed $2,500,000 in any fiscal year of the Group Members;</w:t>
      </w:r>
    </w:p>
    <w:p>
      <w:pPr>
        <w:spacing w:after="0" w:line="185" w:lineRule="exact"/>
        <w:rPr>
          <w:rFonts w:ascii="Arial" w:cs="Arial" w:eastAsia="Arial" w:hAnsi="Arial"/>
          <w:sz w:val="20"/>
          <w:szCs w:val="20"/>
          <w:color w:val="auto"/>
        </w:rPr>
      </w:pPr>
    </w:p>
    <w:p>
      <w:pPr>
        <w:ind w:right="20" w:firstLine="1304"/>
        <w:spacing w:after="0" w:line="287" w:lineRule="auto"/>
        <w:tabs>
          <w:tab w:leader="none" w:pos="194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deposits made to secure the performance of leases, licenses or contracts in the ordinary course of business, and other deposits made in connection with the incurrence of Liens permitted under </w:t>
      </w:r>
      <w:r>
        <w:rPr>
          <w:rFonts w:ascii="Arial" w:cs="Arial" w:eastAsia="Arial" w:hAnsi="Arial"/>
          <w:sz w:val="19"/>
          <w:szCs w:val="19"/>
          <w:u w:val="single" w:color="auto"/>
          <w:color w:val="auto"/>
        </w:rPr>
        <w:t>Section 7.3</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firstLine="1304"/>
        <w:spacing w:after="0" w:line="260" w:lineRule="auto"/>
        <w:tabs>
          <w:tab w:leader="none" w:pos="1944"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licensing or contribution of Intellectual Property pursuant to joint marketing or joint venture arrangements with other Persons in the ordinary course of business;</w:t>
      </w:r>
    </w:p>
    <w:p>
      <w:pPr>
        <w:spacing w:after="0" w:line="176" w:lineRule="exact"/>
        <w:rPr>
          <w:rFonts w:ascii="Arial" w:cs="Arial" w:eastAsia="Arial" w:hAnsi="Arial"/>
          <w:sz w:val="20"/>
          <w:szCs w:val="20"/>
          <w:color w:val="auto"/>
        </w:rPr>
      </w:pPr>
    </w:p>
    <w:p>
      <w:pPr>
        <w:jc w:val="both"/>
        <w:ind w:right="20" w:firstLine="1304"/>
        <w:spacing w:after="0" w:line="250" w:lineRule="auto"/>
        <w:tabs>
          <w:tab w:leader="none" w:pos="1944" w:val="left"/>
        </w:tabs>
        <w:numPr>
          <w:ilvl w:val="0"/>
          <w:numId w:val="129"/>
        </w:numPr>
        <w:rPr>
          <w:rFonts w:ascii="Arial" w:cs="Arial" w:eastAsia="Arial" w:hAnsi="Arial"/>
          <w:sz w:val="20"/>
          <w:szCs w:val="20"/>
          <w:color w:val="auto"/>
        </w:rPr>
      </w:pPr>
      <w:r>
        <w:rPr>
          <w:rFonts w:ascii="Arial" w:cs="Arial" w:eastAsia="Arial" w:hAnsi="Arial"/>
          <w:sz w:val="20"/>
          <w:szCs w:val="20"/>
          <w:color w:val="auto"/>
        </w:rPr>
        <w:t xml:space="preserve">promissory notes and other non-cash consideration received in connection with Dispositions permitted by </w:t>
      </w:r>
      <w:r>
        <w:rPr>
          <w:rFonts w:ascii="Arial" w:cs="Arial" w:eastAsia="Arial" w:hAnsi="Arial"/>
          <w:sz w:val="20"/>
          <w:szCs w:val="20"/>
          <w:u w:val="single" w:color="auto"/>
          <w:color w:val="auto"/>
        </w:rPr>
        <w:t>Section 7.5</w:t>
      </w:r>
      <w:r>
        <w:rPr>
          <w:rFonts w:ascii="Arial" w:cs="Arial" w:eastAsia="Arial" w:hAnsi="Arial"/>
          <w:sz w:val="20"/>
          <w:szCs w:val="20"/>
          <w:color w:val="auto"/>
        </w:rPr>
        <w:t>, to the extent not exceeding the limits specified therein with respect to the receipt of non-cash consideration in connection with such Dispositions;</w:t>
      </w:r>
    </w:p>
    <w:p>
      <w:pPr>
        <w:spacing w:after="0" w:line="185" w:lineRule="exact"/>
        <w:rPr>
          <w:rFonts w:ascii="Arial" w:cs="Arial" w:eastAsia="Arial" w:hAnsi="Arial"/>
          <w:sz w:val="20"/>
          <w:szCs w:val="20"/>
          <w:color w:val="auto"/>
        </w:rPr>
      </w:pPr>
    </w:p>
    <w:p>
      <w:pPr>
        <w:jc w:val="both"/>
        <w:ind w:firstLine="1304"/>
        <w:spacing w:after="0" w:line="282" w:lineRule="auto"/>
        <w:tabs>
          <w:tab w:leader="none" w:pos="194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purchases or other acquisitions by any Group Member of the Capital Stock in a Person that, upon the consummation thereof, will be a Subsidiary (including as a result of a merger or consolidation) or all or substantially all of the assets of, or assets constituting one or more business units of, any Person (each, a “</w:t>
      </w:r>
      <w:r>
        <w:rPr>
          <w:rFonts w:ascii="Arial" w:cs="Arial" w:eastAsia="Arial" w:hAnsi="Arial"/>
          <w:sz w:val="18"/>
          <w:szCs w:val="18"/>
          <w:b w:val="1"/>
          <w:bCs w:val="1"/>
          <w:i w:val="1"/>
          <w:iCs w:val="1"/>
          <w:color w:val="auto"/>
        </w:rPr>
        <w:t>Permitted Acquisition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each such purchase or other acquisition consummated pursuant to this </w:t>
      </w:r>
      <w:r>
        <w:rPr>
          <w:rFonts w:ascii="Arial" w:cs="Arial" w:eastAsia="Arial" w:hAnsi="Arial"/>
          <w:sz w:val="18"/>
          <w:szCs w:val="18"/>
          <w:u w:val="single" w:color="auto"/>
          <w:color w:val="auto"/>
        </w:rPr>
        <w:t>Section 7.8(n)</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firstLine="1952"/>
        <w:spacing w:after="0" w:line="250" w:lineRule="auto"/>
        <w:tabs>
          <w:tab w:leader="none" w:pos="2592" w:val="left"/>
        </w:tabs>
        <w:numPr>
          <w:ilvl w:val="1"/>
          <w:numId w:val="129"/>
        </w:numPr>
        <w:rPr>
          <w:rFonts w:ascii="Arial" w:cs="Arial" w:eastAsia="Arial" w:hAnsi="Arial"/>
          <w:sz w:val="20"/>
          <w:szCs w:val="20"/>
          <w:color w:val="auto"/>
        </w:rPr>
      </w:pPr>
      <w:r>
        <w:rPr>
          <w:rFonts w:ascii="Arial" w:cs="Arial" w:eastAsia="Arial" w:hAnsi="Arial"/>
          <w:sz w:val="20"/>
          <w:szCs w:val="20"/>
          <w:color w:val="auto"/>
        </w:rPr>
        <w:t xml:space="preserve">the newly-created or acquired Subsidiary (or assets acquired in connection with such asset sale) shall be (x) in the same or a related line of business as that conducted by the Borrower on the date hereof, or (y) in a business permitted by </w:t>
      </w:r>
      <w:r>
        <w:rPr>
          <w:rFonts w:ascii="Arial" w:cs="Arial" w:eastAsia="Arial" w:hAnsi="Arial"/>
          <w:sz w:val="20"/>
          <w:szCs w:val="20"/>
          <w:u w:val="single" w:color="auto"/>
          <w:color w:val="auto"/>
        </w:rPr>
        <w:t>Section 7.17</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firstLine="1952"/>
        <w:spacing w:after="0" w:line="260" w:lineRule="auto"/>
        <w:tabs>
          <w:tab w:leader="none" w:pos="2592" w:val="left"/>
        </w:tabs>
        <w:numPr>
          <w:ilvl w:val="1"/>
          <w:numId w:val="129"/>
        </w:numPr>
        <w:rPr>
          <w:rFonts w:ascii="Arial" w:cs="Arial" w:eastAsia="Arial" w:hAnsi="Arial"/>
          <w:sz w:val="20"/>
          <w:szCs w:val="20"/>
          <w:color w:val="auto"/>
        </w:rPr>
      </w:pPr>
      <w:r>
        <w:rPr>
          <w:rFonts w:ascii="Arial" w:cs="Arial" w:eastAsia="Arial" w:hAnsi="Arial"/>
          <w:sz w:val="20"/>
          <w:szCs w:val="20"/>
          <w:color w:val="auto"/>
        </w:rPr>
        <w:t>all transactions related to such purchase or acquisition shall be consummated in all material respects in accordance with all Requirements of Law;</w:t>
      </w:r>
    </w:p>
    <w:p>
      <w:pPr>
        <w:spacing w:after="0" w:line="176" w:lineRule="exact"/>
        <w:rPr>
          <w:rFonts w:ascii="Arial" w:cs="Arial" w:eastAsia="Arial" w:hAnsi="Arial"/>
          <w:sz w:val="20"/>
          <w:szCs w:val="20"/>
          <w:color w:val="auto"/>
        </w:rPr>
      </w:pPr>
    </w:p>
    <w:p>
      <w:pPr>
        <w:jc w:val="both"/>
        <w:ind w:firstLine="1952"/>
        <w:spacing w:after="0" w:line="246" w:lineRule="auto"/>
        <w:tabs>
          <w:tab w:leader="none" w:pos="2592" w:val="left"/>
        </w:tabs>
        <w:numPr>
          <w:ilvl w:val="1"/>
          <w:numId w:val="129"/>
        </w:numPr>
        <w:rPr>
          <w:rFonts w:ascii="Arial" w:cs="Arial" w:eastAsia="Arial" w:hAnsi="Arial"/>
          <w:sz w:val="20"/>
          <w:szCs w:val="20"/>
          <w:color w:val="auto"/>
        </w:rPr>
      </w:pPr>
      <w:r>
        <w:rPr>
          <w:rFonts w:ascii="Arial" w:cs="Arial" w:eastAsia="Arial" w:hAnsi="Arial"/>
          <w:sz w:val="20"/>
          <w:szCs w:val="20"/>
          <w:color w:val="auto"/>
        </w:rPr>
        <w:t>to the knowledge of any Loan Party, no Loan Party shall, as a result of or in connection with any such purchase or acquisition, assume or incur any direct or contingent liabilities (whether relating to environmental, tax, litigation or other matters) that, as of the date of such purchase or acquisition, could reasonably be expected to result in the existence or incurrence of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29" w:name="page130"/>
    <w:bookmarkEnd w:id="129"/>
    <w:p>
      <w:pPr>
        <w:ind w:firstLine="1952"/>
        <w:spacing w:after="0" w:line="260" w:lineRule="auto"/>
        <w:tabs>
          <w:tab w:leader="none" w:pos="2592"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Borrower shall give the Administrative Agent at least ten (10) Business Days’ prior written notice of any such purchase or acquisition;</w:t>
      </w:r>
    </w:p>
    <w:p>
      <w:pPr>
        <w:spacing w:after="0" w:line="176" w:lineRule="exact"/>
        <w:rPr>
          <w:rFonts w:ascii="Arial" w:cs="Arial" w:eastAsia="Arial" w:hAnsi="Arial"/>
          <w:sz w:val="20"/>
          <w:szCs w:val="20"/>
          <w:color w:val="auto"/>
        </w:rPr>
      </w:pPr>
    </w:p>
    <w:p>
      <w:pPr>
        <w:jc w:val="both"/>
        <w:ind w:firstLine="1952"/>
        <w:spacing w:after="0" w:line="250" w:lineRule="auto"/>
        <w:tabs>
          <w:tab w:leader="none" w:pos="2592"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Borrower shall provide to the Administrative Agent as soon as available but in any event not later than five (5) Business Days after the execution thereof, a copy of any executed purchase agreement or similar agreement with respect to any such purchase or acquisition;</w:t>
      </w:r>
    </w:p>
    <w:p>
      <w:pPr>
        <w:spacing w:after="0" w:line="185" w:lineRule="exact"/>
        <w:rPr>
          <w:rFonts w:ascii="Arial" w:cs="Arial" w:eastAsia="Arial" w:hAnsi="Arial"/>
          <w:sz w:val="20"/>
          <w:szCs w:val="20"/>
          <w:color w:val="auto"/>
        </w:rPr>
      </w:pPr>
    </w:p>
    <w:p>
      <w:pPr>
        <w:jc w:val="both"/>
        <w:ind w:firstLine="1952"/>
        <w:spacing w:after="0" w:line="246" w:lineRule="auto"/>
        <w:tabs>
          <w:tab w:leader="none" w:pos="2592"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any such newly-created or acquired Subsidiary, or the Loan Party that is the acquirer of assets in connection with an asset acquisition, shall comply or be prepared to comply with the requirements of </w:t>
      </w:r>
      <w:r>
        <w:rPr>
          <w:rFonts w:ascii="Arial" w:cs="Arial" w:eastAsia="Arial" w:hAnsi="Arial"/>
          <w:sz w:val="20"/>
          <w:szCs w:val="20"/>
          <w:u w:val="single" w:color="auto"/>
          <w:color w:val="auto"/>
        </w:rPr>
        <w:t>Section 6.12</w:t>
      </w:r>
      <w:r>
        <w:rPr>
          <w:rFonts w:ascii="Arial" w:cs="Arial" w:eastAsia="Arial" w:hAnsi="Arial"/>
          <w:sz w:val="20"/>
          <w:szCs w:val="20"/>
          <w:color w:val="auto"/>
        </w:rPr>
        <w:t xml:space="preserve">, except to the extent compliance with </w:t>
      </w:r>
      <w:r>
        <w:rPr>
          <w:rFonts w:ascii="Arial" w:cs="Arial" w:eastAsia="Arial" w:hAnsi="Arial"/>
          <w:sz w:val="20"/>
          <w:szCs w:val="20"/>
          <w:u w:val="single" w:color="auto"/>
          <w:color w:val="auto"/>
        </w:rPr>
        <w:t>Section 6.12</w:t>
      </w:r>
      <w:r>
        <w:rPr>
          <w:rFonts w:ascii="Arial" w:cs="Arial" w:eastAsia="Arial" w:hAnsi="Arial"/>
          <w:sz w:val="20"/>
          <w:szCs w:val="20"/>
          <w:color w:val="auto"/>
        </w:rPr>
        <w:t xml:space="preserve"> is prohibited by pre-existing Contractual Obligations or Requirements of Law binding on such Subsidiary or its properties;</w:t>
      </w:r>
    </w:p>
    <w:p>
      <w:pPr>
        <w:spacing w:after="0" w:line="191" w:lineRule="exact"/>
        <w:rPr>
          <w:rFonts w:ascii="Arial" w:cs="Arial" w:eastAsia="Arial" w:hAnsi="Arial"/>
          <w:sz w:val="20"/>
          <w:szCs w:val="20"/>
          <w:color w:val="auto"/>
        </w:rPr>
      </w:pPr>
    </w:p>
    <w:p>
      <w:pPr>
        <w:jc w:val="both"/>
        <w:ind w:firstLine="1952"/>
        <w:spacing w:after="0" w:line="256" w:lineRule="auto"/>
        <w:tabs>
          <w:tab w:leader="none" w:pos="2591"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(A) immediately before and immediately after giving effect to any such purchase or other acquisition, no Default or Event of Default shall have occurred and be continuing or would immediately result from such Permitted Acquisition (other than in connection with a Limited Condition Acquisition, in which case there shall be (x) no Default or Event of Default as of the LCA Test Date and (y) no Event of Default under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immediately before and immediately after giving effect to any such purchase or other acquisition) and (B) immediately after giving effect to such purchase or other acquisition, the Group Members shall be in compliance with each of the covenants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based upon financial statements delivered to the Administrative Agent which give effect, on a Pro Forma Basis, to such acquisition or other purchase (which shall be calculated in accordance with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in the case of a Limited Condition Acquisition);</w:t>
      </w:r>
    </w:p>
    <w:p>
      <w:pPr>
        <w:spacing w:after="0" w:line="184" w:lineRule="exact"/>
        <w:rPr>
          <w:rFonts w:ascii="Arial" w:cs="Arial" w:eastAsia="Arial" w:hAnsi="Arial"/>
          <w:sz w:val="19"/>
          <w:szCs w:val="19"/>
          <w:color w:val="auto"/>
        </w:rPr>
      </w:pPr>
    </w:p>
    <w:p>
      <w:pPr>
        <w:ind w:right="20" w:firstLine="1952"/>
        <w:spacing w:after="0" w:line="260" w:lineRule="auto"/>
        <w:tabs>
          <w:tab w:leader="none" w:pos="2592"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no Indebtedness is assumed or incurred in connection with any such purchase or acquisition other than Indebtedness permitted by the terms of </w:t>
      </w:r>
      <w:r>
        <w:rPr>
          <w:rFonts w:ascii="Arial" w:cs="Arial" w:eastAsia="Arial" w:hAnsi="Arial"/>
          <w:sz w:val="20"/>
          <w:szCs w:val="20"/>
          <w:u w:val="single" w:color="auto"/>
          <w:color w:val="auto"/>
        </w:rPr>
        <w:t>Section 7.2(j)</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2600" w:hanging="648"/>
        <w:spacing w:after="0"/>
        <w:tabs>
          <w:tab w:leader="none" w:pos="260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such purchase or acquisition shall not constitute an Unfriendly Acquisition;</w:t>
      </w:r>
    </w:p>
    <w:p>
      <w:pPr>
        <w:spacing w:after="0" w:line="215" w:lineRule="exact"/>
        <w:rPr>
          <w:rFonts w:ascii="Arial" w:cs="Arial" w:eastAsia="Arial" w:hAnsi="Arial"/>
          <w:sz w:val="20"/>
          <w:szCs w:val="20"/>
          <w:color w:val="auto"/>
        </w:rPr>
      </w:pPr>
    </w:p>
    <w:p>
      <w:pPr>
        <w:jc w:val="both"/>
        <w:ind w:firstLine="1952"/>
        <w:spacing w:after="0" w:line="271" w:lineRule="auto"/>
        <w:tabs>
          <w:tab w:leader="none" w:pos="259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(A) the aggregate amount of the consideration (excluding Capital Stock of the Borrower that is not Disqualified Stock, but including earn-out payments, seller debt payments or deferred purchase price payments unless repayable with Capital Stock of the Borrower that is not Disqualified Stock) paid by such Group Member in connection with (x) all particular Permitted Acquisitions consummated from and after the Closing Date and (y) all Restricted Payments permitted to be made pursuant to </w:t>
      </w:r>
      <w:r>
        <w:rPr>
          <w:rFonts w:ascii="Arial" w:cs="Arial" w:eastAsia="Arial" w:hAnsi="Arial"/>
          <w:sz w:val="18"/>
          <w:szCs w:val="18"/>
          <w:u w:val="single" w:color="auto"/>
          <w:color w:val="auto"/>
        </w:rPr>
        <w:t>Section 7.6(c)</w:t>
      </w:r>
      <w:r>
        <w:rPr>
          <w:rFonts w:ascii="Arial" w:cs="Arial" w:eastAsia="Arial" w:hAnsi="Arial"/>
          <w:sz w:val="18"/>
          <w:szCs w:val="18"/>
          <w:color w:val="auto"/>
        </w:rPr>
        <w:t xml:space="preserve"> from and after the Closing Date, shall not exceed (1) $25,000,000 in any fiscal year of the Group Members if the Consolidated Senior Leverage is greater than or equal to 2.00:1.00, (2) $50,000,000 in any fiscal year of the Group Members if the Consolidated Senior Leverage is less than equal to 2.00:1.00, in each case of the foregoing items (1) and (2), subject to </w:t>
      </w:r>
      <w:r>
        <w:rPr>
          <w:rFonts w:ascii="Arial" w:cs="Arial" w:eastAsia="Arial" w:hAnsi="Arial"/>
          <w:sz w:val="18"/>
          <w:szCs w:val="18"/>
          <w:u w:val="single" w:color="auto"/>
          <w:color w:val="auto"/>
        </w:rPr>
        <w:t>Section 1.4</w:t>
      </w:r>
      <w:r>
        <w:rPr>
          <w:rFonts w:ascii="Arial" w:cs="Arial" w:eastAsia="Arial" w:hAnsi="Arial"/>
          <w:sz w:val="18"/>
          <w:szCs w:val="18"/>
          <w:color w:val="auto"/>
        </w:rPr>
        <w:t>, calculated on a pro forma basis after giving effect to such Permitted Acquisition or Restricted Payment, as applicable, as for the most recent determination period for which financial statements are internally available and have been delivered to the Administrative Agent;</w:t>
      </w:r>
    </w:p>
    <w:p>
      <w:pPr>
        <w:spacing w:after="0" w:line="173" w:lineRule="exact"/>
        <w:rPr>
          <w:rFonts w:ascii="Arial" w:cs="Arial" w:eastAsia="Arial" w:hAnsi="Arial"/>
          <w:sz w:val="18"/>
          <w:szCs w:val="18"/>
          <w:color w:val="auto"/>
        </w:rPr>
      </w:pPr>
    </w:p>
    <w:p>
      <w:pPr>
        <w:jc w:val="both"/>
        <w:ind w:firstLine="1952"/>
        <w:spacing w:after="0" w:line="278" w:lineRule="auto"/>
        <w:tabs>
          <w:tab w:leader="none" w:pos="259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such purchase or acquisition is of a Person organized under the laws of the United States and engaged in business activities primarily conducted within the United States other than Permitted Acquisitions for which the aggregate amount of the consideration (excluding Capital Stock of the Borrower that is not Disqualified Stock, but including earn-out payment, seller debt or deferred purchase price payments unless repaid with Capital Stock of the Borrower that is not Disqualified Stock) paid by the Group Members is less than $10,000,000; and</w:t>
      </w:r>
    </w:p>
    <w:p>
      <w:pPr>
        <w:spacing w:after="0" w:line="164" w:lineRule="exact"/>
        <w:rPr>
          <w:rFonts w:ascii="Arial" w:cs="Arial" w:eastAsia="Arial" w:hAnsi="Arial"/>
          <w:sz w:val="18"/>
          <w:szCs w:val="18"/>
          <w:color w:val="auto"/>
        </w:rPr>
      </w:pPr>
    </w:p>
    <w:p>
      <w:pPr>
        <w:ind w:firstLine="1952"/>
        <w:spacing w:after="0" w:line="260" w:lineRule="auto"/>
        <w:tabs>
          <w:tab w:leader="none" w:pos="2591"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Borrower shall have delivered to the Administrative Agent, at least five Business Days prior to the date on which any such purchase or other acquisition is to be consummated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30" w:name="page131"/>
    <w:bookmarkEnd w:id="130"/>
    <w:p>
      <w:pPr>
        <w:jc w:val="both"/>
        <w:spacing w:after="0" w:line="246" w:lineRule="auto"/>
        <w:rPr>
          <w:sz w:val="20"/>
          <w:szCs w:val="20"/>
          <w:color w:val="auto"/>
        </w:rPr>
      </w:pPr>
      <w:r>
        <w:rPr>
          <w:rFonts w:ascii="Arial" w:cs="Arial" w:eastAsia="Arial" w:hAnsi="Arial"/>
          <w:sz w:val="20"/>
          <w:szCs w:val="20"/>
          <w:color w:val="auto"/>
        </w:rPr>
        <w:t>(or such later date as is agreed by the Administrative Agent in its sole discretion), a certificate of a Responsible Officer of the Borrower, in form and substance reasonably satisfactory to the Administrative Agent, certifying that all of the requirements set forth in this definition have been satisfied or will be satisfied on or prior to the consummation of such purchase or other acquisition;</w:t>
      </w:r>
    </w:p>
    <w:p>
      <w:pPr>
        <w:spacing w:after="0" w:line="191" w:lineRule="exact"/>
        <w:rPr>
          <w:sz w:val="20"/>
          <w:szCs w:val="20"/>
          <w:color w:val="auto"/>
        </w:rPr>
      </w:pPr>
    </w:p>
    <w:p>
      <w:pPr>
        <w:ind w:left="1960" w:hanging="656"/>
        <w:spacing w:after="0"/>
        <w:tabs>
          <w:tab w:leader="none" w:pos="1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Investments consisting of the Capital Stock of any Group Member owned by any Group Member;</w:t>
      </w:r>
    </w:p>
    <w:p>
      <w:pPr>
        <w:spacing w:after="0" w:line="238" w:lineRule="exact"/>
        <w:rPr>
          <w:rFonts w:ascii="Arial" w:cs="Arial" w:eastAsia="Arial" w:hAnsi="Arial"/>
          <w:sz w:val="18"/>
          <w:szCs w:val="18"/>
          <w:color w:val="auto"/>
        </w:rPr>
      </w:pPr>
    </w:p>
    <w:p>
      <w:pPr>
        <w:jc w:val="both"/>
        <w:ind w:firstLine="1304"/>
        <w:spacing w:after="0" w:line="246" w:lineRule="auto"/>
        <w:tabs>
          <w:tab w:leader="none" w:pos="1944"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Investments consisting of advances to employees, officers or directors relating to the purchase of equity securities of Borrower or its Subsidiaries pursuant to employee stock purchase plans or agreement approved by the board of directors or management of the applicable Group Members in an aggregate amount not to exceed $250,000 in any fiscal year of the Group Members;</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Consolidated Capital Expenditures including capital expenditures excluded from the definition</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thereof; and</w:t>
      </w:r>
    </w:p>
    <w:p>
      <w:pPr>
        <w:spacing w:after="0" w:line="199" w:lineRule="exact"/>
        <w:rPr>
          <w:rFonts w:ascii="Arial" w:cs="Arial" w:eastAsia="Arial" w:hAnsi="Arial"/>
          <w:sz w:val="19"/>
          <w:szCs w:val="19"/>
          <w:color w:val="auto"/>
        </w:rPr>
      </w:pPr>
    </w:p>
    <w:p>
      <w:pPr>
        <w:jc w:val="both"/>
        <w:ind w:firstLine="1304"/>
        <w:spacing w:after="0" w:line="246" w:lineRule="auto"/>
        <w:tabs>
          <w:tab w:leader="none" w:pos="1944"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Investments consisting of loans made in lieu of Restricted Payments otherwise permitted to be made as Restricted Payments pursuant to </w:t>
      </w:r>
      <w:r>
        <w:rPr>
          <w:rFonts w:ascii="Arial" w:cs="Arial" w:eastAsia="Arial" w:hAnsi="Arial"/>
          <w:sz w:val="20"/>
          <w:szCs w:val="20"/>
          <w:u w:val="single" w:color="auto"/>
          <w:color w:val="auto"/>
        </w:rPr>
        <w:t>Section 7.6</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the principal amount of any such loans shall reduce dollar-for-dollar the amounts that would otherwise be permitted to be paid for such purpose in the form of Restricted Payments pursuant to such </w:t>
      </w:r>
      <w:r>
        <w:rPr>
          <w:rFonts w:ascii="Arial" w:cs="Arial" w:eastAsia="Arial" w:hAnsi="Arial"/>
          <w:sz w:val="20"/>
          <w:szCs w:val="20"/>
          <w:u w:val="single" w:color="auto"/>
          <w:color w:val="auto"/>
        </w:rPr>
        <w:t>Section 7.6</w:t>
      </w:r>
      <w:r>
        <w:rPr>
          <w:rFonts w:ascii="Arial" w:cs="Arial" w:eastAsia="Arial" w:hAnsi="Arial"/>
          <w:sz w:val="20"/>
          <w:szCs w:val="20"/>
          <w:color w:val="auto"/>
        </w:rPr>
        <w:t>, if applicable.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anything herein to the contrary, no Group Member shall consummate an Unfriendly Acquisition.</w:t>
      </w:r>
    </w:p>
    <w:p>
      <w:pPr>
        <w:spacing w:after="0" w:line="2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7.9 ERISA</w:t>
      </w:r>
      <w:r>
        <w:rPr>
          <w:rFonts w:ascii="Arial" w:cs="Arial" w:eastAsia="Arial" w:hAnsi="Arial"/>
          <w:sz w:val="18"/>
          <w:szCs w:val="18"/>
          <w:color w:val="auto"/>
        </w:rPr>
        <w:t>. The Borrower shall not, and shall not permit any of its ERISA Affiliates to: (a) terminate any</w:t>
      </w:r>
      <w:r>
        <w:rPr>
          <w:rFonts w:ascii="Arial" w:cs="Arial" w:eastAsia="Arial" w:hAnsi="Arial"/>
          <w:sz w:val="18"/>
          <w:szCs w:val="18"/>
          <w:b w:val="1"/>
          <w:bCs w:val="1"/>
          <w:color w:val="auto"/>
        </w:rPr>
        <w:t xml:space="preserve"> </w:t>
      </w:r>
      <w:r>
        <w:rPr>
          <w:rFonts w:ascii="Arial" w:cs="Arial" w:eastAsia="Arial" w:hAnsi="Arial"/>
          <w:sz w:val="18"/>
          <w:szCs w:val="18"/>
          <w:color w:val="auto"/>
        </w:rPr>
        <w:t>Pension Plan so as to result in any material liability to the Borrower or any ERISA Affiliate, (b) permit to exist any ERISA Event, or any other event or condition, which presents the risk of a material liability to any ERISA Affiliate, (c) make a complete or partial withdrawal (within the meaning of ERISA Section 4201) from any Multiemployer Plan so as to result in any material liability to the Borrower or any ERISA Affiliate, (d) except as required by law, enter into any new Pension Plan or Multiemployer Plan or modify any existing Pension Plan or Multiemployer Plan so as to increase its obligations thereunder which could be reasonably likely to result in material liability to any ERISA Affiliate or permit the present value of all nonforfeitable accrued benefits under any Plan (using the actuarial assumptions utilized by the PBGC upon termination of a Plan) materially to exceed the fair market value of Plan assets allocable to such benefits, all determined as of the most recent valuation date for each such Plan, or (e) engage in any transaction which would cause any obligation, or action taken or to be taken, hereunder (or the exercise by the Administrative Agent or any Lender of any of its rights under this Agreement, any Note or the other Loan Documents) to be a non-exempt (under a statutory or administrative class exemption) prohibited transaction under Section 406 of ERISA or Section 4975 of the Code with respect to a Plan.</w:t>
      </w:r>
    </w:p>
    <w:p>
      <w:pPr>
        <w:spacing w:after="0" w:line="1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7.10 Optional Payments and Modifications of Certain Preferred Stock and Debt Instruments</w:t>
      </w:r>
      <w:r>
        <w:rPr>
          <w:rFonts w:ascii="Arial" w:cs="Arial" w:eastAsia="Arial" w:hAnsi="Arial"/>
          <w:sz w:val="18"/>
          <w:szCs w:val="18"/>
          <w:color w:val="auto"/>
        </w:rPr>
        <w:t>. (a) Amend,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modify, waive or otherwise change, or consent or agree to any amendment, modification, waiver or other change to, any of the terms of the Preferred Stock (i) that would move to an earlier date the scheduled redemption date or increase the amount of any scheduled redemption payment or increase the rate or move to an earlier date any date for payment of dividends thereon or (ii) that could reasonably be expected to be otherwise materially adverse to any Lender or any other Secured Party; or (b) other than pursuant to any refinancing or replacement of Indebtedness permitted by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amend, modify, waive or otherwise change, or consent or agree to any amendment, modification, waiver or other change to, any of the terms of any Indebtedness permitted by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(other than Indebtedness pursuant to any Loan Document) that would shorten the maturity or increase the amount of any payment of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31" w:name="page132"/>
    <w:bookmarkEnd w:id="131"/>
    <w:p>
      <w:pPr>
        <w:jc w:val="both"/>
        <w:ind w:right="20"/>
        <w:spacing w:after="0" w:line="260" w:lineRule="auto"/>
        <w:rPr>
          <w:sz w:val="20"/>
          <w:szCs w:val="20"/>
          <w:color w:val="auto"/>
        </w:rPr>
      </w:pPr>
      <w:r>
        <w:rPr>
          <w:rFonts w:ascii="Arial" w:cs="Arial" w:eastAsia="Arial" w:hAnsi="Arial"/>
          <w:sz w:val="20"/>
          <w:szCs w:val="20"/>
          <w:color w:val="auto"/>
        </w:rPr>
        <w:t>thereof or the rate of interest thereon or shorten any date for payment of interest thereon or that would be materially adverse to any Lender or any other Secured Party.</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7.11 Transactions with Affiliates</w:t>
      </w:r>
      <w:r>
        <w:rPr>
          <w:rFonts w:ascii="Arial" w:cs="Arial" w:eastAsia="Arial" w:hAnsi="Arial"/>
          <w:sz w:val="18"/>
          <w:szCs w:val="18"/>
          <w:color w:val="auto"/>
        </w:rPr>
        <w:t>. Enter into any transaction, including any purchase, sale, lease or exchange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property, the rendering of any service or the payment of any management, advisory or similar fees, with any Affiliate (other than any other Loan Party) unless such transaction (a) (i) is otherwise permitted under this Agreement, (ii) in the ordinary course of business of the relevant Group Member, and (iii) upon fair and reasonable terms no less favorable to the relevant Group Member than it would obtain in a comparable arm’s length transaction with a Person that is not an Affiliate, (b) is a Restricted Payment permitted by </w:t>
      </w:r>
      <w:r>
        <w:rPr>
          <w:rFonts w:ascii="Arial" w:cs="Arial" w:eastAsia="Arial" w:hAnsi="Arial"/>
          <w:sz w:val="18"/>
          <w:szCs w:val="18"/>
          <w:u w:val="single" w:color="auto"/>
          <w:color w:val="auto"/>
        </w:rPr>
        <w:t>Section 7.6</w:t>
      </w:r>
      <w:r>
        <w:rPr>
          <w:rFonts w:ascii="Arial" w:cs="Arial" w:eastAsia="Arial" w:hAnsi="Arial"/>
          <w:sz w:val="18"/>
          <w:szCs w:val="18"/>
          <w:color w:val="auto"/>
        </w:rPr>
        <w:t>, (c) relates to reasonable and customary indemnification arrangements, employee benefits, compensation arrangements (including equity-based compensation and bonuses), and reimbursement of expenses of employees, consultants, officers, and directors, in each case, approved by the board of directors or management of the Group Members, or (d) is a transaction relating to the issuance of equity (other than Disqualified Stock).</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7.12 Sale Leaseback Transactions</w:t>
      </w:r>
      <w:r>
        <w:rPr>
          <w:rFonts w:ascii="Arial" w:cs="Arial" w:eastAsia="Arial" w:hAnsi="Arial"/>
          <w:sz w:val="20"/>
          <w:szCs w:val="20"/>
          <w:color w:val="auto"/>
        </w:rPr>
        <w:t>. Enter into any Sale Leaseback Transaction, except in connection with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transactions that would be permitted under </w:t>
      </w:r>
      <w:r>
        <w:rPr>
          <w:rFonts w:ascii="Arial" w:cs="Arial" w:eastAsia="Arial" w:hAnsi="Arial"/>
          <w:sz w:val="20"/>
          <w:szCs w:val="20"/>
          <w:u w:val="single" w:color="auto"/>
          <w:color w:val="auto"/>
        </w:rPr>
        <w:t>Sections 7.2(e)</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7.3(g)</w:t>
      </w:r>
      <w:r>
        <w:rPr>
          <w:rFonts w:ascii="Arial" w:cs="Arial" w:eastAsia="Arial" w:hAnsi="Arial"/>
          <w:sz w:val="20"/>
          <w:szCs w:val="20"/>
          <w:color w:val="auto"/>
        </w:rPr>
        <w:t>.</w:t>
      </w:r>
    </w:p>
    <w:p>
      <w:pPr>
        <w:spacing w:after="0" w:line="16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7.13 Swap Agreements</w:t>
      </w:r>
      <w:r>
        <w:rPr>
          <w:rFonts w:ascii="Arial" w:cs="Arial" w:eastAsia="Arial" w:hAnsi="Arial"/>
          <w:sz w:val="19"/>
          <w:szCs w:val="19"/>
          <w:color w:val="auto"/>
        </w:rPr>
        <w:t>. Enter into any Swap Agreement, except Specified Swap Agreements which are entered</w:t>
      </w:r>
      <w:r>
        <w:rPr>
          <w:rFonts w:ascii="Arial" w:cs="Arial" w:eastAsia="Arial" w:hAnsi="Arial"/>
          <w:sz w:val="19"/>
          <w:szCs w:val="19"/>
          <w:b w:val="1"/>
          <w:bCs w:val="1"/>
          <w:color w:val="auto"/>
        </w:rPr>
        <w:t xml:space="preserve"> </w:t>
      </w:r>
      <w:r>
        <w:rPr>
          <w:rFonts w:ascii="Arial" w:cs="Arial" w:eastAsia="Arial" w:hAnsi="Arial"/>
          <w:sz w:val="19"/>
          <w:szCs w:val="19"/>
          <w:color w:val="auto"/>
        </w:rPr>
        <w:t>into by a Group Member to (a) hedge or mitigate risks to which such Group Member has actual exposure, or (b) effectively cap, collar or exchange interest rates (from fixed to floating rates, from one floating rate to another floating rate or otherwise) with respect to any interest-bearing liability or investment of such Group Member.</w:t>
      </w:r>
    </w:p>
    <w:p>
      <w:pPr>
        <w:spacing w:after="0" w:line="16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7.14 Accounting Changes</w:t>
      </w:r>
      <w:r>
        <w:rPr>
          <w:rFonts w:ascii="Arial" w:cs="Arial" w:eastAsia="Arial" w:hAnsi="Arial"/>
          <w:sz w:val="20"/>
          <w:szCs w:val="20"/>
          <w:color w:val="auto"/>
        </w:rPr>
        <w:t>. Make any change in its (a) accounting policies or reporting practices, except as</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or permitted under GAAP, or (b) fiscal year.</w:t>
      </w:r>
    </w:p>
    <w:p>
      <w:pPr>
        <w:spacing w:after="0" w:line="16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b w:val="1"/>
          <w:bCs w:val="1"/>
          <w:color w:val="auto"/>
        </w:rPr>
        <w:t>7.15 Negative Pledge Clauses</w:t>
      </w:r>
      <w:r>
        <w:rPr>
          <w:rFonts w:ascii="Arial" w:cs="Arial" w:eastAsia="Arial" w:hAnsi="Arial"/>
          <w:sz w:val="16"/>
          <w:szCs w:val="16"/>
          <w:color w:val="auto"/>
        </w:rPr>
        <w:t>. Enter into or suffer to exist or become effective any agreement that prohibits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limits the ability of any Loan Party to create, incur, assume or suffer to exist any Lien upon any of its property or revenues,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(c) customary restrictions on the assignment of leases, licenses and other agreements, (d) any agreement in effect at the time any Subsidiary becomes a Subsidiary of a Loan Party, so long as such agreement was not entered into solely in contemplation of such Person becoming a Subsidiary or, in any such case, that is set forth in any agreement evidencing any amendments, restatements, supplements, modifications, extensions, renewals and replacements of the foregoing, so long as such amendment, restatement, supplement, modification, extension, renewal or replacement applies only to such Subsidiary and does not otherwise expand in any material respect the scope of any restriction or condition contained therein, and (e) any restriction pursuant to any document, agreement or instrument governing or relating to any Lien permitted under </w:t>
      </w:r>
      <w:r>
        <w:rPr>
          <w:rFonts w:ascii="Arial" w:cs="Arial" w:eastAsia="Arial" w:hAnsi="Arial"/>
          <w:sz w:val="16"/>
          <w:szCs w:val="16"/>
          <w:u w:val="single" w:color="auto"/>
          <w:color w:val="auto"/>
        </w:rPr>
        <w:t>Sections 7.3(c</w:t>
      </w:r>
      <w:r>
        <w:rPr>
          <w:rFonts w:ascii="Arial" w:cs="Arial" w:eastAsia="Arial" w:hAnsi="Arial"/>
          <w:sz w:val="16"/>
          <w:szCs w:val="16"/>
          <w:color w:val="auto"/>
        </w:rPr>
        <w:t>)</w:t>
      </w:r>
      <w:r>
        <w:rPr>
          <w:rFonts w:ascii="Arial" w:cs="Arial" w:eastAsia="Arial" w:hAnsi="Arial"/>
          <w:sz w:val="16"/>
          <w:szCs w:val="16"/>
          <w:u w:val="single" w:color="auto"/>
          <w:color w:val="auto"/>
        </w:rPr>
        <w:t>, (d), (f), (g), (l), (m), (n), (o),</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w:t>
      </w:r>
      <w:r>
        <w:rPr>
          <w:rFonts w:ascii="Arial" w:cs="Arial" w:eastAsia="Arial" w:hAnsi="Arial"/>
          <w:sz w:val="16"/>
          <w:szCs w:val="16"/>
          <w:color w:val="auto"/>
        </w:rPr>
        <w:t xml:space="preserve"> or any agreement or option to Dispose any asset of any Group Member, the Disposition of which is permitted by any other provision of this Agreements (in each case,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relates only to the assets or property subject to such Lien or being Disposed).</w:t>
      </w:r>
    </w:p>
    <w:p>
      <w:pPr>
        <w:spacing w:after="0" w:line="37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7.16 Clauses Restricting Subsidiary Distributions</w:t>
      </w:r>
      <w:r>
        <w:rPr>
          <w:rFonts w:ascii="Arial" w:cs="Arial" w:eastAsia="Arial" w:hAnsi="Arial"/>
          <w:sz w:val="20"/>
          <w:szCs w:val="20"/>
          <w:color w:val="auto"/>
        </w:rPr>
        <w:t>. Enter into or suffer to exist or become effective any</w:t>
      </w:r>
      <w:r>
        <w:rPr>
          <w:rFonts w:ascii="Arial" w:cs="Arial" w:eastAsia="Arial" w:hAnsi="Arial"/>
          <w:sz w:val="20"/>
          <w:szCs w:val="20"/>
          <w:b w:val="1"/>
          <w:bCs w:val="1"/>
          <w:color w:val="auto"/>
        </w:rPr>
        <w:t xml:space="preserve"> </w:t>
      </w:r>
      <w:r>
        <w:rPr>
          <w:rFonts w:ascii="Arial" w:cs="Arial" w:eastAsia="Arial" w:hAnsi="Arial"/>
          <w:sz w:val="20"/>
          <w:szCs w:val="20"/>
          <w:color w:val="auto"/>
        </w:rPr>
        <w:t>consensual encumbrance or restriction on the ability of any Subsidiary of the Borrower to (a) make Restricted Payments in respect of any Capital Stock of such Subsidiary held by, or to pay any Indebtedness owed to, any other Group Member, (b) make loans or advances to, or other Investments in, any other Group Member, or (c) transfer any of its assets to any other Group Member, except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32" w:name="page133"/>
    <w:bookmarkEnd w:id="132"/>
    <w:p>
      <w:pPr>
        <w:jc w:val="both"/>
        <w:spacing w:after="0" w:line="268" w:lineRule="auto"/>
        <w:rPr>
          <w:sz w:val="20"/>
          <w:szCs w:val="20"/>
          <w:color w:val="auto"/>
        </w:rPr>
      </w:pPr>
      <w:r>
        <w:rPr>
          <w:rFonts w:ascii="Arial" w:cs="Arial" w:eastAsia="Arial" w:hAnsi="Arial"/>
          <w:sz w:val="18"/>
          <w:szCs w:val="18"/>
          <w:color w:val="auto"/>
        </w:rPr>
        <w:t xml:space="preserve">encumbrances or restrictions existing under or by reason of (i) any restrictions existing under the Loan Documents, (ii) any restrictions with respect to a Subsidiary imposed pursuant to an agreement that has been entered into in connection with a Disposition permitted hereby of all or substantially all of the Capital Stock or assets of such Subsidiary, (iii) customary restrictions on the assignment of leases, licenses and other agreements, (iv) restrictions imposed by any agreement relating to purchase money liens or Capital Lease Obligations otherwise permitted hereby which restrictions are only effective against the assets financed thereby, (v) any agreement in effect at the time any Subsidiary becomes a Subsidiary of a Borrower, so long as such agreement applies only to such Subsidiary, was not entered into solely in contemplation of such Person becoming a Subsidiary or, in each case that is set forth in any agreement evidencing any amendments, restatements, supplements, modifications, extensions, renewals and replacements of the foregoing, so long as such amendment, restatement, supplement, modification, extension, renewal or replacement is not as a whole materially less favorable to such Subsidiary, (vi) customary provisions in partnership agreements, limited liability company organizational governance documents, asset sale and stock sale agreements and other similar agreements entered into in the ordinary course of business that restrict the transfer of ownership interests in such partnership, limited liability company or similar person, (vii) restrictions on the transfer of any asset pending the close of the sale of such asset and customary restrictions contained in purchase agreements and acquisition agreements (including by way of merger, acquisition or consolidation), to the extent in effect pending the consummation of such transaction, (viii) customary net worth provisions or similar financial maintenance provisions contained in real property leases entered into by a Foreign Subsidiary, so long as the Borrower has determined in good faith that such net worth provisions could not reasonably be expected to impair the ability of the Group Members to meet their ongoing obligations under the Loan Documents, (ix) applicable law, (x) restrictions on cash or other deposits or net worth imposed under agreements entered into in the ordinary course of business, (xi) provisions in joint venture agreements and other similar agreements (including equity holder agreements) relating to such joint venture or its members or entered into in the ordinary course of business or (xii) any restriction pursuant to any document, agreement or instrument governing or relating to any Lien permitted under </w:t>
      </w:r>
      <w:r>
        <w:rPr>
          <w:rFonts w:ascii="Arial" w:cs="Arial" w:eastAsia="Arial" w:hAnsi="Arial"/>
          <w:sz w:val="18"/>
          <w:szCs w:val="18"/>
          <w:u w:val="single" w:color="auto"/>
          <w:color w:val="auto"/>
        </w:rPr>
        <w:t>Sections 7.3(c</w:t>
      </w:r>
      <w:r>
        <w:rPr>
          <w:rFonts w:ascii="Arial" w:cs="Arial" w:eastAsia="Arial" w:hAnsi="Arial"/>
          <w:sz w:val="18"/>
          <w:szCs w:val="18"/>
          <w:color w:val="auto"/>
        </w:rPr>
        <w:t>)</w:t>
      </w:r>
      <w:r>
        <w:rPr>
          <w:rFonts w:ascii="Arial" w:cs="Arial" w:eastAsia="Arial" w:hAnsi="Arial"/>
          <w:sz w:val="18"/>
          <w:szCs w:val="18"/>
          <w:u w:val="single" w:color="auto"/>
          <w:color w:val="auto"/>
        </w:rPr>
        <w:t>, (d), (f), (g), (l), (m), (n), (o),</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restriction relates only to the assets or property subject to such Lien or being Disposed).</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7.17 Lines of Business</w:t>
      </w:r>
      <w:r>
        <w:rPr>
          <w:rFonts w:ascii="Arial" w:cs="Arial" w:eastAsia="Arial" w:hAnsi="Arial"/>
          <w:sz w:val="20"/>
          <w:szCs w:val="20"/>
          <w:color w:val="auto"/>
        </w:rPr>
        <w:t>. Enter into any business, either directly or through any Subsidiary, except for those</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businesses in which the Group Members are engaged on the date of this Agreement or that are reasonably related, ancillary, complementary or incidental thereto and reasonable extension thereof.</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7.18 Designation of other Indebtedness</w:t>
      </w:r>
      <w:r>
        <w:rPr>
          <w:rFonts w:ascii="Arial" w:cs="Arial" w:eastAsia="Arial" w:hAnsi="Arial"/>
          <w:sz w:val="20"/>
          <w:szCs w:val="20"/>
          <w:color w:val="auto"/>
        </w:rPr>
        <w:t>. Designate any Indebtedness or indebtedness other than the</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as “Designated Senior Indebtedness” or a similar concept thereto, if applicable, except to the extent otherwise permitted hereunder.</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7.19</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7.20 Amendments to Operating Documents and Material Contracts</w:t>
      </w:r>
      <w:r>
        <w:rPr>
          <w:rFonts w:ascii="Arial" w:cs="Arial" w:eastAsia="Arial" w:hAnsi="Arial"/>
          <w:sz w:val="20"/>
          <w:szCs w:val="20"/>
          <w:color w:val="auto"/>
        </w:rPr>
        <w:t>. (a) Amend or permit any amendments</w:t>
      </w:r>
      <w:r>
        <w:rPr>
          <w:rFonts w:ascii="Arial" w:cs="Arial" w:eastAsia="Arial" w:hAnsi="Arial"/>
          <w:sz w:val="20"/>
          <w:szCs w:val="20"/>
          <w:b w:val="1"/>
          <w:bCs w:val="1"/>
          <w:color w:val="auto"/>
        </w:rPr>
        <w:t xml:space="preserve"> </w:t>
      </w:r>
      <w:r>
        <w:rPr>
          <w:rFonts w:ascii="Arial" w:cs="Arial" w:eastAsia="Arial" w:hAnsi="Arial"/>
          <w:sz w:val="20"/>
          <w:szCs w:val="20"/>
          <w:color w:val="auto"/>
        </w:rPr>
        <w:t>to any Loan Party’s organizational documents if such amendment, termination, or waiver would be materially adverse to the Administrative Agent or the Lenders; or (b) amend or permit any amendments to, or terminate or waive any provision of, any material Contractual Obligation if such amendment, termination, or waiver would reasonably be expected to result in a Material Adverse Effect.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7.21 Use of Proceeds</w:t>
      </w:r>
      <w:r>
        <w:rPr>
          <w:rFonts w:ascii="Arial" w:cs="Arial" w:eastAsia="Arial" w:hAnsi="Arial"/>
          <w:sz w:val="20"/>
          <w:szCs w:val="20"/>
          <w:color w:val="auto"/>
        </w:rPr>
        <w:t>. Use the proceeds of any Loan or extension of credit hereunder, whether directly or</w:t>
      </w:r>
      <w:r>
        <w:rPr>
          <w:rFonts w:ascii="Arial" w:cs="Arial" w:eastAsia="Arial" w:hAnsi="Arial"/>
          <w:sz w:val="20"/>
          <w:szCs w:val="20"/>
          <w:b w:val="1"/>
          <w:bCs w:val="1"/>
          <w:color w:val="auto"/>
        </w:rPr>
        <w:t xml:space="preserve"> </w:t>
      </w:r>
      <w:r>
        <w:rPr>
          <w:rFonts w:ascii="Arial" w:cs="Arial" w:eastAsia="Arial" w:hAnsi="Arial"/>
          <w:sz w:val="20"/>
          <w:szCs w:val="20"/>
          <w:color w:val="auto"/>
        </w:rPr>
        <w:t>indirectly, and whether immediately, incidentally or ultimately, (a) to purchase or carry margin stock (within the meaning of Regulation U of the Board) or to extend credit to others for the purpose of purchasing or carrying margin stock or to refund Indebtedness originally incurred for such purpose, in each case in violation of, or for a purpose which violates, or would be inconsistent with, Regulation T, U or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33" w:name="page134"/>
    <w:bookmarkEnd w:id="133"/>
    <w:p>
      <w:pPr>
        <w:jc w:val="both"/>
        <w:spacing w:after="0" w:line="257" w:lineRule="auto"/>
        <w:rPr>
          <w:sz w:val="20"/>
          <w:szCs w:val="20"/>
          <w:color w:val="auto"/>
        </w:rPr>
      </w:pPr>
      <w:r>
        <w:rPr>
          <w:rFonts w:ascii="Arial" w:cs="Arial" w:eastAsia="Arial" w:hAnsi="Arial"/>
          <w:sz w:val="19"/>
          <w:szCs w:val="19"/>
          <w:color w:val="auto"/>
        </w:rPr>
        <w:t>of the Board; (b) to finance an Unfriendly Acquisition; (c)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Issuing Lender, Swingline Lender, or otherwise) of Sanctions (or lend, contribute or otherwise make available such proceeds to any Subsidiary, joint venture partner or other individual or entity in violation of the foregoing); or (d) for any purpose which would breach the United States Foreign Corrupt Practices Act of 1977, the UK Bribery Act 2010, or other similar legislation in other jurisdictions.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7.22</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7.23 Anti-Terrorism Laws</w:t>
      </w:r>
      <w:r>
        <w:rPr>
          <w:rFonts w:ascii="Arial" w:cs="Arial" w:eastAsia="Arial" w:hAnsi="Arial"/>
          <w:sz w:val="18"/>
          <w:szCs w:val="18"/>
          <w:color w:val="auto"/>
        </w:rPr>
        <w:t>. Conduct, deal in or engage in or permit any Affiliate or agent of any Loan Party</w:t>
      </w:r>
      <w:r>
        <w:rPr>
          <w:rFonts w:ascii="Arial" w:cs="Arial" w:eastAsia="Arial" w:hAnsi="Arial"/>
          <w:sz w:val="18"/>
          <w:szCs w:val="18"/>
          <w:b w:val="1"/>
          <w:bCs w:val="1"/>
          <w:color w:val="auto"/>
        </w:rPr>
        <w:t xml:space="preserve"> </w:t>
      </w:r>
      <w:r>
        <w:rPr>
          <w:rFonts w:ascii="Arial" w:cs="Arial" w:eastAsia="Arial" w:hAnsi="Arial"/>
          <w:sz w:val="18"/>
          <w:szCs w:val="18"/>
          <w:color w:val="auto"/>
        </w:rPr>
        <w:t>within its control to conduct, deal in or engage in any of the following activities: (a) conduct any business or engage in any transaction or dealing with any person blocked pursuant to Executive Order No. 13224 (a “</w:t>
      </w:r>
      <w:r>
        <w:rPr>
          <w:rFonts w:ascii="Arial" w:cs="Arial" w:eastAsia="Arial" w:hAnsi="Arial"/>
          <w:sz w:val="18"/>
          <w:szCs w:val="18"/>
          <w:b w:val="1"/>
          <w:bCs w:val="1"/>
          <w:i w:val="1"/>
          <w:iCs w:val="1"/>
          <w:color w:val="auto"/>
        </w:rPr>
        <w:t>Blocked Person</w:t>
      </w:r>
      <w:r>
        <w:rPr>
          <w:rFonts w:ascii="Arial" w:cs="Arial" w:eastAsia="Arial" w:hAnsi="Arial"/>
          <w:sz w:val="18"/>
          <w:szCs w:val="18"/>
          <w:color w:val="auto"/>
        </w:rPr>
        <w:t>”), including the making or receiving any contribution of funds, goods or services to or for the benefit of any Blocked Person; (b) deal in, or otherwise engage in any transaction relating to, any property or interests in property blocked pursuant to Executive Order No. 13224; or (c) engage in or conspire to engage in any transaction that evades or avoids, or has the purpose of evading or avoiding, or attempts to violate, any of the prohibitions set forth in Executive Order No. 13224 or the Patriot Act.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EVENTS OF DEFAULT</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8"/>
          <w:szCs w:val="18"/>
          <w:b w:val="1"/>
          <w:bCs w:val="1"/>
          <w:color w:val="auto"/>
        </w:rPr>
        <w:t>Events of Default</w:t>
      </w:r>
      <w:r>
        <w:rPr>
          <w:rFonts w:ascii="Arial" w:cs="Arial" w:eastAsia="Arial" w:hAnsi="Arial"/>
          <w:sz w:val="18"/>
          <w:szCs w:val="18"/>
          <w:color w:val="auto"/>
        </w:rPr>
        <w:t>. The occurrence of any of the following shall constitute an Event of Default:</w:t>
      </w:r>
    </w:p>
    <w:p>
      <w:pPr>
        <w:spacing w:after="0" w:line="222" w:lineRule="exact"/>
        <w:rPr>
          <w:sz w:val="20"/>
          <w:szCs w:val="20"/>
          <w:color w:val="auto"/>
        </w:rPr>
      </w:pPr>
    </w:p>
    <w:p>
      <w:pPr>
        <w:jc w:val="both"/>
        <w:ind w:firstLine="1304"/>
        <w:spacing w:after="0" w:line="246" w:lineRule="auto"/>
        <w:tabs>
          <w:tab w:leader="none" w:pos="1944"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Borrower shall fail to pay any amount of principal of any Loan when due in accordance with the terms hereof; or the Borrower shall fail to pay any amount of interest on any Loan, or any other amount payable hereunder or under any other Loan Document, within three (3) Business Days after any such interest or other amount becomes due in accordance with the terms hereof; or</w:t>
      </w:r>
    </w:p>
    <w:p>
      <w:pPr>
        <w:spacing w:after="0" w:line="191" w:lineRule="exact"/>
        <w:rPr>
          <w:rFonts w:ascii="Arial" w:cs="Arial" w:eastAsia="Arial" w:hAnsi="Arial"/>
          <w:sz w:val="20"/>
          <w:szCs w:val="20"/>
          <w:color w:val="auto"/>
        </w:rPr>
      </w:pPr>
    </w:p>
    <w:p>
      <w:pPr>
        <w:jc w:val="both"/>
        <w:ind w:firstLine="1304"/>
        <w:spacing w:after="0" w:line="244" w:lineRule="auto"/>
        <w:tabs>
          <w:tab w:leader="none" w:pos="1944"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(i) if qualified by materiality, shall be incorrect or misleading when made or deemed made, or (ii) if not qualified by materiality, shall be incorrect or misleading in any material respect when made or deemed made; or</w:t>
      </w:r>
    </w:p>
    <w:p>
      <w:pPr>
        <w:spacing w:after="0" w:line="194"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any Loan Party shall default in the observance or performance of any agreement contained in, </w:t>
      </w:r>
      <w:r>
        <w:rPr>
          <w:rFonts w:ascii="Arial" w:cs="Arial" w:eastAsia="Arial" w:hAnsi="Arial"/>
          <w:sz w:val="20"/>
          <w:szCs w:val="20"/>
          <w:u w:val="single" w:color="auto"/>
          <w:color w:val="auto"/>
        </w:rPr>
        <w:t>Section 5.3</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6.1</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6.2</w:t>
      </w:r>
      <w:r>
        <w:rPr>
          <w:rFonts w:ascii="Arial" w:cs="Arial" w:eastAsia="Arial" w:hAnsi="Arial"/>
          <w:sz w:val="20"/>
          <w:szCs w:val="20"/>
          <w:color w:val="auto"/>
        </w:rPr>
        <w:t xml:space="preserve">, clause (i) or (ii) of </w:t>
      </w:r>
      <w:r>
        <w:rPr>
          <w:rFonts w:ascii="Arial" w:cs="Arial" w:eastAsia="Arial" w:hAnsi="Arial"/>
          <w:sz w:val="20"/>
          <w:szCs w:val="20"/>
          <w:u w:val="single" w:color="auto"/>
          <w:color w:val="auto"/>
        </w:rPr>
        <w:t>Section 6.5(a)</w:t>
      </w:r>
      <w:r>
        <w:rPr>
          <w:rFonts w:ascii="Arial" w:cs="Arial" w:eastAsia="Arial" w:hAnsi="Arial"/>
          <w:sz w:val="20"/>
          <w:szCs w:val="20"/>
          <w:color w:val="auto"/>
        </w:rPr>
        <w:t xml:space="preserve"> (with respect to a Loan Party), </w:t>
      </w:r>
      <w:r>
        <w:rPr>
          <w:rFonts w:ascii="Arial" w:cs="Arial" w:eastAsia="Arial" w:hAnsi="Arial"/>
          <w:sz w:val="20"/>
          <w:szCs w:val="20"/>
          <w:u w:val="single" w:color="auto"/>
          <w:color w:val="auto"/>
        </w:rPr>
        <w:t>Section 6.6(b)</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6.8(a)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6.10</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of this Agreement; or</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any Loan Party shall default in the observance or performance of any other agreement contained in this Agreement or any other Loan Document (other than as provided in paragraphs (a) through (c) of this </w:t>
      </w:r>
      <w:r>
        <w:rPr>
          <w:rFonts w:ascii="Arial" w:cs="Arial" w:eastAsia="Arial" w:hAnsi="Arial"/>
          <w:sz w:val="20"/>
          <w:szCs w:val="20"/>
          <w:u w:val="single" w:color="auto"/>
          <w:color w:val="auto"/>
        </w:rPr>
        <w:t>Section 8.1</w:t>
      </w:r>
      <w:r>
        <w:rPr>
          <w:rFonts w:ascii="Arial" w:cs="Arial" w:eastAsia="Arial" w:hAnsi="Arial"/>
          <w:sz w:val="20"/>
          <w:szCs w:val="20"/>
          <w:color w:val="auto"/>
        </w:rPr>
        <w:t>), and such default shall continue unremedied for a period of 30 days thereafter; or</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132"/>
        </w:numPr>
        <w:rPr>
          <w:rFonts w:ascii="Arial" w:cs="Arial" w:eastAsia="Arial" w:hAnsi="Arial"/>
          <w:sz w:val="20"/>
          <w:szCs w:val="20"/>
          <w:color w:val="auto"/>
        </w:rPr>
      </w:pPr>
      <w:r>
        <w:rPr>
          <w:rFonts w:ascii="Arial" w:cs="Arial" w:eastAsia="Arial" w:hAnsi="Arial"/>
          <w:sz w:val="20"/>
          <w:szCs w:val="20"/>
          <w:color w:val="auto"/>
        </w:rPr>
        <w:t>(i) any Group Member (other than any Immaterial Subsidiary) shall (A) default in making any payment of any principal of any Indebtedness (including any Guarantee Obligation, but excluding the Loans) on the scheduled or original due date with respect thereto; (B) default in making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34" w:name="page135"/>
    <w:bookmarkEnd w:id="134"/>
    <w:p>
      <w:pPr>
        <w:jc w:val="both"/>
        <w:spacing w:after="0" w:line="268" w:lineRule="auto"/>
        <w:rPr>
          <w:sz w:val="20"/>
          <w:szCs w:val="20"/>
          <w:color w:val="auto"/>
        </w:rPr>
      </w:pPr>
      <w:r>
        <w:rPr>
          <w:rFonts w:ascii="Arial" w:cs="Arial" w:eastAsia="Arial" w:hAnsi="Arial"/>
          <w:sz w:val="18"/>
          <w:szCs w:val="18"/>
          <w:color w:val="auto"/>
        </w:rPr>
        <w:t xml:space="preserve">payment of any interest, fees, costs or expenses on any such Indebtedness beyond the period of grace, if any, provided in the instrument or agreement under which such Indebtedness was created; (C) default in making any payment or delivery under any such Indebtedness constituting a Swap Agreement beyond the period of grace, if any, provided in such Swap Agreement; or (D)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(1) cause, or to permit the holder or beneficiary of, or, in the case of any such Indebtedness constituting a Swap Agreement, counterparty under, such Indebtedness (or a trustee or agent on behalf of such holder, beneficiary, or counterparty) to cause, with the giving of notice if required, such Indebtedness to become due prior to its stated maturity or (in the case of any such Indebtedness constituting a Guarantee Obligation) to become payable or (in the case of any such Indebtedness constituting a Swap Agreement) to be terminated, or (2) to cause, with the giving of notice if required, any Group Member to purchase, redeem, mandatorily prepay or make an offer to purchase, redeem or mandatorily prepay such Indebtedness prior to its stated maturity; provided that, unless such Indebtedness constitutes a Specified Swap Agreement, a default, event or condition described in clauses (i) (A), (B), (C), or (D) of this </w:t>
      </w:r>
      <w:r>
        <w:rPr>
          <w:rFonts w:ascii="Arial" w:cs="Arial" w:eastAsia="Arial" w:hAnsi="Arial"/>
          <w:sz w:val="18"/>
          <w:szCs w:val="18"/>
          <w:u w:val="single" w:color="auto"/>
          <w:color w:val="auto"/>
        </w:rPr>
        <w:t>Section 8.1(e)</w:t>
      </w:r>
      <w:r>
        <w:rPr>
          <w:rFonts w:ascii="Arial" w:cs="Arial" w:eastAsia="Arial" w:hAnsi="Arial"/>
          <w:sz w:val="18"/>
          <w:szCs w:val="18"/>
          <w:color w:val="auto"/>
        </w:rPr>
        <w:t xml:space="preserve"> shall not at any time constitute an Event of Default unless, at such time, one or more defaults, events or conditions of the type described in any of clauses (i)(A), (B), (C), or (D) of this </w:t>
      </w:r>
      <w:r>
        <w:rPr>
          <w:rFonts w:ascii="Arial" w:cs="Arial" w:eastAsia="Arial" w:hAnsi="Arial"/>
          <w:sz w:val="18"/>
          <w:szCs w:val="18"/>
          <w:u w:val="single" w:color="auto"/>
          <w:color w:val="auto"/>
        </w:rPr>
        <w:t>Section 8.1(e)</w:t>
      </w:r>
      <w:r>
        <w:rPr>
          <w:rFonts w:ascii="Arial" w:cs="Arial" w:eastAsia="Arial" w:hAnsi="Arial"/>
          <w:sz w:val="18"/>
          <w:szCs w:val="18"/>
          <w:color w:val="auto"/>
        </w:rPr>
        <w:t xml:space="preserve"> shall have occurred with respect to Indebtedness, the outstanding principal amount (and, in the case of Swap Agreements, other than Specified Swap Agreements, the Swap Termination Value) of which, individually or in the aggregate for all such Indebtedness, exceeds $5,000,000; or (ii) any default or event of default (however designated, beyond the period of grace, if any, shall occur with respect to any Subordinated Indebtedness of any Group Member of which, individually or in the aggregate for all such Subordinated Indebtedness, exceeds $1,000,000; or</w:t>
      </w:r>
    </w:p>
    <w:p>
      <w:pPr>
        <w:spacing w:after="0" w:line="183" w:lineRule="exact"/>
        <w:rPr>
          <w:sz w:val="20"/>
          <w:szCs w:val="20"/>
          <w:color w:val="auto"/>
        </w:rPr>
      </w:pPr>
    </w:p>
    <w:p>
      <w:pPr>
        <w:jc w:val="both"/>
        <w:ind w:firstLine="1304"/>
        <w:spacing w:after="0" w:line="269" w:lineRule="auto"/>
        <w:tabs>
          <w:tab w:leader="none" w:pos="194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any Group Member (other than any Immaterial Subsidiary) shall commence any case, proceeding or other action (a) under any Debtor Relief Law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Group Member (other than any Immaterial Subsidiary) shall make a general assignment for the benefit of its creditors; or (ii) there shall be commenced against any Group Member (other than any Immaterial Subsidiary) any case, proceeding or other action of a nature referred to in clause (i) above that (x) results in the entry of an order for relief or any such adjudication or appointment or (y) remains undismissed, undischarged or unbonded for a period of 60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such 60 day period, no Loan shall be advanced or Letters of Credit issued hereunder); or (iii) there shall be commenced against any Group Member (other than any Immaterial Subsidiary)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such 60 day period, no Loan shall be advanced or Letters of Credit issued hereunder); or (iv) any Group Member (other than any Immaterial Subsidiary) shall take any action in furtherance of, or indicating its consent to, approval of, or acquiescence in, any of the acts set forth in clause (i), (ii), or (iii) above; or (v) any Group Member (other than any Immaterial Subsidiary) shall generally not, or shall be unable to, or shall admit in writing its inability to, pay its debts as they become due; or</w:t>
      </w:r>
    </w:p>
    <w:p>
      <w:pPr>
        <w:spacing w:after="0" w:line="171" w:lineRule="exact"/>
        <w:rPr>
          <w:rFonts w:ascii="Arial" w:cs="Arial" w:eastAsia="Arial" w:hAnsi="Arial"/>
          <w:sz w:val="18"/>
          <w:szCs w:val="18"/>
          <w:color w:val="auto"/>
        </w:rPr>
      </w:pPr>
    </w:p>
    <w:p>
      <w:pPr>
        <w:jc w:val="both"/>
        <w:ind w:firstLine="1304"/>
        <w:spacing w:after="0" w:line="246" w:lineRule="auto"/>
        <w:tabs>
          <w:tab w:leader="none" w:pos="1944"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there shall occur one or more ERISA Events which individually or in the aggregate results in or otherwise is associated with liability of any Loan Party or any ERISA Affiliate thereof in excess of $5,000,000 during the term of this Agreement; or there exists an amount of unfunded benefit liabilities (as defined in Section 4001(a)(18) of ERISA), individually or in the aggregate for all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35" w:name="page136"/>
    <w:bookmarkEnd w:id="135"/>
    <w:p>
      <w:pPr>
        <w:ind w:right="20"/>
        <w:spacing w:after="0" w:line="260" w:lineRule="auto"/>
        <w:rPr>
          <w:sz w:val="20"/>
          <w:szCs w:val="20"/>
          <w:color w:val="auto"/>
        </w:rPr>
      </w:pPr>
      <w:r>
        <w:rPr>
          <w:rFonts w:ascii="Arial" w:cs="Arial" w:eastAsia="Arial" w:hAnsi="Arial"/>
          <w:sz w:val="20"/>
          <w:szCs w:val="20"/>
          <w:color w:val="auto"/>
        </w:rPr>
        <w:t>(excluding for purposes of such computation any Pension Plans with respect to which assets exceed benefit liabilities) which exceeds $5,000,000; or</w:t>
      </w:r>
    </w:p>
    <w:p>
      <w:pPr>
        <w:spacing w:after="0" w:line="177" w:lineRule="exact"/>
        <w:rPr>
          <w:sz w:val="20"/>
          <w:szCs w:val="20"/>
          <w:color w:val="auto"/>
        </w:rPr>
      </w:pPr>
    </w:p>
    <w:p>
      <w:pPr>
        <w:jc w:val="both"/>
        <w:ind w:firstLine="1304"/>
        <w:spacing w:after="0" w:line="243" w:lineRule="auto"/>
        <w:tabs>
          <w:tab w:leader="none" w:pos="1944"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there is entered against any Group Member (other than any Immaterial Subsidiary) (i) one or more final judgments or orders for the payment of money involving in the aggregate a liability (not paid or fully covered by insurance as to which the relevant insurance company has acknowledged coverage) of $5,000,000 or more, or (ii) one or more non-monetary final judgments that have, or could reasonably be expected to have, individually or in the aggregate, a Material Adverse Effect and, in either case, (A) enforcement proceedings are commenced by any creditor upon such judgment or order, or (B) all such judgments or decrees shall not have been vacated, discharged, stayed or bonded pending appeal within 45 days from the entry thereof; or</w:t>
      </w:r>
    </w:p>
    <w:p>
      <w:pPr>
        <w:spacing w:after="0" w:line="192" w:lineRule="exact"/>
        <w:rPr>
          <w:rFonts w:ascii="Arial" w:cs="Arial" w:eastAsia="Arial" w:hAnsi="Arial"/>
          <w:sz w:val="20"/>
          <w:szCs w:val="20"/>
          <w:color w:val="auto"/>
        </w:rPr>
      </w:pPr>
    </w:p>
    <w:p>
      <w:pPr>
        <w:jc w:val="both"/>
        <w:ind w:firstLine="1304"/>
        <w:spacing w:after="0" w:line="291" w:lineRule="auto"/>
        <w:tabs>
          <w:tab w:leader="none" w:pos="194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 any of the Security Documents shall cease, for any reason, to be in full force and effect (other than pursuant to the terms thereof), or any Loan Party shall so assert, or any Lien created by any of the Security Documents shall cease to be enforceable and of the same effect and priority purported to be created thereby; or</w:t>
      </w:r>
    </w:p>
    <w:p>
      <w:pPr>
        <w:spacing w:after="0" w:line="151" w:lineRule="exact"/>
        <w:rPr>
          <w:rFonts w:ascii="Arial" w:cs="Arial" w:eastAsia="Arial" w:hAnsi="Arial"/>
          <w:sz w:val="18"/>
          <w:szCs w:val="18"/>
          <w:color w:val="auto"/>
        </w:rPr>
      </w:pPr>
    </w:p>
    <w:p>
      <w:pPr>
        <w:jc w:val="both"/>
        <w:ind w:firstLine="1952"/>
        <w:spacing w:after="0" w:line="250" w:lineRule="auto"/>
        <w:tabs>
          <w:tab w:leader="none" w:pos="2592" w:val="left"/>
        </w:tabs>
        <w:numPr>
          <w:ilvl w:val="2"/>
          <w:numId w:val="134"/>
        </w:numPr>
        <w:rPr>
          <w:rFonts w:ascii="Arial" w:cs="Arial" w:eastAsia="Arial" w:hAnsi="Arial"/>
          <w:sz w:val="20"/>
          <w:szCs w:val="20"/>
          <w:color w:val="auto"/>
        </w:rPr>
      </w:pPr>
      <w:r>
        <w:rPr>
          <w:rFonts w:ascii="Arial" w:cs="Arial" w:eastAsia="Arial" w:hAnsi="Arial"/>
          <w:sz w:val="20"/>
          <w:szCs w:val="20"/>
          <w:color w:val="auto"/>
        </w:rPr>
        <w:t>any court order enjoins, restrains or prevents a Loan Party from conducting all or any material part of its business that has, or could reasonably be expected to have individually or in the aggregate, a Material Adverse Effect; or</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the guarantee contained in Section 2 of the Guarantee and Collateral Agreement shall cease, for any reason, to be in full force and effect or any Loan Party shall so assert; or</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1"/>
          <w:numId w:val="134"/>
        </w:numPr>
        <w:rPr>
          <w:rFonts w:ascii="Arial" w:cs="Arial" w:eastAsia="Arial" w:hAnsi="Arial"/>
          <w:sz w:val="20"/>
          <w:szCs w:val="20"/>
          <w:color w:val="auto"/>
        </w:rPr>
      </w:pPr>
      <w:r>
        <w:rPr>
          <w:rFonts w:ascii="Arial" w:cs="Arial" w:eastAsia="Arial" w:hAnsi="Arial"/>
          <w:sz w:val="20"/>
          <w:szCs w:val="20"/>
          <w:color w:val="auto"/>
        </w:rPr>
        <w:t>a Change of Control shall occur; or</w:t>
      </w:r>
    </w:p>
    <w:p>
      <w:pPr>
        <w:spacing w:after="0" w:line="215" w:lineRule="exact"/>
        <w:rPr>
          <w:rFonts w:ascii="Arial" w:cs="Arial" w:eastAsia="Arial" w:hAnsi="Arial"/>
          <w:sz w:val="20"/>
          <w:szCs w:val="20"/>
          <w:color w:val="auto"/>
        </w:rPr>
      </w:pPr>
    </w:p>
    <w:p>
      <w:pPr>
        <w:jc w:val="both"/>
        <w:ind w:firstLine="1304"/>
        <w:spacing w:after="0" w:line="269" w:lineRule="auto"/>
        <w:tabs>
          <w:tab w:leader="none" w:pos="194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of the Governmental Approvals necessary for any of the Group Members to operate its respective business shall have been (i) revoked, rescinded, suspended, modified in an adverse manner or not renewed in the ordinary course for a full term that has, or could reasonably be expected to have, a Material Adverse Effect, or (ii) subject to any decision by a Governmental Authority that designates a hearing with respect to any applications for renewal of any of the Governmental Approvals or that could result in the Governmental Authority taking any of the actions described in clause</w:t>
      </w:r>
    </w:p>
    <w:p>
      <w:pPr>
        <w:spacing w:after="0" w:line="3" w:lineRule="exact"/>
        <w:rPr>
          <w:rFonts w:ascii="Arial" w:cs="Arial" w:eastAsia="Arial" w:hAnsi="Arial"/>
          <w:sz w:val="18"/>
          <w:szCs w:val="18"/>
          <w:color w:val="auto"/>
        </w:rPr>
      </w:pPr>
    </w:p>
    <w:p>
      <w:pPr>
        <w:jc w:val="both"/>
        <w:ind w:firstLine="8"/>
        <w:spacing w:after="0" w:line="256" w:lineRule="auto"/>
        <w:tabs>
          <w:tab w:leader="none" w:pos="279"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above, and such decision or such revocation, rescission, suspension, modification or nonrenewal (x) has, or could reasonably be expected to have, a Material Adverse Effect, or (y) materially adversely affects the legal qualifications of any Group Member to hold any material Governmental Approval in any applicable jurisdiction and such materially adverse effect on the legal qualifications of any such Group Member to hold any material Governmental Approval in any applicable jurisdiction could reasonably be expected to have a Material Adverse Effect; or</w:t>
      </w:r>
    </w:p>
    <w:p>
      <w:pPr>
        <w:spacing w:after="0" w:line="182" w:lineRule="exact"/>
        <w:rPr>
          <w:rFonts w:ascii="Arial" w:cs="Arial" w:eastAsia="Arial" w:hAnsi="Arial"/>
          <w:sz w:val="19"/>
          <w:szCs w:val="19"/>
          <w:color w:val="auto"/>
        </w:rPr>
      </w:pPr>
    </w:p>
    <w:p>
      <w:pPr>
        <w:jc w:val="both"/>
        <w:ind w:firstLine="1304"/>
        <w:spacing w:after="0" w:line="276" w:lineRule="auto"/>
        <w:tabs>
          <w:tab w:leader="none" w:pos="194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any Loan Document (including the subordination provisions of any subordination or intercreditor agreement governing Subordinated Indebtedness) not otherwise referenced in </w:t>
      </w:r>
      <w:r>
        <w:rPr>
          <w:rFonts w:ascii="Arial" w:cs="Arial" w:eastAsia="Arial" w:hAnsi="Arial"/>
          <w:sz w:val="18"/>
          <w:szCs w:val="18"/>
          <w:u w:val="single" w:color="auto"/>
          <w:color w:val="auto"/>
        </w:rPr>
        <w:t>Section 8.1(i)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at any time after its execution and delivery and for any reason other than as expressly permitted hereunder or thereunder or the Discharge of Obligations, ceases to be in full force and effect; or any Loan Party or any other Person contests in any manner the validity or enforceability of any Loan Document; or any Loan Party denies that it has any liability or obligation under any Loan Document to which it is a party, or purports to revoke, terminate or rescind any such Loan Document; or</w:t>
      </w:r>
    </w:p>
    <w:p>
      <w:pPr>
        <w:spacing w:after="0" w:line="164" w:lineRule="exact"/>
        <w:rPr>
          <w:rFonts w:ascii="Arial" w:cs="Arial" w:eastAsia="Arial" w:hAnsi="Arial"/>
          <w:sz w:val="18"/>
          <w:szCs w:val="18"/>
          <w:color w:val="auto"/>
        </w:rPr>
      </w:pPr>
    </w:p>
    <w:p>
      <w:pPr>
        <w:ind w:left="1960" w:hanging="656"/>
        <w:spacing w:after="0"/>
        <w:tabs>
          <w:tab w:leader="none" w:pos="196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a Material Adverse Effect shall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36" w:name="page137"/>
    <w:bookmarkEnd w:id="136"/>
    <w:p>
      <w:pPr>
        <w:ind w:firstLine="648"/>
        <w:spacing w:after="0" w:line="323" w:lineRule="auto"/>
        <w:rPr>
          <w:sz w:val="20"/>
          <w:szCs w:val="20"/>
          <w:color w:val="auto"/>
        </w:rPr>
      </w:pPr>
      <w:r>
        <w:rPr>
          <w:rFonts w:ascii="Arial" w:cs="Arial" w:eastAsia="Arial" w:hAnsi="Arial"/>
          <w:sz w:val="18"/>
          <w:szCs w:val="18"/>
          <w:b w:val="1"/>
          <w:bCs w:val="1"/>
          <w:color w:val="auto"/>
        </w:rPr>
        <w:t>8.2 Remedies Upon Event of Default</w:t>
      </w:r>
      <w:r>
        <w:rPr>
          <w:rFonts w:ascii="Arial" w:cs="Arial" w:eastAsia="Arial" w:hAnsi="Arial"/>
          <w:sz w:val="18"/>
          <w:szCs w:val="18"/>
          <w:color w:val="auto"/>
        </w:rPr>
        <w:t>. If any Event of Default occurs and is continuing,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shall, at the request of, or may, with the consent of, the Required Lenders, take any or all of the following actions:</w:t>
      </w:r>
    </w:p>
    <w:p>
      <w:pPr>
        <w:spacing w:after="0" w:line="124" w:lineRule="exact"/>
        <w:rPr>
          <w:sz w:val="20"/>
          <w:szCs w:val="20"/>
          <w:color w:val="auto"/>
        </w:rPr>
      </w:pPr>
    </w:p>
    <w:p>
      <w:pPr>
        <w:jc w:val="both"/>
        <w:ind w:firstLine="1304"/>
        <w:spacing w:after="0" w:line="246" w:lineRule="auto"/>
        <w:tabs>
          <w:tab w:leader="none" w:pos="1944"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if such event is an Event of Default specified in clause (i) or (ii) of paragraph (f) of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with respect to the Borrower, the Commitments shall immediately terminate automatically and the Loans (with accrued interest thereon) and all other amounts owing under this Agreement and the other Loan Documents shall automatically immediately become due and payable, and</w:t>
      </w:r>
    </w:p>
    <w:p>
      <w:pPr>
        <w:spacing w:after="0" w:line="191" w:lineRule="exact"/>
        <w:rPr>
          <w:rFonts w:ascii="Arial" w:cs="Arial" w:eastAsia="Arial" w:hAnsi="Arial"/>
          <w:sz w:val="20"/>
          <w:szCs w:val="20"/>
          <w:color w:val="auto"/>
        </w:rPr>
      </w:pPr>
    </w:p>
    <w:p>
      <w:pPr>
        <w:jc w:val="both"/>
        <w:ind w:firstLine="1304"/>
        <w:spacing w:after="0" w:line="270" w:lineRule="auto"/>
        <w:tabs>
          <w:tab w:leader="none" w:pos="194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such event is any other Event of Default, any of the following actions may be taken: (i) with the consent of the Required Lenders, the Administrative Agent may, or upon the request of the Required Lenders, the Administrative Agent shall, by notice to the Borrower declare the Revolving Commitments, the Swingline Commitments and the L/C Commitments to be terminated forthwith, whereupon the Revolving Commitments, the Swingline Commitments and the L/C Commitments shall immediately terminate;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(iii) any Cash Management Bank may terminate any Cash Management Agreement then outstanding and declare all Obligations then owing by the Loan Parties under any such Cash Management Agreements then outstanding to be due and payable forthwith, whereupon the same shall immediately become due and payable; and (iv) the Administrative Agent may exercise on behalf of itself, any Cash Management Bank, the Lenders and the Issuing Lender all rights and remedies available to it, any such Cash Management Bank, the Lenders and the Issuing Lender under the Loan Documents.</w:t>
      </w:r>
    </w:p>
    <w:p>
      <w:pPr>
        <w:spacing w:after="0" w:line="172"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 xml:space="preserve">With respect to all Letters of Credit with respect to which presentment for honor shall not have occurred at the time of an acceleration pursuant to this paragraph, the Borrower shall Cash Collateralize an amount equal to 105% of the aggregate then undrawn and unexpired amount of such Letters of Credit. Amounts so Cash Collateralized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in accordance with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16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In addition, (x) the Borrower shall also Cash Collateralize the full amount of any Swingline Loans then outstanding, and (y) to the extent elected by any applicable Cash Management Bank, the Borrower shall also Cash Collateralize the amount of any Obligations in respect of Cash Management Services then outstanding, which Cash Collateralized amounts shall be applied by the Administrative Agent to the payment of all such outstanding Cash Management Services, and any unused portion thereof remaining after all such Cash Management Services shall have been fully paid and satisfied in full shall be applied by the Administrative Agent to repay other Obligations of the Loan Parties hereunder and under the other Loan Documents in accordance with the terms of </w:t>
      </w:r>
      <w:r>
        <w:rPr>
          <w:rFonts w:ascii="Arial" w:cs="Arial" w:eastAsia="Arial" w:hAnsi="Arial"/>
          <w:sz w:val="19"/>
          <w:szCs w:val="19"/>
          <w:u w:val="single" w:color="auto"/>
          <w:color w:val="auto"/>
        </w:rPr>
        <w:t>Section 8.3</w:t>
      </w:r>
      <w:r>
        <w:rPr>
          <w:rFonts w:ascii="Arial" w:cs="Arial" w:eastAsia="Arial" w:hAnsi="Arial"/>
          <w:sz w:val="19"/>
          <w:szCs w:val="19"/>
          <w:color w:val="auto"/>
        </w:rPr>
        <w:t>.</w:t>
      </w:r>
    </w:p>
    <w:p>
      <w:pPr>
        <w:spacing w:after="0" w:line="185" w:lineRule="exact"/>
        <w:rPr>
          <w:sz w:val="20"/>
          <w:szCs w:val="20"/>
          <w:color w:val="auto"/>
        </w:rPr>
      </w:pPr>
    </w:p>
    <w:p>
      <w:pPr>
        <w:ind w:firstLine="1304"/>
        <w:spacing w:after="0" w:line="243" w:lineRule="auto"/>
        <w:tabs>
          <w:tab w:leader="none" w:pos="194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After all such Letters of Credit and Cash Management Agreements shall have been terminated, expired or fully drawn upon, as applicable, and all amounts drawn under any such Letters of Credit shall have been reimbursed in full and all other Obligations of the Borrower and the other Loan Parties (including any such Obligations arising in connection with Cash Management Services) shall have been paid in full, the balance, if any, of the funds having been so Cash Collateralized shall be returned to the Borrower (or such other Person as may be lawfully entitled thereto). Except as expressly provided above in this Section, presentment, demand, protest and all other notices of any kind are hereby expressly waived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37" w:name="page138"/>
    <w:bookmarkEnd w:id="137"/>
    <w:p>
      <w:pPr>
        <w:jc w:val="both"/>
        <w:ind w:right="20" w:firstLine="648"/>
        <w:spacing w:after="0" w:line="323" w:lineRule="auto"/>
        <w:rPr>
          <w:sz w:val="20"/>
          <w:szCs w:val="20"/>
          <w:color w:val="auto"/>
        </w:rPr>
      </w:pPr>
      <w:r>
        <w:rPr>
          <w:rFonts w:ascii="Arial" w:cs="Arial" w:eastAsia="Arial" w:hAnsi="Arial"/>
          <w:sz w:val="18"/>
          <w:szCs w:val="18"/>
          <w:b w:val="1"/>
          <w:bCs w:val="1"/>
          <w:color w:val="auto"/>
        </w:rPr>
        <w:t>8.3 Application of Funds</w:t>
      </w:r>
      <w:r>
        <w:rPr>
          <w:rFonts w:ascii="Arial" w:cs="Arial" w:eastAsia="Arial" w:hAnsi="Arial"/>
          <w:sz w:val="18"/>
          <w:szCs w:val="18"/>
          <w:color w:val="auto"/>
        </w:rPr>
        <w:t>. 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8.2</w:t>
      </w:r>
      <w:r>
        <w:rPr>
          <w:rFonts w:ascii="Arial" w:cs="Arial" w:eastAsia="Arial" w:hAnsi="Arial"/>
          <w:sz w:val="18"/>
          <w:szCs w:val="18"/>
          <w:color w:val="auto"/>
        </w:rPr>
        <w:t>, any amounts received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Agent on account of the Obligations shall be applied by the Administrative Agent in the following order:</w:t>
      </w:r>
    </w:p>
    <w:p>
      <w:pPr>
        <w:spacing w:after="0" w:line="12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the payment of that portion of the Obligations constituting fees, indemnities, expenses and other amounts (other than principal and interest but including any Collateral-Related Expenses, fees, charges and disbursements of counsel to the Administrative Agent and amounts payable under </w:t>
      </w:r>
      <w:r>
        <w:rPr>
          <w:rFonts w:ascii="Arial" w:cs="Arial" w:eastAsia="Arial" w:hAnsi="Arial"/>
          <w:sz w:val="20"/>
          <w:szCs w:val="20"/>
          <w:u w:val="single" w:color="auto"/>
          <w:color w:val="auto"/>
        </w:rPr>
        <w:t>Sections 2.19</w:t>
      </w:r>
      <w:r>
        <w:rPr>
          <w:rFonts w:ascii="Arial" w:cs="Arial" w:eastAsia="Arial" w:hAnsi="Arial"/>
          <w:sz w:val="20"/>
          <w:szCs w:val="20"/>
          <w:color w:val="auto"/>
        </w:rPr>
        <w:t xml:space="preserve">, </w:t>
      </w:r>
      <w:r>
        <w:rPr>
          <w:rFonts w:ascii="Arial" w:cs="Arial" w:eastAsia="Arial" w:hAnsi="Arial"/>
          <w:sz w:val="20"/>
          <w:szCs w:val="20"/>
          <w:u w:val="single" w:color="auto"/>
          <w:color w:val="auto"/>
        </w:rPr>
        <w:t>2.20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2.21</w:t>
      </w:r>
      <w:r>
        <w:rPr>
          <w:rFonts w:ascii="Arial" w:cs="Arial" w:eastAsia="Arial" w:hAnsi="Arial"/>
          <w:sz w:val="20"/>
          <w:szCs w:val="20"/>
          <w:color w:val="auto"/>
        </w:rPr>
        <w:t xml:space="preserve"> (including interest thereon)) payable to the Administrative Agent, in its capacity as such;</w:t>
      </w:r>
    </w:p>
    <w:p>
      <w:pPr>
        <w:spacing w:after="0" w:line="19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Obligations constituting fees, indemnities and other amounts (other than principal, interest, and Letter of Credit Fees) payable to the Lenders, the Issuing Lender ((including any Letter of Credit Fronting Fees and Issuing Lender Fees), and any Qualified Counterparty and any applicable Cash Management Bank (in its respective capacity as a provider of Cash Management Services), and the reasonable and documented out-of-pocket fees, charges and disbursements of counsel to the respective Lenders and the Issuing Lender, and amounts payable under </w:t>
      </w:r>
      <w:r>
        <w:rPr>
          <w:rFonts w:ascii="Arial" w:cs="Arial" w:eastAsia="Arial" w:hAnsi="Arial"/>
          <w:sz w:val="19"/>
          <w:szCs w:val="19"/>
          <w:u w:val="single" w:color="auto"/>
          <w:color w:val="auto"/>
        </w:rPr>
        <w:t>Sections 2.19</w:t>
      </w:r>
      <w:r>
        <w:rPr>
          <w:rFonts w:ascii="Arial" w:cs="Arial" w:eastAsia="Arial" w:hAnsi="Arial"/>
          <w:sz w:val="19"/>
          <w:szCs w:val="19"/>
          <w:color w:val="auto"/>
        </w:rPr>
        <w:t xml:space="preserve">, </w:t>
      </w:r>
      <w:r>
        <w:rPr>
          <w:rFonts w:ascii="Arial" w:cs="Arial" w:eastAsia="Arial" w:hAnsi="Arial"/>
          <w:sz w:val="19"/>
          <w:szCs w:val="19"/>
          <w:u w:val="single" w:color="auto"/>
          <w:color w:val="auto"/>
        </w:rPr>
        <w:t>2.20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2.21</w:t>
      </w:r>
      <w:r>
        <w:rPr>
          <w:rFonts w:ascii="Arial" w:cs="Arial" w:eastAsia="Arial" w:hAnsi="Arial"/>
          <w:sz w:val="19"/>
          <w:szCs w:val="19"/>
          <w:color w:val="auto"/>
        </w:rPr>
        <w:t xml:space="preserve">), in each case, ratably among them in proportion to the respective amounts described in this clause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payable to them;</w:t>
      </w:r>
    </w:p>
    <w:p>
      <w:pPr>
        <w:spacing w:after="0" w:line="18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the extent that the Swingline Lender has advanced any Swingline Loans that have not been refunded by each Lender’s Swingline Participation Amount, payment to the Swingline Lender of that portion of the Obligations constituting the unpaid principal of and interest upon the Swingline Loans advanced by the Swingline Lender;</w:t>
      </w:r>
    </w:p>
    <w:p>
      <w:pPr>
        <w:spacing w:after="0" w:line="15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the payment of that portion of the Obligations constituting accrued and unpaid Letter of Credit Fees and interest in respect of any Cash Management Services and on the Loans and L/C Disbursements which have not yet been converted into Revolving Loans, and to payment of premiums and other fees (including any interest thereon) under any Specified Swap Agreements and any Cash Management Agreements, in each case, ratably among the Lenders, any applicable Cash Management Bank (in its respective capacity as a provider of Cash Management Services), and any Qualified Counterparties, in each case, ratably among them in proportion to the respective amounts described in this clause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payable to them;</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u w:val="single" w:color="auto"/>
          <w:color w:val="auto"/>
        </w:rPr>
        <w:t>Fifth</w:t>
      </w:r>
      <w:r>
        <w:rPr>
          <w:rFonts w:ascii="Arial" w:cs="Arial" w:eastAsia="Arial" w:hAnsi="Arial"/>
          <w:sz w:val="19"/>
          <w:szCs w:val="19"/>
          <w:color w:val="auto"/>
        </w:rPr>
        <w:t xml:space="preserve">, to payment of that portion of the Obligations constituting unpaid principal of the Loans, L/C Disbursements which have not yet been converted into Revolving Loans, and settlement amounts, payment amounts and other termination payment obligations under any Specified Swap Agreements and Cash Management Agreements, in each case, ratably among the Lenders, any applicable Cash Management Bank (in its respective capacity as a provider of Cash Management Services), and any applicable Qualified Counterparties, in each case, ratably among them in proportion to the respective amounts described in this clause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and payable to them;</w:t>
      </w:r>
    </w:p>
    <w:p>
      <w:pPr>
        <w:spacing w:after="0" w:line="178"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Administrative Agent for the account of the Issuing Lender, to Cash Collateralize that portion of the L/C Exposure comprised of the aggregate undrawn amount of Letters of Credit pursuant to </w:t>
      </w:r>
      <w:r>
        <w:rPr>
          <w:rFonts w:ascii="Arial" w:cs="Arial" w:eastAsia="Arial" w:hAnsi="Arial"/>
          <w:sz w:val="18"/>
          <w:szCs w:val="18"/>
          <w:u w:val="single" w:color="auto"/>
          <w:color w:val="auto"/>
        </w:rPr>
        <w:t>Section 3.10</w:t>
      </w:r>
      <w:r>
        <w:rPr>
          <w:rFonts w:ascii="Arial" w:cs="Arial" w:eastAsia="Arial" w:hAnsi="Arial"/>
          <w:sz w:val="18"/>
          <w:szCs w:val="18"/>
          <w:color w:val="auto"/>
        </w:rPr>
        <w:t>;</w:t>
      </w:r>
    </w:p>
    <w:p>
      <w:pPr>
        <w:spacing w:after="0" w:line="130"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for the account of any applicable Qualified Counterparty and any applicable Cash Management Bank, to any settlement amounts, payment amounts and other termination payment obligations under any Specified Swap Agreements and Cash Management Agreements not paid pursuant to clause Fifth and to Cash Collateralize Obligations arising under any then outstanding Specified Swap Agreements and Cash Management Services, in each case, ratably among them in proportion to the respective amounts described in this clause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payable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38" w:name="page139"/>
    <w:bookmarkEnd w:id="138"/>
    <w:p>
      <w:pPr>
        <w:jc w:val="both"/>
        <w:ind w:firstLine="1296"/>
        <w:spacing w:after="0" w:line="269" w:lineRule="auto"/>
        <w:rPr>
          <w:sz w:val="20"/>
          <w:szCs w:val="20"/>
          <w:color w:val="auto"/>
        </w:rPr>
      </w:pPr>
      <w:r>
        <w:rPr>
          <w:rFonts w:ascii="Arial" w:cs="Arial" w:eastAsia="Arial" w:hAnsi="Arial"/>
          <w:sz w:val="19"/>
          <w:szCs w:val="19"/>
          <w:u w:val="single" w:color="auto"/>
          <w:color w:val="auto"/>
        </w:rPr>
        <w:t>Eight</w:t>
      </w:r>
      <w:r>
        <w:rPr>
          <w:rFonts w:ascii="Arial" w:cs="Arial" w:eastAsia="Arial" w:hAnsi="Arial"/>
          <w:sz w:val="19"/>
          <w:szCs w:val="19"/>
          <w:color w:val="auto"/>
        </w:rPr>
        <w:t xml:space="preserve">, to the payment of all other Obligations of the Loan Parties that are then due and payable to the Administrative Agent and the other Secured Parties on such date, in each case, ratably among them in proportion to the respective aggregate amounts of all such Obligations described in this clause </w:t>
      </w:r>
      <w:r>
        <w:rPr>
          <w:rFonts w:ascii="Arial" w:cs="Arial" w:eastAsia="Arial" w:hAnsi="Arial"/>
          <w:sz w:val="19"/>
          <w:szCs w:val="19"/>
          <w:u w:val="single" w:color="auto"/>
          <w:color w:val="auto"/>
        </w:rPr>
        <w:t>Eight</w:t>
      </w:r>
      <w:r>
        <w:rPr>
          <w:rFonts w:ascii="Arial" w:cs="Arial" w:eastAsia="Arial" w:hAnsi="Arial"/>
          <w:sz w:val="19"/>
          <w:szCs w:val="19"/>
          <w:color w:val="auto"/>
        </w:rPr>
        <w:t xml:space="preserve"> and payable to them;</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the Discharge of Obligations, to the Borrower or as otherwise required by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Law.</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2.24(a)</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3.10</w:t>
      </w:r>
      <w:r>
        <w:rPr>
          <w:rFonts w:ascii="Arial" w:cs="Arial" w:eastAsia="Arial" w:hAnsi="Arial"/>
          <w:sz w:val="18"/>
          <w:szCs w:val="18"/>
          <w:color w:val="auto"/>
        </w:rPr>
        <w:t xml:space="preserve">, amounts used to Cash Collateralize the aggregate undrawn amount of Letters of Credit pursuant to clause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above shall be applied to satisfy drawings under such Letters of Credit as they occur. If any amount remains on deposit as Cash Collateral for Letters of Credit after all Letters of Credit have either been fully drawn or expired, such remaining amount shall be applied to the other Obligations, if any, in the order set forth above.</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Notwithstanding the foregoing, no Excluded Swap Obligation of any Guarantor shall be paid with amounts received from such Guarantor or from any Collateral in which such Guarantor has granted to the Administrative Agent a Lien (for the benefit of the Secured Parties) pursuant to the Guarantee and Collateral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party to this Agreement hereby acknowledges and agrees that appropriate adjustments shall be made by the Administrative Agent (which adjustments shall be controlling in the absence of manifest error) with respect to payments received from other Loan Parties to preserve the allocation of such payments to the satisfaction of the Obligations in the order otherwise contemplated in this </w:t>
      </w:r>
      <w:r>
        <w:rPr>
          <w:rFonts w:ascii="Arial" w:cs="Arial" w:eastAsia="Arial" w:hAnsi="Arial"/>
          <w:sz w:val="19"/>
          <w:szCs w:val="19"/>
          <w:u w:val="single" w:color="auto"/>
          <w:color w:val="auto"/>
        </w:rPr>
        <w:t>Section 8.3</w:t>
      </w:r>
      <w:r>
        <w:rPr>
          <w:rFonts w:ascii="Arial" w:cs="Arial" w:eastAsia="Arial" w:hAnsi="Arial"/>
          <w:sz w:val="19"/>
          <w:szCs w:val="19"/>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ADMINISTRATIVE AGENT</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8"/>
          <w:szCs w:val="18"/>
          <w:b w:val="1"/>
          <w:bCs w:val="1"/>
          <w:color w:val="auto"/>
        </w:rPr>
        <w:t>Appointment and Authority</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246" w:lineRule="auto"/>
        <w:tabs>
          <w:tab w:leader="none" w:pos="1944" w:val="left"/>
        </w:tabs>
        <w:numPr>
          <w:ilvl w:val="0"/>
          <w:numId w:val="138"/>
        </w:numPr>
        <w:rPr>
          <w:rFonts w:ascii="Arial" w:cs="Arial" w:eastAsia="Arial" w:hAnsi="Arial"/>
          <w:sz w:val="20"/>
          <w:szCs w:val="20"/>
          <w:color w:val="auto"/>
        </w:rPr>
      </w:pPr>
      <w:r>
        <w:rPr>
          <w:rFonts w:ascii="Arial" w:cs="Arial" w:eastAsia="Arial" w:hAnsi="Arial"/>
          <w:sz w:val="20"/>
          <w:szCs w:val="20"/>
          <w:color w:val="auto"/>
        </w:rPr>
        <w:t>Each of the Lenders hereby irrevocably appoints SVB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w:t>
      </w:r>
    </w:p>
    <w:p>
      <w:pPr>
        <w:spacing w:after="0" w:line="191" w:lineRule="exact"/>
        <w:rPr>
          <w:rFonts w:ascii="Arial" w:cs="Arial" w:eastAsia="Arial" w:hAnsi="Arial"/>
          <w:sz w:val="20"/>
          <w:szCs w:val="20"/>
          <w:color w:val="auto"/>
        </w:rPr>
      </w:pPr>
    </w:p>
    <w:p>
      <w:pPr>
        <w:jc w:val="both"/>
        <w:ind w:firstLine="1304"/>
        <w:spacing w:after="0" w:line="271" w:lineRule="auto"/>
        <w:tabs>
          <w:tab w:leader="none" w:pos="194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are solely for the benefit of the Administrative Agent, the Lenders, the Issuing Lender, and the Swingline Lender, and neither the Borrower nor any other Loan Party shall have rights as a third party beneficiary of any of such provisions. Notwithstanding any provision to the contrary elsewhere in this Agreement, the Administrative Agent shall not have any duties or obligations, except those expressly set forth herein and in the other Loan Documents, or any fiduciary relationship with any Lender, and no implied covenants, functions, responsibilities, duties, obligations or liabilities shall be read into this Agreement or any other Loan Document or otherwise exist against the Administrative Agent.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3" w:lineRule="exact"/>
        <w:rPr>
          <w:rFonts w:ascii="Arial" w:cs="Arial" w:eastAsia="Arial" w:hAnsi="Arial"/>
          <w:sz w:val="18"/>
          <w:szCs w:val="18"/>
          <w:color w:val="auto"/>
        </w:rPr>
      </w:pPr>
    </w:p>
    <w:p>
      <w:pPr>
        <w:jc w:val="both"/>
        <w:ind w:firstLine="1304"/>
        <w:spacing w:after="0" w:line="246" w:lineRule="auto"/>
        <w:tabs>
          <w:tab w:leader="none" w:pos="1944"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Administrative Agent shall also act as the collateral agent under the Loan Documents, and each of the Lenders (in their respective capacities as a Lender and, as applicable, Qualified Counterparty and provider of Cash Management Services) hereby irrevocably (i) authorizes the Administrative Agent to enter into all other Loan Documents, as applicable, including the Guarantee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39" w:name="page140"/>
    <w:bookmarkEnd w:id="139"/>
    <w:p>
      <w:pPr>
        <w:jc w:val="both"/>
        <w:spacing w:after="0" w:line="270" w:lineRule="auto"/>
        <w:rPr>
          <w:sz w:val="20"/>
          <w:szCs w:val="20"/>
          <w:color w:val="auto"/>
        </w:rPr>
      </w:pPr>
      <w:r>
        <w:rPr>
          <w:rFonts w:ascii="Arial" w:cs="Arial" w:eastAsia="Arial" w:hAnsi="Arial"/>
          <w:sz w:val="18"/>
          <w:szCs w:val="18"/>
          <w:color w:val="auto"/>
        </w:rPr>
        <w:t xml:space="preserve">Collateral Agreement and any Subordination Agreements, and (ii) appoints and authorizes the Administrative Agent to act as the agent of the Secured Parties for purposes of acquiring, holding and enforcing any and all Liens on Collateral granted by any of the Loan Parties to secure any of the Obligations, together with such powers and discretion as are reasonably incidental thereto. The Administrative Agent, as collateral agent and any co-agents, sub-agents and attorneys-in-fact appointed by the Administrative Agent pursuant to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9.7</w:t>
      </w:r>
      <w:r>
        <w:rPr>
          <w:rFonts w:ascii="Arial" w:cs="Arial" w:eastAsia="Arial" w:hAnsi="Arial"/>
          <w:sz w:val="18"/>
          <w:szCs w:val="18"/>
          <w:color w:val="auto"/>
        </w:rPr>
        <w:t>, as though such co-agents, sub-agents and attorneys-in-fact were the collateral agent under the Loan Documents) as if set forth in full herein with respect thereto. Without limiting the generality of the foregoing, the Administrative Agent is further authorized on behalf of all the Lenders, without the necessity of any notice to or further consent from the Lenders, from time to time to take any action, or permit the any co-agents, sub-agents and attorneys-in-fact appointed by the Administrative Agent to take any action, with respect to any Collateral or the Loan Documents which may be necessary to perfect and maintain perfected the Liens upon any Collateral granted pursuant to any Loan Document.</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9.2 Delegation of Duties</w:t>
      </w:r>
      <w:r>
        <w:rPr>
          <w:rFonts w:ascii="Arial" w:cs="Arial" w:eastAsia="Arial" w:hAnsi="Arial"/>
          <w:sz w:val="18"/>
          <w:szCs w:val="18"/>
          <w:color w:val="auto"/>
        </w:rPr>
        <w:t>. The Administrative Agent may perform any and all of its duties and exercise its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Facilities provided for herein as well as activities as the Administrative Agent. The Administrative Agent shall not be responsible for the negligence or misconduct of any sub-agents except to the extent that a court of competent jurisdiction determines in a final and nonappealable judgment that the Administrative Agent acted with bad faith, gross negligence or willful misconduct in the selection of such sub agents.</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9.3 Exculpatory Provisions</w:t>
      </w:r>
      <w:r>
        <w:rPr>
          <w:rFonts w:ascii="Arial" w:cs="Arial" w:eastAsia="Arial" w:hAnsi="Arial"/>
          <w:sz w:val="20"/>
          <w:szCs w:val="20"/>
          <w:color w:val="auto"/>
        </w:rPr>
        <w:t>. The Administrative Agent shall have no duties or obligations except those</w:t>
      </w:r>
      <w:r>
        <w:rPr>
          <w:rFonts w:ascii="Arial" w:cs="Arial" w:eastAsia="Arial" w:hAnsi="Arial"/>
          <w:sz w:val="20"/>
          <w:szCs w:val="20"/>
          <w:b w:val="1"/>
          <w:bCs w:val="1"/>
          <w:color w:val="auto"/>
        </w:rPr>
        <w:t xml:space="preserve"> </w:t>
      </w:r>
      <w:r>
        <w:rPr>
          <w:rFonts w:ascii="Arial" w:cs="Arial" w:eastAsia="Arial" w:hAnsi="Arial"/>
          <w:sz w:val="20"/>
          <w:szCs w:val="20"/>
          <w:color w:val="auto"/>
        </w:rPr>
        <w:t>expressly set forth herein and in the other Loan Documents, and its duties hereunder and thereunder shall be administrative in nature. Without limiting the generality of the foregoing, the Administrative Agent shall not:</w:t>
      </w:r>
    </w:p>
    <w:p>
      <w:pPr>
        <w:spacing w:after="0" w:line="183" w:lineRule="exact"/>
        <w:rPr>
          <w:sz w:val="20"/>
          <w:szCs w:val="20"/>
          <w:color w:val="auto"/>
        </w:rPr>
      </w:pPr>
    </w:p>
    <w:p>
      <w:pPr>
        <w:ind w:firstLine="1304"/>
        <w:spacing w:after="0" w:line="260" w:lineRule="auto"/>
        <w:tabs>
          <w:tab w:leader="none" w:pos="1944" w:val="left"/>
        </w:tabs>
        <w:numPr>
          <w:ilvl w:val="0"/>
          <w:numId w:val="139"/>
        </w:numPr>
        <w:rPr>
          <w:rFonts w:ascii="Arial" w:cs="Arial" w:eastAsia="Arial" w:hAnsi="Arial"/>
          <w:sz w:val="20"/>
          <w:szCs w:val="20"/>
          <w:color w:val="auto"/>
        </w:rPr>
      </w:pPr>
      <w:r>
        <w:rPr>
          <w:rFonts w:ascii="Arial" w:cs="Arial" w:eastAsia="Arial" w:hAnsi="Arial"/>
          <w:sz w:val="20"/>
          <w:szCs w:val="20"/>
          <w:color w:val="auto"/>
        </w:rPr>
        <w:t>be subject to any fiduciary or other implied duties, regardless of whether any Default or any Event of Default has occurred and is continuing;</w:t>
      </w:r>
    </w:p>
    <w:p>
      <w:pPr>
        <w:spacing w:after="0" w:line="176" w:lineRule="exact"/>
        <w:rPr>
          <w:rFonts w:ascii="Arial" w:cs="Arial" w:eastAsia="Arial" w:hAnsi="Arial"/>
          <w:sz w:val="20"/>
          <w:szCs w:val="20"/>
          <w:color w:val="auto"/>
        </w:rPr>
      </w:pPr>
    </w:p>
    <w:p>
      <w:pPr>
        <w:jc w:val="both"/>
        <w:ind w:firstLine="1304"/>
        <w:spacing w:after="0" w:line="273" w:lineRule="auto"/>
        <w:tabs>
          <w:tab w:leader="none" w:pos="194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68" w:lineRule="exact"/>
        <w:rPr>
          <w:rFonts w:ascii="Arial" w:cs="Arial" w:eastAsia="Arial" w:hAnsi="Arial"/>
          <w:sz w:val="18"/>
          <w:szCs w:val="18"/>
          <w:color w:val="auto"/>
        </w:rPr>
      </w:pPr>
    </w:p>
    <w:p>
      <w:pPr>
        <w:ind w:firstLine="1304"/>
        <w:spacing w:after="0" w:line="260" w:lineRule="auto"/>
        <w:tabs>
          <w:tab w:leader="none" w:pos="1944" w:val="left"/>
        </w:tabs>
        <w:numPr>
          <w:ilvl w:val="0"/>
          <w:numId w:val="139"/>
        </w:numPr>
        <w:rPr>
          <w:rFonts w:ascii="Arial" w:cs="Arial" w:eastAsia="Arial" w:hAnsi="Arial"/>
          <w:sz w:val="20"/>
          <w:szCs w:val="20"/>
          <w:color w:val="auto"/>
        </w:rPr>
      </w:pPr>
      <w:r>
        <w:rPr>
          <w:rFonts w:ascii="Arial" w:cs="Arial" w:eastAsia="Arial" w:hAnsi="Arial"/>
          <w:sz w:val="20"/>
          <w:szCs w:val="20"/>
          <w:color w:val="auto"/>
        </w:rPr>
        <w:t>except as expressly set forth herein and in the other Loan Documents, have any duty to disclose, and the Administrative Agent shall not be liable for the failure to disclose, any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40" w:name="page141"/>
    <w:bookmarkEnd w:id="140"/>
    <w:p>
      <w:pPr>
        <w:jc w:val="both"/>
        <w:spacing w:after="0" w:line="260" w:lineRule="auto"/>
        <w:rPr>
          <w:sz w:val="20"/>
          <w:szCs w:val="20"/>
          <w:color w:val="auto"/>
        </w:rPr>
      </w:pPr>
      <w:r>
        <w:rPr>
          <w:rFonts w:ascii="Arial" w:cs="Arial" w:eastAsia="Arial" w:hAnsi="Arial"/>
          <w:sz w:val="20"/>
          <w:szCs w:val="20"/>
          <w:color w:val="auto"/>
        </w:rPr>
        <w:t>relating to the Borrower or any of its Affiliates that is communicated to or obtained by any Person serving as the Administrative Agent or any of its Affiliates in any capacity.</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20"/>
          <w:szCs w:val="20"/>
          <w:u w:val="single" w:color="auto"/>
          <w:color w:val="auto"/>
        </w:rPr>
        <w:t>Sections 8.2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10.1</w:t>
      </w:r>
      <w:r>
        <w:rPr>
          <w:rFonts w:ascii="Arial" w:cs="Arial" w:eastAsia="Arial" w:hAnsi="Arial"/>
          <w:sz w:val="20"/>
          <w:szCs w:val="20"/>
          <w:color w:val="auto"/>
        </w:rPr>
        <w:t>), or (ii) in the absence of its own gross negligence or willful misconduct as determined by a court of competent jurisdiction by final and nonappealable judgment.</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or elsewhere herein, other than to confirm receipt of items expressly required to be delivered to the Administrative Agent.</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9.4 Reliance by Administrative Agent</w:t>
      </w:r>
      <w:r>
        <w:rPr>
          <w:rFonts w:ascii="Arial" w:cs="Arial" w:eastAsia="Arial" w:hAnsi="Arial"/>
          <w:sz w:val="18"/>
          <w:szCs w:val="18"/>
          <w:color w:val="auto"/>
        </w:rPr>
        <w:t>. The Administrative Agent shall be entitled to rely upon,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or the issuance of such Letter of Credit. The Administrative Agent may consult with legal counsel (who may be counsel for any of the Loan Parties), independent accountants and other experts selected by it, and shall not be liable for any action taken or not taken by it in accordance with the advice of any such counsel, accountants or experts.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such other number or percentage of Lenders as shall be provided for herein or in the other Loan Documents)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such other number or percentage of Lenders as shall be provided for herein or in the other Loan Documents), and such request and any action taken or failure to act pursuant thereto shall be binding upon the Lenders and all future holders of the Loans.</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9.5 Notice of Default</w:t>
      </w:r>
      <w:r>
        <w:rPr>
          <w:rFonts w:ascii="Arial" w:cs="Arial" w:eastAsia="Arial" w:hAnsi="Arial"/>
          <w:sz w:val="20"/>
          <w:szCs w:val="20"/>
          <w:color w:val="auto"/>
        </w:rPr>
        <w:t>. The Administrative Agent shall not be deemed to have knowledge or notice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occurrence of any Default or Event of Default unless the Administrative Agent has received notice in writing from a Lender or the Borrower referring to this Agreement, describing such Default or Event of Default and stating that such notice is a “</w:t>
      </w:r>
      <w:r>
        <w:rPr>
          <w:rFonts w:ascii="Arial" w:cs="Arial" w:eastAsia="Arial" w:hAnsi="Arial"/>
          <w:sz w:val="20"/>
          <w:szCs w:val="20"/>
          <w:b w:val="1"/>
          <w:bCs w:val="1"/>
          <w:i w:val="1"/>
          <w:iCs w:val="1"/>
          <w:color w:val="auto"/>
        </w:rPr>
        <w:t>notice of default</w:t>
      </w:r>
      <w:r>
        <w:rPr>
          <w:rFonts w:ascii="Arial" w:cs="Arial" w:eastAsia="Arial" w:hAnsi="Arial"/>
          <w:sz w:val="20"/>
          <w:szCs w:val="20"/>
          <w:color w:val="auto"/>
        </w:rPr>
        <w:t>.” In the event that the Administrative Agent receives such a notice, the Administrative Agent shall give notice thereof to the Lenders.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41" w:name="page142"/>
    <w:bookmarkEnd w:id="141"/>
    <w:p>
      <w:pPr>
        <w:jc w:val="both"/>
        <w:spacing w:after="0" w:line="244" w:lineRule="auto"/>
        <w:rPr>
          <w:sz w:val="20"/>
          <w:szCs w:val="20"/>
          <w:color w:val="auto"/>
        </w:rPr>
      </w:pPr>
      <w:r>
        <w:rPr>
          <w:rFonts w:ascii="Arial" w:cs="Arial" w:eastAsia="Arial" w:hAnsi="Arial"/>
          <w:sz w:val="20"/>
          <w:szCs w:val="20"/>
          <w:color w:val="auto"/>
        </w:rPr>
        <w:t xml:space="preserve">Administrative Agent shall take such action with respect to such Default or Event of Default as shall be reasonably directed by the Required Lenders (or, if so specified by this Agreement, all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9.6 Non-Reliance on Administrative Agent and Other Lenders</w:t>
      </w:r>
      <w:r>
        <w:rPr>
          <w:rFonts w:ascii="Arial" w:cs="Arial" w:eastAsia="Arial" w:hAnsi="Arial"/>
          <w:sz w:val="18"/>
          <w:szCs w:val="18"/>
          <w:color w:val="auto"/>
        </w:rPr>
        <w:t>. Each Lender expressly acknowledges that</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Administrative Agent nor any of its officers, directors, employees, agents, attorneys in fact or Affiliates has made any representations or warranties to it and that no act by the Administrative Agent hereafter taken, including any review of the affairs of a Group Member or any Affiliate of a Group Member, shall be deemed to constitute any representation or warranty by the Administrative Agent to any Lender. Each Lender represents to the Administrative Agent that it has, independently and without reliance upon the Administrative Agent or any other Lender or any of their Related Parties, and based on such documents and information as it has deemed appropriate, made its own appraisal of, and investigation into, the business, operations, property, financial and other condition and creditworthiness of the Group Members and their Affiliates and made its own credit analysis and decision to make its Loans hereunder and enter into this Agreement. Each Lender also agrees that it will, independently and without reliance upon the Administrative Agent or any other Lender or any of their Related Parties, and based on such documents and information as it shall from time to time deem appropriate, continue to make its own credit analysis, appraisals and decisions in taking or not taking action under or based upon this Agreement, the other Loan Documents or any related agreement or any document furnished hereunder or thereunder, and to make such investigation as it deems necessary to inform itself as to the business, operations, property, financial and other condition and creditworthiness of the Group Members and their Affiliates. Except for notices, reports and other documents expressly required to be furnished to the Lenders by the Administrative Agent hereunder, the Administrative Agent shall have no duty or responsibility to provide any Lender with any credit or other information concerning the business, operations, property, condition (financial or otherwise), prospects or creditworthiness of any Group Member or any Affiliate of a Group Member that may come into the possession of the Administrative Agent or any of its officers, directors, employees, agents, attorneys in fact or Affiliates.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9.7 Indemnification</w:t>
      </w:r>
      <w:r>
        <w:rPr>
          <w:rFonts w:ascii="Arial" w:cs="Arial" w:eastAsia="Arial" w:hAnsi="Arial"/>
          <w:sz w:val="18"/>
          <w:szCs w:val="18"/>
          <w:color w:val="auto"/>
        </w:rPr>
        <w:t>. Each of the Lenders agrees to indemnify each of the Administrative Agent, the Issuing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 and the Swingline Lender and each of its Related Parties in its capacity as such (to the extent not reimbursed by the Borrower or any other Loan Party and without limiting the obligation of the Borrower or any other Loan Party to do so) according to its Aggregate Exposure Percentage in effect on the date on which indemnification is sought under this </w:t>
      </w:r>
      <w:r>
        <w:rPr>
          <w:rFonts w:ascii="Arial" w:cs="Arial" w:eastAsia="Arial" w:hAnsi="Arial"/>
          <w:sz w:val="18"/>
          <w:szCs w:val="18"/>
          <w:u w:val="single" w:color="auto"/>
          <w:color w:val="auto"/>
        </w:rPr>
        <w:t>Section 9.7</w:t>
      </w:r>
      <w:r>
        <w:rPr>
          <w:rFonts w:ascii="Arial" w:cs="Arial" w:eastAsia="Arial" w:hAnsi="Arial"/>
          <w:sz w:val="18"/>
          <w:szCs w:val="18"/>
          <w:color w:val="auto"/>
        </w:rPr>
        <w:t xml:space="preserve"> (or, if indemnification is sought after the date upon which the Commitments shall have terminated and the Loans shall have been paid in full, in accordance with its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the Administrative Agent or such other Person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or such other Person under or in connection with any of the foregoing and any other amounts not reimbursed by the Borrower or such other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primarily from the Administrative Agent’s or such other Person’s bad faith, gross negligence or willful misconduct, and that with respect to such unpaid amounts owed to any Issuing Lender or Swingline Lender solely in its capacity as such, only the Revolving Lenders shall be required to pay such unpaid amounts, such payment to be made severally among them based on such Revolving Lenders’ Revolving Percentage (determined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42" w:name="page143"/>
    <w:bookmarkEnd w:id="142"/>
    <w:p>
      <w:pPr>
        <w:jc w:val="both"/>
        <w:spacing w:after="0" w:line="260" w:lineRule="auto"/>
        <w:rPr>
          <w:sz w:val="20"/>
          <w:szCs w:val="20"/>
          <w:color w:val="auto"/>
        </w:rPr>
      </w:pPr>
      <w:r>
        <w:rPr>
          <w:rFonts w:ascii="Arial" w:cs="Arial" w:eastAsia="Arial" w:hAnsi="Arial"/>
          <w:sz w:val="20"/>
          <w:szCs w:val="20"/>
          <w:color w:val="auto"/>
        </w:rPr>
        <w:t>of the time that the applicable unreimbursed expense or indemnity payment is sought). The agreements in this Section shall survive the payment of the Loans and all other amounts payable hereunder.</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9.8 Agent in Its Individual Capacity</w:t>
      </w:r>
      <w:r>
        <w:rPr>
          <w:rFonts w:ascii="Arial" w:cs="Arial" w:eastAsia="Arial" w:hAnsi="Arial"/>
          <w:sz w:val="20"/>
          <w:szCs w:val="20"/>
          <w:color w:val="auto"/>
        </w:rPr>
        <w:t>. The Person serving as the Administrative Agent hereunder shall have</w:t>
      </w:r>
      <w:r>
        <w:rPr>
          <w:rFonts w:ascii="Arial" w:cs="Arial" w:eastAsia="Arial" w:hAnsi="Arial"/>
          <w:sz w:val="20"/>
          <w:szCs w:val="20"/>
          <w:b w:val="1"/>
          <w:bCs w:val="1"/>
          <w:color w:val="auto"/>
        </w:rPr>
        <w:t xml:space="preserve"> </w:t>
      </w:r>
      <w:r>
        <w:rPr>
          <w:rFonts w:ascii="Arial" w:cs="Arial" w:eastAsia="Arial" w:hAnsi="Arial"/>
          <w:sz w:val="20"/>
          <w:szCs w:val="20"/>
          <w:color w:val="auto"/>
        </w:rPr>
        <w:t>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9.9</w:t>
      </w:r>
      <w:r>
        <w:rPr>
          <w:sz w:val="20"/>
          <w:szCs w:val="20"/>
          <w:color w:val="auto"/>
        </w:rPr>
        <w:tab/>
      </w:r>
      <w:r>
        <w:rPr>
          <w:rFonts w:ascii="Arial" w:cs="Arial" w:eastAsia="Arial" w:hAnsi="Arial"/>
          <w:sz w:val="16"/>
          <w:szCs w:val="16"/>
          <w:b w:val="1"/>
          <w:bCs w:val="1"/>
          <w:color w:val="auto"/>
        </w:rPr>
        <w:t>Successor Administrative Agent</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56" w:lineRule="auto"/>
        <w:tabs>
          <w:tab w:leader="none" w:pos="1944"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Administrative Agent may at any time give notice of its resignation to the Lenders and the Borrower. Upon receipt of any such notice of resignation, the Required Lenders shall have the right, in consultation with the Borrower, to appoint a successor.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9"/>
          <w:szCs w:val="19"/>
          <w:b w:val="1"/>
          <w:bCs w:val="1"/>
          <w:i w:val="1"/>
          <w:iCs w:val="1"/>
          <w:color w:val="auto"/>
        </w:rPr>
        <w:t>Resignation Effective Date</w:t>
      </w:r>
      <w:r>
        <w:rPr>
          <w:rFonts w:ascii="Arial" w:cs="Arial" w:eastAsia="Arial" w:hAnsi="Arial"/>
          <w:sz w:val="19"/>
          <w:szCs w:val="19"/>
          <w:color w:val="auto"/>
        </w:rPr>
        <w:t xml:space="preserve">”), then the retiring Administrative Agent may (but shall not be obligated to), on behalf of the Lenders, appoint a successor Administrative Agent meeting the qualifications set forth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84" w:lineRule="exact"/>
        <w:rPr>
          <w:rFonts w:ascii="Arial" w:cs="Arial" w:eastAsia="Arial" w:hAnsi="Arial"/>
          <w:sz w:val="19"/>
          <w:szCs w:val="19"/>
          <w:color w:val="auto"/>
        </w:rPr>
      </w:pPr>
    </w:p>
    <w:p>
      <w:pPr>
        <w:jc w:val="both"/>
        <w:ind w:firstLine="1304"/>
        <w:spacing w:after="0" w:line="276" w:lineRule="auto"/>
        <w:tabs>
          <w:tab w:leader="none" w:pos="194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8"/>
          <w:szCs w:val="18"/>
          <w:b w:val="1"/>
          <w:bCs w:val="1"/>
          <w:i w:val="1"/>
          <w:iCs w:val="1"/>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164" w:lineRule="exact"/>
        <w:rPr>
          <w:rFonts w:ascii="Arial" w:cs="Arial" w:eastAsia="Arial" w:hAnsi="Arial"/>
          <w:sz w:val="18"/>
          <w:szCs w:val="18"/>
          <w:color w:val="auto"/>
        </w:rPr>
      </w:pPr>
    </w:p>
    <w:p>
      <w:pPr>
        <w:jc w:val="both"/>
        <w:ind w:firstLine="1304"/>
        <w:spacing w:after="0" w:line="269" w:lineRule="auto"/>
        <w:tabs>
          <w:tab w:leader="none" w:pos="194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Secured Parties under any of the Loan Documents, the retiring or removed Administrative Agent shall continue to hold such collateral security until such time as a successor Administrative Agent is appointed and such collateral security is assigned to such successor Administrative Agent)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43" w:name="page144"/>
    <w:bookmarkEnd w:id="143"/>
    <w:p>
      <w:pPr>
        <w:jc w:val="both"/>
        <w:spacing w:after="0" w:line="244" w:lineRule="auto"/>
        <w:rPr>
          <w:sz w:val="20"/>
          <w:szCs w:val="20"/>
          <w:color w:val="auto"/>
        </w:rPr>
      </w:pPr>
      <w:r>
        <w:rPr>
          <w:rFonts w:ascii="Arial" w:cs="Arial" w:eastAsia="Arial" w:hAnsi="Arial"/>
          <w:sz w:val="20"/>
          <w:szCs w:val="20"/>
          <w:color w:val="auto"/>
        </w:rPr>
        <w:t xml:space="preserve">the Borrower and such successor. After the retiring or removed Administrative Agent’s resignation or removal hereunder and under the other Loan Documents, the provisions of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10.5</w:t>
      </w:r>
      <w:r>
        <w:rPr>
          <w:rFonts w:ascii="Arial" w:cs="Arial" w:eastAsia="Arial" w:hAnsi="Arial"/>
          <w:sz w:val="20"/>
          <w:szCs w:val="20"/>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the Administrative Agent.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9.10</w:t>
      </w:r>
      <w:r>
        <w:rPr>
          <w:sz w:val="20"/>
          <w:szCs w:val="20"/>
          <w:color w:val="auto"/>
        </w:rPr>
        <w:tab/>
      </w:r>
      <w:r>
        <w:rPr>
          <w:rFonts w:ascii="Arial" w:cs="Arial" w:eastAsia="Arial" w:hAnsi="Arial"/>
          <w:sz w:val="18"/>
          <w:szCs w:val="18"/>
          <w:b w:val="1"/>
          <w:bCs w:val="1"/>
          <w:color w:val="auto"/>
        </w:rPr>
        <w:t>Collateral and Guaranty Matters</w:t>
      </w:r>
      <w:r>
        <w:rPr>
          <w:rFonts w:ascii="Arial" w:cs="Arial" w:eastAsia="Arial" w:hAnsi="Arial"/>
          <w:sz w:val="18"/>
          <w:szCs w:val="18"/>
          <w:color w:val="auto"/>
        </w:rPr>
        <w:t>.</w:t>
      </w:r>
    </w:p>
    <w:p>
      <w:pPr>
        <w:spacing w:after="0" w:line="222" w:lineRule="exact"/>
        <w:rPr>
          <w:sz w:val="20"/>
          <w:szCs w:val="20"/>
          <w:color w:val="auto"/>
        </w:rPr>
      </w:pPr>
    </w:p>
    <w:p>
      <w:pPr>
        <w:ind w:left="1960" w:hanging="656"/>
        <w:spacing w:after="0"/>
        <w:tabs>
          <w:tab w:leader="none" w:pos="196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The Lenders irrevocably authorize the Administrative Agent, at its option and in its discretion,</w:t>
      </w:r>
    </w:p>
    <w:p>
      <w:pPr>
        <w:spacing w:after="0" w:line="227" w:lineRule="exact"/>
        <w:rPr>
          <w:rFonts w:ascii="Arial" w:cs="Arial" w:eastAsia="Arial" w:hAnsi="Arial"/>
          <w:sz w:val="19"/>
          <w:szCs w:val="19"/>
          <w:color w:val="auto"/>
        </w:rPr>
      </w:pPr>
    </w:p>
    <w:p>
      <w:pPr>
        <w:jc w:val="both"/>
        <w:ind w:firstLine="1952"/>
        <w:spacing w:after="0" w:line="270" w:lineRule="auto"/>
        <w:tabs>
          <w:tab w:leader="none" w:pos="2592"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to release any Lien on any Collateral or other property granted to or held by the Administrative Agent under any Loan Document (A) upon the Discharge of Obligations (other than contingent indemnification obligations) and the expiration or termination of all Letters of Credit (other than Letters of Credit as to which other arrangements satisfactory to the Administrative Agent and the applicable Issuing Lender shall have been made),</w:t>
      </w:r>
    </w:p>
    <w:p>
      <w:pPr>
        <w:spacing w:after="0" w:line="2" w:lineRule="exact"/>
        <w:rPr>
          <w:rFonts w:ascii="Arial" w:cs="Arial" w:eastAsia="Arial" w:hAnsi="Arial"/>
          <w:sz w:val="18"/>
          <w:szCs w:val="18"/>
          <w:color w:val="auto"/>
        </w:rPr>
      </w:pPr>
    </w:p>
    <w:p>
      <w:pPr>
        <w:jc w:val="both"/>
        <w:ind w:firstLine="8"/>
        <w:spacing w:after="0" w:line="241" w:lineRule="auto"/>
        <w:tabs>
          <w:tab w:leader="none" w:pos="325" w:val="left"/>
        </w:tabs>
        <w:numPr>
          <w:ilvl w:val="0"/>
          <w:numId w:val="142"/>
        </w:numPr>
        <w:rPr>
          <w:rFonts w:ascii="Arial" w:cs="Arial" w:eastAsia="Arial" w:hAnsi="Arial"/>
          <w:sz w:val="20"/>
          <w:szCs w:val="20"/>
          <w:color w:val="auto"/>
        </w:rPr>
      </w:pPr>
      <w:r>
        <w:rPr>
          <w:rFonts w:ascii="Arial" w:cs="Arial" w:eastAsia="Arial" w:hAnsi="Arial"/>
          <w:sz w:val="20"/>
          <w:szCs w:val="20"/>
          <w:color w:val="auto"/>
        </w:rPr>
        <w:t xml:space="preserve">that is sold or otherwise disposed of or to be sold or otherwise disposed of as part of or in connection with any sale or other disposition permitted hereunder or under any other Loan Document, or (C) subject to </w:t>
      </w:r>
      <w:r>
        <w:rPr>
          <w:rFonts w:ascii="Arial" w:cs="Arial" w:eastAsia="Arial" w:hAnsi="Arial"/>
          <w:sz w:val="20"/>
          <w:szCs w:val="20"/>
          <w:u w:val="single" w:color="auto"/>
          <w:color w:val="auto"/>
        </w:rPr>
        <w:t>Section 10.1</w:t>
      </w:r>
      <w:r>
        <w:rPr>
          <w:rFonts w:ascii="Arial" w:cs="Arial" w:eastAsia="Arial" w:hAnsi="Arial"/>
          <w:sz w:val="20"/>
          <w:szCs w:val="20"/>
          <w:color w:val="auto"/>
        </w:rPr>
        <w:t>, if approved, authorized or ratified in writing by the Required Lenders;</w:t>
      </w:r>
    </w:p>
    <w:p>
      <w:pPr>
        <w:spacing w:after="0" w:line="195" w:lineRule="exact"/>
        <w:rPr>
          <w:rFonts w:ascii="Arial" w:cs="Arial" w:eastAsia="Arial" w:hAnsi="Arial"/>
          <w:sz w:val="20"/>
          <w:szCs w:val="20"/>
          <w:color w:val="auto"/>
        </w:rPr>
      </w:pPr>
    </w:p>
    <w:p>
      <w:pPr>
        <w:jc w:val="both"/>
        <w:ind w:firstLine="1952"/>
        <w:spacing w:after="0" w:line="275" w:lineRule="auto"/>
        <w:tabs>
          <w:tab w:leader="none" w:pos="2592" w:val="left"/>
        </w:tabs>
        <w:numPr>
          <w:ilvl w:val="2"/>
          <w:numId w:val="142"/>
        </w:numPr>
        <w:rPr>
          <w:rFonts w:ascii="Arial" w:cs="Arial" w:eastAsia="Arial" w:hAnsi="Arial"/>
          <w:sz w:val="18"/>
          <w:szCs w:val="18"/>
          <w:color w:val="auto"/>
        </w:rPr>
      </w:pPr>
      <w:r>
        <w:rPr>
          <w:rFonts w:ascii="Arial" w:cs="Arial" w:eastAsia="Arial" w:hAnsi="Arial"/>
          <w:sz w:val="18"/>
          <w:szCs w:val="18"/>
          <w:color w:val="auto"/>
        </w:rPr>
        <w:t xml:space="preserve">to subordinate any Lien on any Collateral or other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Sections 7.3</w:t>
      </w:r>
    </w:p>
    <w:p>
      <w:pPr>
        <w:spacing w:after="0"/>
        <w:rPr>
          <w:rFonts w:ascii="Arial" w:cs="Arial" w:eastAsia="Arial" w:hAnsi="Arial"/>
          <w:sz w:val="18"/>
          <w:szCs w:val="18"/>
          <w:color w:val="auto"/>
        </w:rPr>
      </w:pPr>
      <w:r>
        <w:rPr>
          <w:rFonts w:ascii="Arial" w:cs="Arial" w:eastAsia="Arial" w:hAnsi="Arial"/>
          <w:sz w:val="20"/>
          <w:szCs w:val="20"/>
          <w:u w:val="single" w:color="auto"/>
          <w:color w:val="auto"/>
        </w:rPr>
        <w:t>(g)</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w:t>
      </w:r>
      <w:r>
        <w:rPr>
          <w:rFonts w:ascii="Arial" w:cs="Arial" w:eastAsia="Arial" w:hAnsi="Arial"/>
          <w:sz w:val="20"/>
          <w:szCs w:val="20"/>
          <w:color w:val="auto"/>
        </w:rPr>
        <w:t>; and</w:t>
      </w:r>
    </w:p>
    <w:p>
      <w:pPr>
        <w:spacing w:after="0" w:line="200" w:lineRule="exact"/>
        <w:rPr>
          <w:sz w:val="20"/>
          <w:szCs w:val="20"/>
          <w:color w:val="auto"/>
        </w:rPr>
      </w:pPr>
    </w:p>
    <w:p>
      <w:pPr>
        <w:ind w:firstLine="1952"/>
        <w:spacing w:after="0" w:line="316" w:lineRule="auto"/>
        <w:tabs>
          <w:tab w:leader="none" w:pos="259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release any Guarantor from its obligations under the Guarantee and Collateral Agreement if such Person ceases to be a Subsidiary as a result of a transaction permitted under the Loan Documents.</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20"/>
          <w:szCs w:val="20"/>
          <w:u w:val="single" w:color="auto"/>
          <w:color w:val="auto"/>
        </w:rPr>
        <w:t>Section 9.10</w:t>
      </w:r>
      <w:r>
        <w:rPr>
          <w:rFonts w:ascii="Arial" w:cs="Arial" w:eastAsia="Arial" w:hAnsi="Arial"/>
          <w:sz w:val="20"/>
          <w:szCs w:val="20"/>
          <w:color w:val="auto"/>
        </w:rPr>
        <w:t>.</w:t>
      </w:r>
    </w:p>
    <w:p>
      <w:pPr>
        <w:spacing w:after="0" w:line="186" w:lineRule="exact"/>
        <w:rPr>
          <w:sz w:val="20"/>
          <w:szCs w:val="20"/>
          <w:color w:val="auto"/>
        </w:rPr>
      </w:pPr>
    </w:p>
    <w:p>
      <w:pPr>
        <w:jc w:val="both"/>
        <w:ind w:firstLine="1304"/>
        <w:spacing w:after="0" w:line="244" w:lineRule="auto"/>
        <w:tabs>
          <w:tab w:leader="none" w:pos="1944"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94" w:lineRule="exact"/>
        <w:rPr>
          <w:rFonts w:ascii="Arial" w:cs="Arial" w:eastAsia="Arial" w:hAnsi="Arial"/>
          <w:sz w:val="20"/>
          <w:szCs w:val="20"/>
          <w:color w:val="auto"/>
        </w:rPr>
      </w:pPr>
    </w:p>
    <w:p>
      <w:pPr>
        <w:jc w:val="both"/>
        <w:ind w:firstLine="1304"/>
        <w:spacing w:after="0" w:line="255" w:lineRule="auto"/>
        <w:tabs>
          <w:tab w:leader="none" w:pos="1944"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Notwithstanding anything contained in any Loan Document, no Secured Party shall have any right individually to realize upon any of the Collateral or to enforce any guaranty of the Obligations (including any such guaranty provided by the Guarantors pursuant to the Guarantee and Collateral Agreement), it being understood and agreed that all powers, rights and remedies under the Loan Documents may be exercised solely by the Administrative Agent on behalf of the Secured Parties in accordance with the terms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in no event shall a Secured Party be restricted hereunder from filing a proof of claim on its own behalf during the pendency of a proceeding relative to any Loan Party under any Debtor Relief Law or any other judicial proceeding. In the event of a foreclosure by the Administrative Agent on any of the Collateral pursuant to a public or private sale or other disposition, the Administrative Agent or any Secured Party may be the purchaser or licensor of any or all of such Collateral at any such sale or other disposition, and the Administrative Agent, as agent for and representative of such Secured Party (but not any Lender or Lenders in its or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44" w:name="page145"/>
    <w:bookmarkEnd w:id="144"/>
    <w:p>
      <w:pPr>
        <w:jc w:val="both"/>
        <w:spacing w:after="0" w:line="269" w:lineRule="auto"/>
        <w:rPr>
          <w:sz w:val="20"/>
          <w:szCs w:val="20"/>
          <w:color w:val="auto"/>
        </w:rPr>
      </w:pPr>
      <w:r>
        <w:rPr>
          <w:rFonts w:ascii="Arial" w:cs="Arial" w:eastAsia="Arial" w:hAnsi="Arial"/>
          <w:sz w:val="18"/>
          <w:szCs w:val="18"/>
          <w:color w:val="auto"/>
        </w:rPr>
        <w:t>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Obligations provided by the Loan Parties under the Guarantee and Collateral Agreement, to have agreed to the foregoing provisions. In furtherance of the foregoing, and not in limitation thereof, no Specified Swap Agreement and no Cash Management Agreement, the Obligations under which constitute Obligations, will create (or be deemed to create) in favor of any Secured Party that is a party thereto any rights in connection with the management or release of any Collateral or of the Obligations of any Loan Party under any Loan Document except as expressly provided herein or in the Guarantee and Collateral Agreement. By accepting the benefits of the Collateral and of the guarantees of the Obligations provided by the Loan Parties under the Guarantee and Collateral Agreement, any Secured Party that is a Cash Management Bank or a Qualified Counterparty shall be deemed to have appointed the Administrative Agent to serve as administrative agent and collateral agent under the Loan Documents and to have agreed to be bound by the Loan Documents as a Secured Party thereunder, subject to the limitations set forth in this paragraph.</w:t>
      </w:r>
    </w:p>
    <w:p>
      <w:pPr>
        <w:spacing w:after="0" w:line="17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9.11 Administrative Agent May File Proofs of Claim</w:t>
      </w:r>
      <w:r>
        <w:rPr>
          <w:rFonts w:ascii="Arial" w:cs="Arial" w:eastAsia="Arial" w:hAnsi="Arial"/>
          <w:sz w:val="18"/>
          <w:szCs w:val="18"/>
          <w:color w:val="auto"/>
        </w:rPr>
        <w:t>. In case of the pendency of any proceeding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Debtor Relief Law or any other judicial proceeding relative to any Loan Party, the Administrative Agent (irrespective of whether the principal of any Loan or Obligation in respect of any Letter of Credit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62" w:lineRule="exact"/>
        <w:rPr>
          <w:sz w:val="20"/>
          <w:szCs w:val="20"/>
          <w:color w:val="auto"/>
        </w:rPr>
      </w:pPr>
    </w:p>
    <w:p>
      <w:pPr>
        <w:jc w:val="both"/>
        <w:ind w:firstLine="1304"/>
        <w:spacing w:after="0" w:line="259" w:lineRule="auto"/>
        <w:tabs>
          <w:tab w:leader="none" w:pos="1944"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Obligations in respect of any Letter of Credit and all other Obligations that are owing and unpaid and to file such other documents as may be necessary to have the claims of the Lenders and the Administrative Agent (including any claim for the reasonable and documented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9"/>
          <w:szCs w:val="19"/>
          <w:u w:val="single" w:color="auto"/>
          <w:color w:val="auto"/>
        </w:rPr>
        <w:t>Sections 2.9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10.5</w:t>
      </w:r>
      <w:r>
        <w:rPr>
          <w:rFonts w:ascii="Arial" w:cs="Arial" w:eastAsia="Arial" w:hAnsi="Arial"/>
          <w:sz w:val="19"/>
          <w:szCs w:val="19"/>
          <w:color w:val="auto"/>
        </w:rPr>
        <w:t>) allowed in such judicial proceeding; and</w:t>
      </w:r>
    </w:p>
    <w:p>
      <w:pPr>
        <w:spacing w:after="0" w:line="178" w:lineRule="exact"/>
        <w:rPr>
          <w:rFonts w:ascii="Arial" w:cs="Arial" w:eastAsia="Arial" w:hAnsi="Arial"/>
          <w:sz w:val="19"/>
          <w:szCs w:val="19"/>
          <w:color w:val="auto"/>
        </w:rPr>
      </w:pPr>
    </w:p>
    <w:p>
      <w:pPr>
        <w:ind w:left="1960" w:hanging="656"/>
        <w:spacing w:after="0"/>
        <w:tabs>
          <w:tab w:leader="none" w:pos="19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to collect and receive any monies or other property payable or deliverable on any such claims and to</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distribute the same;</w:t>
      </w:r>
    </w:p>
    <w:p>
      <w:pPr>
        <w:spacing w:after="0" w:line="20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18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9.12 No Other Duties, etc. </w:t>
      </w:r>
      <w:r>
        <w:rPr>
          <w:rFonts w:ascii="Arial" w:cs="Arial" w:eastAsia="Arial" w:hAnsi="Arial"/>
          <w:sz w:val="20"/>
          <w:szCs w:val="20"/>
          <w:color w:val="auto"/>
        </w:rPr>
        <w:t>Anything herein to the contrary notwithstanding, the Lead Arranger listed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cover page hereof shall not have any powers, duties or responsibilities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45" w:name="page146"/>
    <w:bookmarkEnd w:id="145"/>
    <w:p>
      <w:pPr>
        <w:jc w:val="both"/>
        <w:ind w:right="20"/>
        <w:spacing w:after="0" w:line="260" w:lineRule="auto"/>
        <w:rPr>
          <w:sz w:val="20"/>
          <w:szCs w:val="20"/>
          <w:color w:val="auto"/>
        </w:rPr>
      </w:pPr>
      <w:r>
        <w:rPr>
          <w:rFonts w:ascii="Arial" w:cs="Arial" w:eastAsia="Arial" w:hAnsi="Arial"/>
          <w:sz w:val="20"/>
          <w:szCs w:val="20"/>
          <w:color w:val="auto"/>
        </w:rPr>
        <w:t>or any of the other Loan Documents, except in its capacity, as applicable, as the Administrative Agent, a Lender, the Issuing Lender or the Swingline Lender hereunder.</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9.13 Cash Management Bank and Qualified Counterparty Reports</w:t>
      </w:r>
      <w:r>
        <w:rPr>
          <w:rFonts w:ascii="Arial" w:cs="Arial" w:eastAsia="Arial" w:hAnsi="Arial"/>
          <w:sz w:val="18"/>
          <w:szCs w:val="18"/>
          <w:color w:val="auto"/>
        </w:rPr>
        <w:t>. Each Cash Management Bank 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Counterparty agrees to furnish to the Administrative Agent, as frequently as the Administrative Agent may reasonably request, with a summary of all Obligations in respect of Cash Management Services and/or Specified Swap Agreements, as applicable, due or to become due to such Cash Management Bank or Qualified Counterparty, as applicable. In connection with any distributions to be made hereunder, the Administrative Agent shall be entitled to assume that no amounts are due to any Cash Management Bank or Qualified Counterparty (in its capacity as a Cash Management Bank or Qualified Counterparty and not in its capacity as a Lender) unless the Administrative Agent has received written notice thereof from such Cash Management Bank or Qualified Counterparty and if such notice is received, the Administrative Agent shall be entitled to assume that the only amounts due to such Cash Management Bank or Qualified Counterparty on account of Cash Management Services or Specified Swap Agreements are set forth in such notice.</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9.14</w:t>
      </w:r>
      <w:r>
        <w:rPr>
          <w:sz w:val="20"/>
          <w:szCs w:val="20"/>
          <w:color w:val="auto"/>
        </w:rPr>
        <w:tab/>
      </w:r>
      <w:r>
        <w:rPr>
          <w:rFonts w:ascii="Arial" w:cs="Arial" w:eastAsia="Arial" w:hAnsi="Arial"/>
          <w:sz w:val="18"/>
          <w:szCs w:val="18"/>
          <w:b w:val="1"/>
          <w:bCs w:val="1"/>
          <w:color w:val="auto"/>
        </w:rPr>
        <w:t>Survival</w:t>
      </w:r>
      <w:r>
        <w:rPr>
          <w:rFonts w:ascii="Arial" w:cs="Arial" w:eastAsia="Arial" w:hAnsi="Arial"/>
          <w:sz w:val="18"/>
          <w:szCs w:val="18"/>
          <w:color w:val="auto"/>
        </w:rPr>
        <w:t>.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Discharge of Obligations.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6"/>
          <w:szCs w:val="16"/>
          <w:b w:val="1"/>
          <w:bCs w:val="1"/>
          <w:color w:val="auto"/>
        </w:rPr>
        <w:t>Amendments and Waivers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66" w:lineRule="auto"/>
        <w:tabs>
          <w:tab w:leader="none" w:pos="194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Neither this Agreement, any other Loan Document (other than any L/C Related Document), nor any terms hereof or thereof may be amended, supplemented or modified except in accordance with the provisions of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The Required Lenders and each Loan Party party to the relevant Loan Document may, or, with the written consent of the Required Lenders, the Administrative Agent and each Loan Party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waiver and no such amendment, supplement or modification shall (A) forgive the principal amount or extend the final scheduled date of maturity of any Loan, reduce the stated rate of any interest or fee payable hereunder (except that no amendment or modification of defined terms used in the financial covenants in this Agreement or waiver of any Default or Event of Default or the right to receive interest at the Default Rate shall constitute a reduction in the rate of interest or fees for purposes of this clause (A)) or extend the scheduled date of any payment thereof, or increase the amount or extend the expiration date of any Lender’s Revolving Commitment, in each case, without the written consent of each Lender directly affected thereby (except that no waiver of any Overadvance repayment shall be considered such an extension); (B) eliminate or reduce the voting rights of any Lender under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Collateral or release all or substantially all of the value of the guarantees (taken as a whole) of the Guarantors from their obligations under the Guarantee and Collateral Agreement, in each case without the written consent of all Lenders;</w:t>
      </w:r>
    </w:p>
    <w:p>
      <w:pPr>
        <w:spacing w:after="0" w:line="17" w:lineRule="exact"/>
        <w:rPr>
          <w:rFonts w:ascii="Arial" w:cs="Arial" w:eastAsia="Arial" w:hAnsi="Arial"/>
          <w:sz w:val="18"/>
          <w:szCs w:val="18"/>
          <w:color w:val="auto"/>
        </w:rPr>
      </w:pPr>
    </w:p>
    <w:p>
      <w:pPr>
        <w:jc w:val="both"/>
        <w:ind w:firstLine="8"/>
        <w:spacing w:after="0" w:line="241" w:lineRule="auto"/>
        <w:tabs>
          <w:tab w:leader="none" w:pos="342"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(i) amend, modify or waive the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requirements of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or any other provision of the Loan Documents requiring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treatment of the Lenders in a manner that adversely affects Revolving Lenders without the written consent of each Revolving Lender or (ii) amend, modify or waive the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requirements of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or any other provision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46" w:name="page147"/>
    <w:bookmarkEnd w:id="146"/>
    <w:p>
      <w:pPr>
        <w:jc w:val="both"/>
        <w:spacing w:after="0" w:line="268" w:lineRule="auto"/>
        <w:rPr>
          <w:sz w:val="20"/>
          <w:szCs w:val="20"/>
          <w:color w:val="auto"/>
        </w:rPr>
      </w:pPr>
      <w:r>
        <w:rPr>
          <w:rFonts w:ascii="Arial" w:cs="Arial" w:eastAsia="Arial" w:hAnsi="Arial"/>
          <w:sz w:val="18"/>
          <w:szCs w:val="18"/>
          <w:color w:val="auto"/>
        </w:rPr>
        <w:t xml:space="preserve">Documents requiring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treatment of the Lenders in a manner that adversely affects the L/C Lenders without the written consent of each L/C Lender; (E) [reserved]; (F) amend, modify or waive any provision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without the written consent of the Administrative Agent; (G) amend, modify or waive any provision of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without the written consent of the Swingline Lender; (H) amend, modify or waive any provision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without the written consent of the Administrative Agent, the Issuing Lender and each Lender; or (I) (i) amend or modify the application of payments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in a manner that adversely affects Revolving Lenders without the written consent of each affected Revolving Lender, (ii) amend or modify the application of payments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in a manner that adversely affects L/C Lenders without the written consent of the L/C Lenders, or (iii) amend or modify the application of payments provisions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in a manner that adversely affects the Issuing Lender, any Cash Management Bank or any Qualified Counterparty, as applicable, without the written consent of the Issuing Lender, such Cash Management Bank or any such Qualified Counterparty, as applicable. Any such waiver and any such amendment, supplement or modification shall apply equally to each of the Lenders and shall be binding upon the Loan Parties, the Lenders, the Administrative Agent, the Issuing Lender, each Cash Management Bank, each Qualified Counterparty,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during the period such waiver is effective; but no such waiver shall extend to any subsequent or other Default or Event of Default, or impair any right consequent thereon. Notwithstanding the foregoing, the Issuing Lender may amend any of the L/C-Related Documents without the consent of the Administrative Agent or any other Lender and the Issuing Lender, Administrative Agent and the Borrower may make customary technical amendments if any Letter of Credit shall be issued hereunder in a currency other than U.S. Dollars.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Revolving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200" w:lineRule="exact"/>
        <w:rPr>
          <w:sz w:val="20"/>
          <w:szCs w:val="20"/>
          <w:color w:val="auto"/>
        </w:rPr>
      </w:pPr>
    </w:p>
    <w:p>
      <w:pPr>
        <w:spacing w:after="0" w:line="203" w:lineRule="exact"/>
        <w:rPr>
          <w:sz w:val="20"/>
          <w:szCs w:val="20"/>
          <w:color w:val="auto"/>
        </w:rPr>
      </w:pPr>
    </w:p>
    <w:p>
      <w:pPr>
        <w:jc w:val="both"/>
        <w:ind w:firstLine="1304"/>
        <w:spacing w:after="0" w:line="243" w:lineRule="auto"/>
        <w:tabs>
          <w:tab w:leader="none" w:pos="1944" w:val="left"/>
        </w:tabs>
        <w:numPr>
          <w:ilvl w:val="0"/>
          <w:numId w:val="148"/>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w:t>
      </w:r>
      <w:r>
        <w:rPr>
          <w:rFonts w:ascii="Arial" w:cs="Arial" w:eastAsia="Arial" w:hAnsi="Arial"/>
          <w:sz w:val="20"/>
          <w:szCs w:val="20"/>
          <w:u w:val="single" w:color="auto"/>
          <w:color w:val="auto"/>
        </w:rPr>
        <w:t>Section 10.1(a)</w:t>
      </w:r>
      <w:r>
        <w:rPr>
          <w:rFonts w:ascii="Arial" w:cs="Arial" w:eastAsia="Arial" w:hAnsi="Arial"/>
          <w:sz w:val="20"/>
          <w:szCs w:val="20"/>
          <w:color w:val="auto"/>
        </w:rPr>
        <w:t xml:space="preserve"> above, in the event that the Borrower requests that this Agreement or any of the other Loan Documents be amended or otherwise modified in a manner which would require the consent of all of the Lenders and such amendment or other modification is agreed to by the Borrower, the Required Lenders and the Administrative Agent, then, with the consent of the Borrower, the Administrative Agent and the Required Lenders, this Agreement or such other Loan Document may be amended without the consent of the Lender or Lenders who are unwilling to agree to such amendment or other modification (each, a “</w:t>
      </w:r>
      <w:r>
        <w:rPr>
          <w:rFonts w:ascii="Arial" w:cs="Arial" w:eastAsia="Arial" w:hAnsi="Arial"/>
          <w:sz w:val="20"/>
          <w:szCs w:val="20"/>
          <w:b w:val="1"/>
          <w:bCs w:val="1"/>
          <w:i w:val="1"/>
          <w:iCs w:val="1"/>
          <w:color w:val="auto"/>
        </w:rPr>
        <w:t>Minority Lender</w:t>
      </w:r>
      <w:r>
        <w:rPr>
          <w:rFonts w:ascii="Arial" w:cs="Arial" w:eastAsia="Arial" w:hAnsi="Arial"/>
          <w:sz w:val="20"/>
          <w:szCs w:val="20"/>
          <w:color w:val="auto"/>
        </w:rPr>
        <w:t>”), to provide for:</w:t>
      </w:r>
    </w:p>
    <w:p>
      <w:pPr>
        <w:spacing w:after="0" w:line="192" w:lineRule="exact"/>
        <w:rPr>
          <w:rFonts w:ascii="Arial" w:cs="Arial" w:eastAsia="Arial" w:hAnsi="Arial"/>
          <w:sz w:val="20"/>
          <w:szCs w:val="20"/>
          <w:color w:val="auto"/>
        </w:rPr>
      </w:pPr>
    </w:p>
    <w:p>
      <w:pPr>
        <w:ind w:left="2600" w:hanging="648"/>
        <w:spacing w:after="0"/>
        <w:tabs>
          <w:tab w:leader="none" w:pos="2600" w:val="left"/>
        </w:tabs>
        <w:numPr>
          <w:ilvl w:val="1"/>
          <w:numId w:val="148"/>
        </w:numPr>
        <w:rPr>
          <w:rFonts w:ascii="Arial" w:cs="Arial" w:eastAsia="Arial" w:hAnsi="Arial"/>
          <w:sz w:val="20"/>
          <w:szCs w:val="20"/>
          <w:color w:val="auto"/>
        </w:rPr>
      </w:pPr>
      <w:r>
        <w:rPr>
          <w:rFonts w:ascii="Arial" w:cs="Arial" w:eastAsia="Arial" w:hAnsi="Arial"/>
          <w:sz w:val="20"/>
          <w:szCs w:val="20"/>
          <w:color w:val="auto"/>
        </w:rPr>
        <w:t>the termination of the Commitment of each such Minority Lender;</w:t>
      </w:r>
    </w:p>
    <w:p>
      <w:pPr>
        <w:spacing w:after="0" w:line="215" w:lineRule="exact"/>
        <w:rPr>
          <w:rFonts w:ascii="Arial" w:cs="Arial" w:eastAsia="Arial" w:hAnsi="Arial"/>
          <w:sz w:val="20"/>
          <w:szCs w:val="20"/>
          <w:color w:val="auto"/>
        </w:rPr>
      </w:pPr>
    </w:p>
    <w:p>
      <w:pPr>
        <w:ind w:firstLine="1952"/>
        <w:spacing w:after="0" w:line="260" w:lineRule="auto"/>
        <w:tabs>
          <w:tab w:leader="none" w:pos="2592" w:val="left"/>
        </w:tabs>
        <w:numPr>
          <w:ilvl w:val="1"/>
          <w:numId w:val="148"/>
        </w:numPr>
        <w:rPr>
          <w:rFonts w:ascii="Arial" w:cs="Arial" w:eastAsia="Arial" w:hAnsi="Arial"/>
          <w:sz w:val="20"/>
          <w:szCs w:val="20"/>
          <w:color w:val="auto"/>
        </w:rPr>
      </w:pPr>
      <w:r>
        <w:rPr>
          <w:rFonts w:ascii="Arial" w:cs="Arial" w:eastAsia="Arial" w:hAnsi="Arial"/>
          <w:sz w:val="20"/>
          <w:szCs w:val="20"/>
          <w:color w:val="auto"/>
        </w:rPr>
        <w:t xml:space="preserve">the assumption of the Loans and Commitment of each such Minority Lender by one or more Replacement Lenders pursuant to the provisions of </w:t>
      </w:r>
      <w:r>
        <w:rPr>
          <w:rFonts w:ascii="Arial" w:cs="Arial" w:eastAsia="Arial" w:hAnsi="Arial"/>
          <w:sz w:val="20"/>
          <w:szCs w:val="20"/>
          <w:u w:val="single" w:color="auto"/>
          <w:color w:val="auto"/>
        </w:rPr>
        <w:t>Section 2.23</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jc w:val="both"/>
        <w:ind w:firstLine="1952"/>
        <w:spacing w:after="0" w:line="269" w:lineRule="auto"/>
        <w:tabs>
          <w:tab w:leader="none" w:pos="2592" w:val="left"/>
        </w:tabs>
        <w:numPr>
          <w:ilvl w:val="1"/>
          <w:numId w:val="148"/>
        </w:numPr>
        <w:rPr>
          <w:rFonts w:ascii="Arial" w:cs="Arial" w:eastAsia="Arial" w:hAnsi="Arial"/>
          <w:sz w:val="19"/>
          <w:szCs w:val="19"/>
          <w:color w:val="auto"/>
        </w:rPr>
      </w:pPr>
      <w:r>
        <w:rPr>
          <w:rFonts w:ascii="Arial" w:cs="Arial" w:eastAsia="Arial" w:hAnsi="Arial"/>
          <w:sz w:val="19"/>
          <w:szCs w:val="19"/>
          <w:color w:val="auto"/>
        </w:rPr>
        <w:t>the payment of all interest, fees and other obligations payable or accrued in favor of each Minority Lender and such other modifications to this Agreement or to such Loan Documents as the Borrower, the Administrative Agent and the Required Lenders may determine to be appropriate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47" w:name="page148"/>
    <w:bookmarkEnd w:id="147"/>
    <w:p>
      <w:pPr>
        <w:jc w:val="both"/>
        <w:ind w:firstLine="1304"/>
        <w:spacing w:after="0" w:line="256" w:lineRule="auto"/>
        <w:tabs>
          <w:tab w:leader="none" w:pos="194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Notwithstanding any provision herein to the contrary, this Agreement may be amended (or amended and restated) with the written consent of the Required Lenders, the Administrative Agent, and the Borrower, (i) to add one or more additional credit facilities to this Agreement and to permit all such additional extensions of credit and all related obligations and liabilities arising in connection therewith and from time to time outstanding thereunder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w:t>
      </w:r>
    </w:p>
    <w:p>
      <w:pPr>
        <w:spacing w:after="0" w:line="184" w:lineRule="exact"/>
        <w:rPr>
          <w:rFonts w:ascii="Arial" w:cs="Arial" w:eastAsia="Arial" w:hAnsi="Arial"/>
          <w:sz w:val="19"/>
          <w:szCs w:val="19"/>
          <w:color w:val="auto"/>
        </w:rPr>
      </w:pPr>
    </w:p>
    <w:p>
      <w:pPr>
        <w:jc w:val="both"/>
        <w:ind w:firstLine="1304"/>
        <w:spacing w:after="0" w:line="250" w:lineRule="auto"/>
        <w:tabs>
          <w:tab w:leader="none" w:pos="1944" w:val="left"/>
        </w:tabs>
        <w:numPr>
          <w:ilvl w:val="0"/>
          <w:numId w:val="149"/>
        </w:numPr>
        <w:rPr>
          <w:rFonts w:ascii="Arial" w:cs="Arial" w:eastAsia="Arial" w:hAnsi="Arial"/>
          <w:sz w:val="20"/>
          <w:szCs w:val="20"/>
          <w:color w:val="auto"/>
        </w:rPr>
      </w:pPr>
      <w:r>
        <w:rPr>
          <w:rFonts w:ascii="Arial" w:cs="Arial" w:eastAsia="Arial" w:hAnsi="Arial"/>
          <w:sz w:val="20"/>
          <w:szCs w:val="20"/>
          <w:color w:val="auto"/>
        </w:rPr>
        <w:t>Notwithstanding any provision herein to the contrary, any Cash Management Agreement may be amended or otherwise modified by the parties thereto in accordance with the terms thereof without the consent of the Administrative Agent or any Lender.</w:t>
      </w:r>
    </w:p>
    <w:p>
      <w:pPr>
        <w:spacing w:after="0" w:line="185" w:lineRule="exact"/>
        <w:rPr>
          <w:rFonts w:ascii="Arial" w:cs="Arial" w:eastAsia="Arial" w:hAnsi="Arial"/>
          <w:sz w:val="20"/>
          <w:szCs w:val="20"/>
          <w:color w:val="auto"/>
        </w:rPr>
      </w:pPr>
    </w:p>
    <w:p>
      <w:pPr>
        <w:jc w:val="both"/>
        <w:ind w:firstLine="1304"/>
        <w:spacing w:after="0" w:line="278" w:lineRule="auto"/>
        <w:tabs>
          <w:tab w:leader="none" w:pos="194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Notwithstanding any provision herein or in any other Loan Document to the contrary, no Cash Management Bank and no Qualified Counterparty shall have any voting or approval rights hereunder (or be deemed a Lender) solely by virtue of its status as the provider or holder of Cash Management Services or Specified Swap Agreements or Obligations owing thereunder, nor shall the consent of any such Cash Management Bank or Qualified Counterparty, as applicable, be required for any matter, other than in their capacities as Lenders, to the extent applicable.</w:t>
      </w:r>
    </w:p>
    <w:p>
      <w:pPr>
        <w:spacing w:after="0" w:line="164" w:lineRule="exact"/>
        <w:rPr>
          <w:rFonts w:ascii="Arial" w:cs="Arial" w:eastAsia="Arial" w:hAnsi="Arial"/>
          <w:sz w:val="18"/>
          <w:szCs w:val="18"/>
          <w:color w:val="auto"/>
        </w:rPr>
      </w:pPr>
    </w:p>
    <w:p>
      <w:pPr>
        <w:jc w:val="both"/>
        <w:ind w:firstLine="1304"/>
        <w:spacing w:after="0" w:line="250" w:lineRule="auto"/>
        <w:tabs>
          <w:tab w:leader="none" w:pos="1944"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Notwithstanding any other provision herein to the contrary, no consent of any Lender (or other Secured Party other than the Administrative Agent) shall be required to effectuate any amendment to implement any Increase permitted by </w:t>
      </w:r>
      <w:r>
        <w:rPr>
          <w:rFonts w:ascii="Arial" w:cs="Arial" w:eastAsia="Arial" w:hAnsi="Arial"/>
          <w:sz w:val="20"/>
          <w:szCs w:val="20"/>
          <w:u w:val="single" w:color="auto"/>
          <w:color w:val="auto"/>
        </w:rPr>
        <w:t>Section 2.27</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Administrative Agent may, with the consent of the Loan Parties only, amend, modify or supplement this Agreement or any of the Loan Documents to cure any omission, mistake or defect.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10.2 Notices</w:t>
      </w:r>
      <w:r>
        <w:rPr>
          <w:rFonts w:ascii="Arial" w:cs="Arial" w:eastAsia="Arial" w:hAnsi="Arial"/>
          <w:sz w:val="18"/>
          <w:szCs w:val="18"/>
          <w:color w:val="auto"/>
        </w:rPr>
        <w:t>. All notices, requests and demands to or upon the respective parties hereto to be effective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in writing (including by facsimile or electronic mail), and, unless otherwise expressly provided herein, shall be deemed to have been duly given or made when delivered, or three Business Days after being deposited in the mail, postage prepaid, or, in the case of facsimile or electronic mail notice, when received,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48" w:name="page149"/>
    <w:bookmarkEnd w:id="148"/>
    <w:p>
      <w:pPr>
        <w:ind w:left="1100"/>
        <w:spacing w:after="0"/>
        <w:rPr>
          <w:sz w:val="20"/>
          <w:szCs w:val="20"/>
          <w:color w:val="auto"/>
        </w:rPr>
      </w:pPr>
      <w:r>
        <w:rPr>
          <w:rFonts w:ascii="Arial" w:cs="Arial" w:eastAsia="Arial" w:hAnsi="Arial"/>
          <w:sz w:val="18"/>
          <w:szCs w:val="18"/>
          <w:color w:val="auto"/>
        </w:rPr>
        <w:t>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Axcelis Technologies,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108 Cherry Hill Drive</w:t>
      </w:r>
    </w:p>
    <w:p>
      <w:pPr>
        <w:spacing w:after="0"/>
        <w:rPr>
          <w:sz w:val="20"/>
          <w:szCs w:val="20"/>
          <w:color w:val="auto"/>
        </w:rPr>
      </w:pPr>
      <w:r>
        <w:rPr>
          <w:rFonts w:ascii="Arial" w:cs="Arial" w:eastAsia="Arial" w:hAnsi="Arial"/>
          <w:sz w:val="20"/>
          <w:szCs w:val="20"/>
          <w:color w:val="auto"/>
        </w:rPr>
        <w:t>Beverly, MA 01915</w:t>
      </w:r>
    </w:p>
    <w:p>
      <w:pPr>
        <w:spacing w:after="0"/>
        <w:rPr>
          <w:sz w:val="20"/>
          <w:szCs w:val="20"/>
          <w:color w:val="auto"/>
        </w:rPr>
      </w:pPr>
      <w:r>
        <w:rPr>
          <w:rFonts w:ascii="Arial" w:cs="Arial" w:eastAsia="Arial" w:hAnsi="Arial"/>
          <w:sz w:val="20"/>
          <w:szCs w:val="20"/>
          <w:color w:val="auto"/>
        </w:rPr>
        <w:t>Attention: Kevin J. Brewer, CFO</w:t>
      </w:r>
    </w:p>
    <w:p>
      <w:pPr>
        <w:spacing w:after="0"/>
        <w:rPr>
          <w:sz w:val="20"/>
          <w:szCs w:val="20"/>
          <w:color w:val="auto"/>
        </w:rPr>
      </w:pPr>
      <w:r>
        <w:rPr>
          <w:rFonts w:ascii="Arial" w:cs="Arial" w:eastAsia="Arial" w:hAnsi="Arial"/>
          <w:sz w:val="20"/>
          <w:szCs w:val="20"/>
          <w:color w:val="auto"/>
        </w:rPr>
        <w:t>Telephone No.: 978-787-9551</w:t>
      </w:r>
    </w:p>
    <w:p>
      <w:pPr>
        <w:spacing w:after="0"/>
        <w:rPr>
          <w:sz w:val="20"/>
          <w:szCs w:val="20"/>
          <w:color w:val="auto"/>
        </w:rPr>
      </w:pPr>
      <w:r>
        <w:rPr>
          <w:rFonts w:ascii="Arial" w:cs="Arial" w:eastAsia="Arial" w:hAnsi="Arial"/>
          <w:sz w:val="18"/>
          <w:szCs w:val="18"/>
          <w:color w:val="auto"/>
        </w:rPr>
        <w:t>E-Mail: kevin.brewer@axcelis.com</w:t>
      </w:r>
    </w:p>
    <w:p>
      <w:pPr>
        <w:spacing w:after="0" w:line="115" w:lineRule="exact"/>
        <w:rPr>
          <w:sz w:val="20"/>
          <w:szCs w:val="20"/>
          <w:color w:val="auto"/>
        </w:rPr>
      </w:pPr>
    </w:p>
    <w:p>
      <w:pPr>
        <w:sectPr>
          <w:pgSz w:w="11900" w:h="16838" w:orient="portrait"/>
          <w:cols w:equalWidth="0" w:num="2">
            <w:col w:w="3260" w:space="720"/>
            <w:col w:w="5940"/>
          </w:cols>
          <w:pgMar w:left="980" w:top="1095" w:right="999" w:bottom="1440" w:gutter="0" w:footer="0" w:header="0"/>
        </w:sectPr>
      </w:pPr>
    </w:p>
    <w:p>
      <w:pPr>
        <w:ind w:left="3980"/>
        <w:spacing w:after="0"/>
        <w:rPr>
          <w:sz w:val="20"/>
          <w:szCs w:val="20"/>
          <w:color w:val="auto"/>
        </w:rPr>
      </w:pPr>
      <w:r>
        <w:rPr>
          <w:rFonts w:ascii="Arial" w:cs="Arial" w:eastAsia="Arial" w:hAnsi="Arial"/>
          <w:sz w:val="19"/>
          <w:szCs w:val="19"/>
          <w:color w:val="auto"/>
        </w:rPr>
        <w:t>with a copy (which shall not constitute notice) to:</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Mintz, Levin, Cohn, Ferris, Glovsky and Popeo, P.C.</w:t>
      </w:r>
    </w:p>
    <w:p>
      <w:pPr>
        <w:spacing w:after="0" w:line="38"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Attention: Megan Gates, Esq.</w:t>
      </w:r>
    </w:p>
    <w:p>
      <w:pPr>
        <w:ind w:left="3980"/>
        <w:spacing w:after="0"/>
        <w:rPr>
          <w:sz w:val="20"/>
          <w:szCs w:val="20"/>
          <w:color w:val="auto"/>
        </w:rPr>
      </w:pPr>
      <w:r>
        <w:rPr>
          <w:rFonts w:ascii="Arial" w:cs="Arial" w:eastAsia="Arial" w:hAnsi="Arial"/>
          <w:sz w:val="20"/>
          <w:szCs w:val="20"/>
          <w:color w:val="auto"/>
        </w:rPr>
        <w:t>One Financial Center</w:t>
      </w:r>
    </w:p>
    <w:p>
      <w:pPr>
        <w:ind w:left="3980"/>
        <w:spacing w:after="0"/>
        <w:rPr>
          <w:sz w:val="20"/>
          <w:szCs w:val="20"/>
          <w:color w:val="auto"/>
        </w:rPr>
      </w:pPr>
      <w:r>
        <w:rPr>
          <w:rFonts w:ascii="Arial" w:cs="Arial" w:eastAsia="Arial" w:hAnsi="Arial"/>
          <w:sz w:val="20"/>
          <w:szCs w:val="20"/>
          <w:color w:val="auto"/>
        </w:rPr>
        <w:t>Boston, Massachusetts 02111</w:t>
      </w:r>
    </w:p>
    <w:p>
      <w:pPr>
        <w:ind w:left="3980"/>
        <w:spacing w:after="0"/>
        <w:rPr>
          <w:sz w:val="20"/>
          <w:szCs w:val="20"/>
          <w:color w:val="auto"/>
        </w:rPr>
      </w:pPr>
      <w:r>
        <w:rPr>
          <w:rFonts w:ascii="Arial" w:cs="Arial" w:eastAsia="Arial" w:hAnsi="Arial"/>
          <w:sz w:val="20"/>
          <w:szCs w:val="20"/>
          <w:color w:val="auto"/>
        </w:rPr>
        <w:t>Telephone No.: (617) 348-444</w:t>
      </w:r>
    </w:p>
    <w:p>
      <w:pPr>
        <w:ind w:left="3980"/>
        <w:spacing w:after="0"/>
        <w:rPr>
          <w:sz w:val="20"/>
          <w:szCs w:val="20"/>
          <w:color w:val="auto"/>
        </w:rPr>
      </w:pPr>
      <w:r>
        <w:rPr>
          <w:rFonts w:ascii="Arial" w:cs="Arial" w:eastAsia="Arial" w:hAnsi="Arial"/>
          <w:sz w:val="20"/>
          <w:szCs w:val="20"/>
          <w:color w:val="auto"/>
        </w:rPr>
        <w:t>E-Mail: mngates@mintz.com</w:t>
      </w:r>
    </w:p>
    <w:p>
      <w:pPr>
        <w:sectPr>
          <w:pgSz w:w="11900" w:h="16838" w:orient="portrait"/>
          <w:cols w:equalWidth="0" w:num="1">
            <w:col w:w="9920"/>
          </w:cols>
          <w:pgMar w:left="980" w:top="1095" w:right="999" w:bottom="1440" w:gutter="0" w:footer="0" w:header="0"/>
          <w:type w:val="continuous"/>
        </w:sectPr>
      </w:pPr>
    </w:p>
    <w:p>
      <w:pPr>
        <w:spacing w:after="0" w:line="92"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Administrative Agent: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Silicon Valley Bank</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275 Grove Street, Suite 2-200</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Newton, MA 02466</w:t>
      </w:r>
    </w:p>
    <w:p>
      <w:pPr>
        <w:spacing w:after="0"/>
        <w:rPr>
          <w:sz w:val="20"/>
          <w:szCs w:val="20"/>
          <w:color w:val="auto"/>
        </w:rPr>
      </w:pPr>
      <w:r>
        <w:rPr>
          <w:rFonts w:ascii="Arial" w:cs="Arial" w:eastAsia="Arial" w:hAnsi="Arial"/>
          <w:sz w:val="20"/>
          <w:szCs w:val="20"/>
          <w:color w:val="auto"/>
        </w:rPr>
        <w:t>Attn: Frank Groccia</w:t>
      </w:r>
    </w:p>
    <w:p>
      <w:pPr>
        <w:spacing w:after="0"/>
        <w:rPr>
          <w:sz w:val="20"/>
          <w:szCs w:val="20"/>
          <w:color w:val="auto"/>
        </w:rPr>
      </w:pPr>
      <w:r>
        <w:rPr>
          <w:rFonts w:ascii="Arial" w:cs="Arial" w:eastAsia="Arial" w:hAnsi="Arial"/>
          <w:sz w:val="19"/>
          <w:szCs w:val="19"/>
          <w:color w:val="auto"/>
        </w:rPr>
        <w:t>E-Mail: FGroccia@svb.com</w:t>
      </w:r>
    </w:p>
    <w:p>
      <w:pPr>
        <w:spacing w:after="0" w:line="103" w:lineRule="exact"/>
        <w:rPr>
          <w:sz w:val="20"/>
          <w:szCs w:val="20"/>
          <w:color w:val="auto"/>
        </w:rPr>
      </w:pPr>
    </w:p>
    <w:p>
      <w:pPr>
        <w:sectPr>
          <w:pgSz w:w="11900" w:h="16838" w:orient="portrait"/>
          <w:cols w:equalWidth="0" w:num="2">
            <w:col w:w="3260" w:space="720"/>
            <w:col w:w="5940"/>
          </w:cols>
          <w:pgMar w:left="980" w:top="1095" w:right="999" w:bottom="1440" w:gutter="0" w:footer="0" w:header="0"/>
          <w:type w:val="continuous"/>
        </w:sectPr>
      </w:pPr>
    </w:p>
    <w:p>
      <w:pPr>
        <w:ind w:left="3980"/>
        <w:spacing w:after="0"/>
        <w:rPr>
          <w:sz w:val="20"/>
          <w:szCs w:val="20"/>
          <w:color w:val="auto"/>
        </w:rPr>
      </w:pPr>
      <w:r>
        <w:rPr>
          <w:rFonts w:ascii="Arial" w:cs="Arial" w:eastAsia="Arial" w:hAnsi="Arial"/>
          <w:sz w:val="18"/>
          <w:szCs w:val="18"/>
          <w:color w:val="auto"/>
        </w:rPr>
        <w:t>with a copy (which shall not constitute notice) to:</w:t>
      </w:r>
    </w:p>
    <w:p>
      <w:pPr>
        <w:spacing w:after="0" w:line="131"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Morrison &amp; Foerster LLP</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200 Clarendon Street</w:t>
      </w:r>
    </w:p>
    <w:p>
      <w:pPr>
        <w:ind w:left="3980"/>
        <w:spacing w:after="0"/>
        <w:rPr>
          <w:sz w:val="20"/>
          <w:szCs w:val="20"/>
          <w:color w:val="auto"/>
        </w:rPr>
      </w:pPr>
      <w:r>
        <w:rPr>
          <w:rFonts w:ascii="Arial" w:cs="Arial" w:eastAsia="Arial" w:hAnsi="Arial"/>
          <w:sz w:val="20"/>
          <w:szCs w:val="20"/>
          <w:color w:val="auto"/>
        </w:rPr>
        <w:t>Boston, Massachusetts 02116</w:t>
      </w:r>
    </w:p>
    <w:p>
      <w:pPr>
        <w:ind w:left="3980"/>
        <w:spacing w:after="0"/>
        <w:rPr>
          <w:sz w:val="20"/>
          <w:szCs w:val="20"/>
          <w:color w:val="auto"/>
        </w:rPr>
      </w:pPr>
      <w:r>
        <w:rPr>
          <w:rFonts w:ascii="Arial" w:cs="Arial" w:eastAsia="Arial" w:hAnsi="Arial"/>
          <w:sz w:val="20"/>
          <w:szCs w:val="20"/>
          <w:color w:val="auto"/>
        </w:rPr>
        <w:t>Attention: Charles W. Stavros, Esq.</w:t>
      </w:r>
    </w:p>
    <w:p>
      <w:pPr>
        <w:ind w:left="3980"/>
        <w:spacing w:after="0"/>
        <w:rPr>
          <w:sz w:val="20"/>
          <w:szCs w:val="20"/>
          <w:color w:val="auto"/>
        </w:rPr>
      </w:pPr>
      <w:r>
        <w:rPr>
          <w:rFonts w:ascii="Arial" w:cs="Arial" w:eastAsia="Arial" w:hAnsi="Arial"/>
          <w:sz w:val="20"/>
          <w:szCs w:val="20"/>
          <w:color w:val="auto"/>
        </w:rPr>
        <w:t>E-Mail: Cstavros@mofo.com</w:t>
      </w:r>
    </w:p>
    <w:p>
      <w:pPr>
        <w:sectPr>
          <w:pgSz w:w="11900" w:h="16838" w:orient="portrait"/>
          <w:cols w:equalWidth="0" w:num="1">
            <w:col w:w="9920"/>
          </w:cols>
          <w:pgMar w:left="980" w:top="1095" w:right="999" w:bottom="1440" w:gutter="0" w:footer="0" w:header="0"/>
          <w:type w:val="continuous"/>
        </w:sectPr>
      </w:pP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notice, request or demand to or upon the Administrative Agent or the Lenders shall not be effective until received.</w:t>
      </w:r>
    </w:p>
    <w:p>
      <w:pPr>
        <w:spacing w:after="0" w:line="177" w:lineRule="exact"/>
        <w:rPr>
          <w:sz w:val="20"/>
          <w:szCs w:val="20"/>
          <w:color w:val="auto"/>
        </w:rPr>
      </w:pPr>
    </w:p>
    <w:p>
      <w:pPr>
        <w:jc w:val="both"/>
        <w:ind w:firstLine="1304"/>
        <w:spacing w:after="0" w:line="269" w:lineRule="auto"/>
        <w:tabs>
          <w:tab w:leader="none" w:pos="194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hereunder may be delivered or furnished by electronic communications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unless otherwise agreed by the Administrative Agent and the applicable Lender. The Administrative Agent or any Loan Party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(i) and (ii), if such notice or other communication is not sent during the normal business hours of the recipient, such notice or communication shall be deemed to have been sent at the opening of business on the next Business Day for the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5" w:right="999" w:bottom="1440" w:gutter="0" w:footer="0" w:header="0"/>
          <w:type w:val="continuous"/>
        </w:sectPr>
      </w:pPr>
    </w:p>
    <w:bookmarkStart w:id="149" w:name="page150"/>
    <w:bookmarkEnd w:id="149"/>
    <w:p>
      <w:pPr>
        <w:ind w:right="20" w:firstLine="1304"/>
        <w:spacing w:after="0" w:line="260" w:lineRule="auto"/>
        <w:tabs>
          <w:tab w:leader="none" w:pos="1944"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Any party hereto may change its address or facsimile number for notices and other communications hereunder by notice to the other parties hereto.</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2007" w:val="left"/>
        </w:tabs>
        <w:numPr>
          <w:ilvl w:val="0"/>
          <w:numId w:val="151"/>
        </w:numPr>
        <w:rPr>
          <w:rFonts w:ascii="Arial" w:cs="Arial" w:eastAsia="Arial" w:hAnsi="Arial"/>
          <w:sz w:val="20"/>
          <w:szCs w:val="20"/>
          <w:color w:val="auto"/>
        </w:rPr>
      </w:pPr>
      <w:r>
        <w:rPr>
          <w:rFonts w:ascii="Arial" w:cs="Arial" w:eastAsia="Arial" w:hAnsi="Arial"/>
          <w:sz w:val="20"/>
          <w:szCs w:val="20"/>
          <w:color w:val="auto"/>
        </w:rPr>
        <w:t>(i) Each Loan Party agrees that the Administrative Agent may, but shall not be obligated to, make the Communications (as defined below) available to the Issuing Lender and the other Lenders by posting the Communications on the Platform.</w:t>
      </w:r>
    </w:p>
    <w:p>
      <w:pPr>
        <w:spacing w:after="0" w:line="185" w:lineRule="exact"/>
        <w:rPr>
          <w:rFonts w:ascii="Arial" w:cs="Arial" w:eastAsia="Arial" w:hAnsi="Arial"/>
          <w:sz w:val="20"/>
          <w:szCs w:val="20"/>
          <w:color w:val="auto"/>
        </w:rPr>
      </w:pPr>
    </w:p>
    <w:p>
      <w:pPr>
        <w:ind w:firstLine="1952"/>
        <w:spacing w:after="0" w:line="255" w:lineRule="auto"/>
        <w:tabs>
          <w:tab w:leader="none" w:pos="2592" w:val="left"/>
        </w:tabs>
        <w:numPr>
          <w:ilvl w:val="1"/>
          <w:numId w:val="151"/>
        </w:numPr>
        <w:rPr>
          <w:rFonts w:ascii="Arial" w:cs="Arial" w:eastAsia="Arial" w:hAnsi="Arial"/>
          <w:sz w:val="19"/>
          <w:szCs w:val="19"/>
          <w:color w:val="auto"/>
        </w:rPr>
      </w:pPr>
      <w:r>
        <w:rPr>
          <w:rFonts w:ascii="Arial" w:cs="Arial" w:eastAsia="Arial" w:hAnsi="Arial"/>
          <w:sz w:val="19"/>
          <w:szCs w:val="19"/>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19"/>
          <w:szCs w:val="19"/>
          <w:b w:val="1"/>
          <w:bCs w:val="1"/>
          <w:i w:val="1"/>
          <w:iCs w:val="1"/>
          <w:color w:val="auto"/>
        </w:rPr>
        <w:t>Agent Parties</w:t>
      </w:r>
      <w:r>
        <w:rPr>
          <w:rFonts w:ascii="Arial" w:cs="Arial" w:eastAsia="Arial" w:hAnsi="Arial"/>
          <w:sz w:val="19"/>
          <w:szCs w:val="19"/>
          <w:color w:val="auto"/>
        </w:rPr>
        <w:t>”) have any liability to the Borrower or the other Loan Parties, any Lender or any other Person for damages of any kind, including direct or indirect, special, incidental or consequential damages, losses or expenses (whether in tort, contract or otherwise) arising out of the Borrower’s, any Loan Party’s or the Administrative Agent’s transmission of communications through the Platform. “</w:t>
      </w:r>
      <w:r>
        <w:rPr>
          <w:rFonts w:ascii="Arial" w:cs="Arial" w:eastAsia="Arial" w:hAnsi="Arial"/>
          <w:sz w:val="19"/>
          <w:szCs w:val="19"/>
          <w:b w:val="1"/>
          <w:bCs w:val="1"/>
          <w:i w:val="1"/>
          <w:iCs w:val="1"/>
          <w:color w:val="auto"/>
        </w:rPr>
        <w:t>Communications</w:t>
      </w:r>
      <w:r>
        <w:rPr>
          <w:rFonts w:ascii="Arial" w:cs="Arial" w:eastAsia="Arial" w:hAnsi="Arial"/>
          <w:sz w:val="19"/>
          <w:szCs w:val="19"/>
          <w:color w:val="auto"/>
        </w:rPr>
        <w:t>” means, collectively, any notice, demand, communication, information, document or other material provided by or on behalf of any Loan Party pursuant to any Loan Document or the transactions contemplated therein which is distributed to the Administrative Agent, any Lender or the Issuing Lender by means of electronic communications pursuant to this Section, including through the Platform.</w:t>
      </w:r>
    </w:p>
    <w:p>
      <w:pPr>
        <w:spacing w:after="0" w:line="17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10.3 No Waiver; Cumulative Remedies</w:t>
      </w:r>
      <w:r>
        <w:rPr>
          <w:rFonts w:ascii="Arial" w:cs="Arial" w:eastAsia="Arial" w:hAnsi="Arial"/>
          <w:sz w:val="20"/>
          <w:szCs w:val="20"/>
          <w:color w:val="auto"/>
        </w:rPr>
        <w:t>. No failure to exercise and no delay in exercising, on the part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10.4 Survival of Representations and Warranties</w:t>
      </w:r>
      <w:r>
        <w:rPr>
          <w:rFonts w:ascii="Arial" w:cs="Arial" w:eastAsia="Arial" w:hAnsi="Arial"/>
          <w:sz w:val="20"/>
          <w:szCs w:val="20"/>
          <w:color w:val="auto"/>
        </w:rPr>
        <w:t>. All representations and warranties made hereunder, in the</w:t>
      </w:r>
      <w:r>
        <w:rPr>
          <w:rFonts w:ascii="Arial" w:cs="Arial" w:eastAsia="Arial" w:hAnsi="Arial"/>
          <w:sz w:val="20"/>
          <w:szCs w:val="20"/>
          <w:b w:val="1"/>
          <w:bCs w:val="1"/>
          <w:color w:val="auto"/>
        </w:rPr>
        <w:t xml:space="preserve"> </w:t>
      </w:r>
      <w:r>
        <w:rPr>
          <w:rFonts w:ascii="Arial" w:cs="Arial" w:eastAsia="Arial" w:hAnsi="Arial"/>
          <w:sz w:val="20"/>
          <w:szCs w:val="20"/>
          <w:color w:val="auto"/>
        </w:rPr>
        <w:t>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10.5</w:t>
      </w:r>
      <w:r>
        <w:rPr>
          <w:sz w:val="20"/>
          <w:szCs w:val="20"/>
          <w:color w:val="auto"/>
        </w:rPr>
        <w:tab/>
      </w:r>
      <w:r>
        <w:rPr>
          <w:rFonts w:ascii="Arial" w:cs="Arial" w:eastAsia="Arial" w:hAnsi="Arial"/>
          <w:sz w:val="16"/>
          <w:szCs w:val="16"/>
          <w:b w:val="1"/>
          <w:bCs w:val="1"/>
          <w:color w:val="auto"/>
        </w:rPr>
        <w:t>Expenses; Indemnity; Damage Waiver</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55" w:lineRule="auto"/>
        <w:tabs>
          <w:tab w:leader="none" w:pos="1944"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 shall pay (i) all reasonable and documented out-of-pocket expenses incurred by the Administrative Agent and its Affiliates (including the reasonable and documented out-of-pocket fees, charges and disbursements of one primary outside legal counsel for the Administrative Agent and, if necessary or appropriate, one local counsel in each relevant jurisdiction), in connection with the syndication of the Facilities, the preparation, negotiation, execution, delivery and administration of this Agreement and the other Loan Documents, or any amendments, modifications or waivers of the provisions hereof or thereof, (ii) all reasonable and documented out-of-pocket expenses incurred by the Issuing Lender in connection with the issuance, amendment, renewal or extension of any Letter of Credit or any demand for payment thereunder, and (iii) all reasonable and documented out-of-pocket expenses incurred by the Administrative Agent or any Lender (including the reasonable and documented fees, charges and disbursements of one primary outside counsel and, if necessary or appropriate, one local counsel in each relevant jurisdiction, for the Administrative Agent and the Lenders, taken as a whole (and, in the case of a conflict of interest, additional counsel, as appropriate), in connection with the enforcement or protection of its rights (A) in connection with this Agreement and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50" w:name="page151"/>
    <w:bookmarkEnd w:id="150"/>
    <w:p>
      <w:pPr>
        <w:jc w:val="both"/>
        <w:spacing w:after="0" w:line="250" w:lineRule="auto"/>
        <w:rPr>
          <w:sz w:val="20"/>
          <w:szCs w:val="20"/>
          <w:color w:val="auto"/>
        </w:rPr>
      </w:pPr>
      <w:r>
        <w:rPr>
          <w:rFonts w:ascii="Arial" w:cs="Arial" w:eastAsia="Arial" w:hAnsi="Arial"/>
          <w:sz w:val="20"/>
          <w:szCs w:val="20"/>
          <w:color w:val="auto"/>
        </w:rPr>
        <w:t>Documents, including its rights under this Section, or (B) in connection with the Loans made or Letters of Credit issued or participated in hereunder, including all such reasonable and documented out-of-pocket expenses incurred during any workout, restructuring or negotiations in respect of such Loans or Letters of Credit.</w:t>
      </w:r>
    </w:p>
    <w:p>
      <w:pPr>
        <w:spacing w:after="0" w:line="186" w:lineRule="exact"/>
        <w:rPr>
          <w:sz w:val="20"/>
          <w:szCs w:val="20"/>
          <w:color w:val="auto"/>
        </w:rPr>
      </w:pPr>
    </w:p>
    <w:p>
      <w:pPr>
        <w:jc w:val="both"/>
        <w:ind w:firstLine="1304"/>
        <w:spacing w:after="0" w:line="268" w:lineRule="auto"/>
        <w:tabs>
          <w:tab w:leader="none" w:pos="1944"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the Administrative Agent (and any sub-agent thereof), each Lender (including the Issuing Lender), and each Related Party of any of the foregoing Persons (each such Person being called an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against, and hold each Indemnitee harmless from, any and all losses, claims, damages, liabilities and related expenses (including the reasonable and documented out-of-pocket fees, charges and disbursements of one counsel and, if necessary or appropriate, one local counsel in each relevant jurisdiction, for the Administrative Agent and the Lenders, taken as a whole (and, in the case of a conflict of interest, additional counsel, as appropriate)), incurred by any Indemnitee or asserted against any Indemnitee by any Person (including the Borrower or any other Loan Party) other than such Indemnitee and its Related Parties arising out of, in connection with, or as a result of</w:t>
      </w:r>
    </w:p>
    <w:p>
      <w:pPr>
        <w:spacing w:after="0" w:line="2" w:lineRule="exact"/>
        <w:rPr>
          <w:rFonts w:ascii="Arial" w:cs="Arial" w:eastAsia="Arial" w:hAnsi="Arial"/>
          <w:sz w:val="18"/>
          <w:szCs w:val="18"/>
          <w:color w:val="auto"/>
        </w:rPr>
      </w:pPr>
    </w:p>
    <w:p>
      <w:pPr>
        <w:jc w:val="both"/>
        <w:ind w:firstLine="8"/>
        <w:spacing w:after="0" w:line="268" w:lineRule="auto"/>
        <w:tabs>
          <w:tab w:leader="none" w:pos="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any actual or alleged presence or release of Materials of Environmental Concern on or from any property owned or operated by the Group Members, or any Environmental Liability related in any way to the Group Members,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bad faith, gross negligence or willful misconduct of such Indemnitee or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This </w:t>
      </w:r>
      <w:r>
        <w:rPr>
          <w:rFonts w:ascii="Arial" w:cs="Arial" w:eastAsia="Arial" w:hAnsi="Arial"/>
          <w:sz w:val="18"/>
          <w:szCs w:val="18"/>
          <w:u w:val="single" w:color="auto"/>
          <w:color w:val="auto"/>
        </w:rPr>
        <w:t>Section 10.5(b)</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72" w:lineRule="exact"/>
        <w:rPr>
          <w:rFonts w:ascii="Arial" w:cs="Arial" w:eastAsia="Arial" w:hAnsi="Arial"/>
          <w:sz w:val="18"/>
          <w:szCs w:val="18"/>
          <w:color w:val="auto"/>
        </w:rPr>
      </w:pPr>
    </w:p>
    <w:p>
      <w:pPr>
        <w:jc w:val="both"/>
        <w:ind w:firstLine="1304"/>
        <w:spacing w:after="0" w:line="269" w:lineRule="auto"/>
        <w:tabs>
          <w:tab w:leader="none" w:pos="1944"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Borrower for any reason fails indefeasibly to pay any amount required under paragraph (a) or (b) of this Section to be paid by it to the Administrative Agent (or any sub-agent thereof), the Issuing Lender, the Swingline Lender or any Related Party of any of the foregoing, each Lender severally agrees to pay to the Administrative Agent (or any such sub-agent), the Issuing Lender, the Swingline Lender or such Related Party, as the case may be, such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(determined as of the time that the applicable unreimbursed expense or indemnity payment is sought based on each Aggregate Exposure Percentage at such time) of such unpaid amount (including any such unpaid amount in respect of a claim asserted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such unpaid amounts owed to the Issuing Lender or the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unreimbursed expense or indemnified loss, claim, damage, liability or related expense, as the case may be, was incurred by or asserted against the Administrative Agent (or any such sub-agent), the Issuing Lender or the Swingline Lender in its capacity as such, or against any Related Party of any of the foregoing acting for the Administrative Agent (or any such sub-agent), the Issuing Lender or the Swingline Lender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51" w:name="page152"/>
    <w:bookmarkEnd w:id="151"/>
    <w:p>
      <w:pPr>
        <w:spacing w:after="0" w:line="260" w:lineRule="auto"/>
        <w:rPr>
          <w:sz w:val="20"/>
          <w:szCs w:val="20"/>
          <w:color w:val="auto"/>
        </w:rPr>
      </w:pPr>
      <w:r>
        <w:rPr>
          <w:rFonts w:ascii="Arial" w:cs="Arial" w:eastAsia="Arial" w:hAnsi="Arial"/>
          <w:sz w:val="20"/>
          <w:szCs w:val="20"/>
          <w:color w:val="auto"/>
        </w:rPr>
        <w:t xml:space="preserve">connection with such capacity. The obligations of the Lenders under this paragraph (c) are subject to the provisions of </w:t>
      </w:r>
      <w:r>
        <w:rPr>
          <w:rFonts w:ascii="Arial" w:cs="Arial" w:eastAsia="Arial" w:hAnsi="Arial"/>
          <w:sz w:val="20"/>
          <w:szCs w:val="20"/>
          <w:u w:val="single" w:color="auto"/>
          <w:color w:val="auto"/>
        </w:rPr>
        <w:t>Sections 2.1</w:t>
      </w:r>
      <w:r>
        <w:rPr>
          <w:rFonts w:ascii="Arial" w:cs="Arial" w:eastAsia="Arial" w:hAnsi="Arial"/>
          <w:sz w:val="20"/>
          <w:szCs w:val="20"/>
          <w:color w:val="auto"/>
        </w:rPr>
        <w:t xml:space="preserve">, </w:t>
      </w:r>
      <w:r>
        <w:rPr>
          <w:rFonts w:ascii="Arial" w:cs="Arial" w:eastAsia="Arial" w:hAnsi="Arial"/>
          <w:sz w:val="20"/>
          <w:szCs w:val="20"/>
          <w:u w:val="single" w:color="auto"/>
          <w:color w:val="auto"/>
        </w:rPr>
        <w:t>2.4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2.20(e)</w:t>
      </w:r>
      <w:r>
        <w:rPr>
          <w:rFonts w:ascii="Arial" w:cs="Arial" w:eastAsia="Arial" w:hAnsi="Arial"/>
          <w:sz w:val="20"/>
          <w:szCs w:val="20"/>
          <w:color w:val="auto"/>
        </w:rPr>
        <w:t>.</w:t>
      </w:r>
    </w:p>
    <w:p>
      <w:pPr>
        <w:spacing w:after="0" w:line="177" w:lineRule="exact"/>
        <w:rPr>
          <w:sz w:val="20"/>
          <w:szCs w:val="20"/>
          <w:color w:val="auto"/>
        </w:rPr>
      </w:pPr>
    </w:p>
    <w:p>
      <w:pPr>
        <w:jc w:val="both"/>
        <w:ind w:firstLine="1304"/>
        <w:spacing w:after="0" w:line="242" w:lineRule="auto"/>
        <w:tabs>
          <w:tab w:leader="none" w:pos="1944"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Waiver of Consequential Damages, Etc.</w:t>
      </w:r>
      <w:r>
        <w:rPr>
          <w:rFonts w:ascii="Arial" w:cs="Arial" w:eastAsia="Arial" w:hAnsi="Arial"/>
          <w:sz w:val="20"/>
          <w:szCs w:val="20"/>
          <w:color w:val="auto"/>
        </w:rPr>
        <w:t xml:space="preserve"> To the fullest extent permitted by applicable law, the Borrower and each other Loan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94" w:lineRule="exact"/>
        <w:rPr>
          <w:rFonts w:ascii="Arial" w:cs="Arial" w:eastAsia="Arial" w:hAnsi="Arial"/>
          <w:sz w:val="20"/>
          <w:szCs w:val="20"/>
          <w:color w:val="auto"/>
        </w:rPr>
      </w:pPr>
    </w:p>
    <w:p>
      <w:pPr>
        <w:ind w:left="1960" w:hanging="656"/>
        <w:spacing w:after="0"/>
        <w:tabs>
          <w:tab w:leader="none" w:pos="196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after demand therefor.</w:t>
      </w:r>
    </w:p>
    <w:p>
      <w:pPr>
        <w:spacing w:after="0" w:line="238" w:lineRule="exact"/>
        <w:rPr>
          <w:rFonts w:ascii="Arial" w:cs="Arial" w:eastAsia="Arial" w:hAnsi="Arial"/>
          <w:sz w:val="18"/>
          <w:szCs w:val="18"/>
          <w:color w:val="auto"/>
        </w:rPr>
      </w:pPr>
    </w:p>
    <w:p>
      <w:pPr>
        <w:ind w:left="1960" w:hanging="656"/>
        <w:spacing w:after="0"/>
        <w:tabs>
          <w:tab w:leader="none" w:pos="1960"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Each party’s obligations under this Section shall survive the Discharge of Obligations.</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10.6</w:t>
      </w:r>
      <w:r>
        <w:rPr>
          <w:sz w:val="20"/>
          <w:szCs w:val="20"/>
          <w:color w:val="auto"/>
        </w:rPr>
        <w:tab/>
      </w:r>
      <w:r>
        <w:rPr>
          <w:rFonts w:ascii="Arial" w:cs="Arial" w:eastAsia="Arial" w:hAnsi="Arial"/>
          <w:sz w:val="16"/>
          <w:szCs w:val="16"/>
          <w:b w:val="1"/>
          <w:bCs w:val="1"/>
          <w:color w:val="auto"/>
        </w:rPr>
        <w:t>Successors and Assigns; Participations and Assignments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55" w:lineRule="auto"/>
        <w:tabs>
          <w:tab w:leader="none" w:pos="1944"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permitted hereby (which, for purposes of this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shall include any Cash Management Bank and any Qualified Counterparty,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w:t>
      </w:r>
      <w:r>
        <w:rPr>
          <w:rFonts w:ascii="Arial" w:cs="Arial" w:eastAsia="Arial" w:hAnsi="Arial"/>
          <w:sz w:val="19"/>
          <w:szCs w:val="19"/>
          <w:u w:val="single" w:color="auto"/>
          <w:color w:val="auto"/>
        </w:rPr>
        <w:t>Section 10.6(d)</w:t>
      </w:r>
      <w:r>
        <w:rPr>
          <w:rFonts w:ascii="Arial" w:cs="Arial" w:eastAsia="Arial" w:hAnsi="Arial"/>
          <w:sz w:val="19"/>
          <w:szCs w:val="19"/>
          <w:color w:val="auto"/>
        </w:rPr>
        <w:t xml:space="preserve">, or (iii) by way of pledge or assignment of a security interest subject to the restrictions of </w:t>
      </w:r>
      <w:r>
        <w:rPr>
          <w:rFonts w:ascii="Arial" w:cs="Arial" w:eastAsia="Arial" w:hAnsi="Arial"/>
          <w:sz w:val="19"/>
          <w:szCs w:val="19"/>
          <w:u w:val="single" w:color="auto"/>
          <w:color w:val="auto"/>
        </w:rPr>
        <w:t>Section 10.6(e)</w:t>
      </w:r>
      <w:r>
        <w:rPr>
          <w:rFonts w:ascii="Arial" w:cs="Arial" w:eastAsia="Arial" w:hAnsi="Arial"/>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81" w:lineRule="exact"/>
        <w:rPr>
          <w:rFonts w:ascii="Arial" w:cs="Arial" w:eastAsia="Arial" w:hAnsi="Arial"/>
          <w:sz w:val="19"/>
          <w:szCs w:val="19"/>
          <w:color w:val="auto"/>
        </w:rPr>
      </w:pPr>
    </w:p>
    <w:p>
      <w:pPr>
        <w:jc w:val="both"/>
        <w:ind w:firstLine="1304"/>
        <w:spacing w:after="0" w:line="246" w:lineRule="auto"/>
        <w:tabs>
          <w:tab w:leader="none" w:pos="1944"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each case with respect to any Facility) any such assignment shall be subject to the following conditions:</w:t>
      </w:r>
    </w:p>
    <w:p>
      <w:pPr>
        <w:spacing w:after="0" w:line="191" w:lineRule="exact"/>
        <w:rPr>
          <w:rFonts w:ascii="Arial" w:cs="Arial" w:eastAsia="Arial" w:hAnsi="Arial"/>
          <w:sz w:val="20"/>
          <w:szCs w:val="20"/>
          <w:color w:val="auto"/>
        </w:rPr>
      </w:pPr>
    </w:p>
    <w:p>
      <w:pPr>
        <w:ind w:left="2600" w:hanging="648"/>
        <w:spacing w:after="0"/>
        <w:tabs>
          <w:tab w:leader="none" w:pos="2600" w:val="left"/>
        </w:tabs>
        <w:numPr>
          <w:ilvl w:val="1"/>
          <w:numId w:val="156"/>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2600"/>
        <w:spacing w:after="0" w:line="260" w:lineRule="auto"/>
        <w:tabs>
          <w:tab w:leader="none" w:pos="3240" w:val="left"/>
        </w:tabs>
        <w:numPr>
          <w:ilvl w:val="2"/>
          <w:numId w:val="156"/>
        </w:numPr>
        <w:rPr>
          <w:rFonts w:ascii="Arial" w:cs="Arial" w:eastAsia="Arial" w:hAnsi="Arial"/>
          <w:sz w:val="19"/>
          <w:szCs w:val="19"/>
          <w:color w:val="auto"/>
        </w:rPr>
      </w:pPr>
      <w:r>
        <w:rPr>
          <w:rFonts w:ascii="Arial" w:cs="Arial" w:eastAsia="Arial" w:hAnsi="Arial"/>
          <w:sz w:val="19"/>
          <w:szCs w:val="19"/>
          <w:color w:val="auto"/>
        </w:rPr>
        <w:t>in the case of an assignment of the entire remaining amount of the assigning Lender’s Commitment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52" w:name="page153"/>
    <w:bookmarkEnd w:id="152"/>
    <w:p>
      <w:pPr>
        <w:jc w:val="both"/>
        <w:ind w:firstLine="2600"/>
        <w:spacing w:after="0" w:line="274" w:lineRule="auto"/>
        <w:tabs>
          <w:tab w:leader="none" w:pos="324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Arial" w:cs="Arial" w:eastAsia="Arial" w:hAnsi="Arial"/>
          <w:sz w:val="18"/>
          <w:szCs w:val="18"/>
          <w:b w:val="1"/>
          <w:bCs w:val="1"/>
          <w:i w:val="1"/>
          <w:iCs w:val="1"/>
          <w:color w:val="auto"/>
        </w:rPr>
        <w:t>Trade Date</w:t>
      </w:r>
      <w:r>
        <w:rPr>
          <w:rFonts w:ascii="Arial" w:cs="Arial" w:eastAsia="Arial" w:hAnsi="Arial"/>
          <w:sz w:val="18"/>
          <w:szCs w:val="18"/>
          <w:color w:val="auto"/>
        </w:rPr>
        <w:t>” is specified in the Assignment and Assumption, as of the Trade Date) shall not be less than $5,000,000, unless each of the Administrative Agent and, so long as no Default or Event of Default has occurred and is continuing, the Borrower otherwise consents (each such consent not to be unreasonably withheld or delayed).</w:t>
      </w:r>
    </w:p>
    <w:p>
      <w:pPr>
        <w:spacing w:after="0" w:line="168" w:lineRule="exact"/>
        <w:rPr>
          <w:rFonts w:ascii="Arial" w:cs="Arial" w:eastAsia="Arial" w:hAnsi="Arial"/>
          <w:sz w:val="18"/>
          <w:szCs w:val="18"/>
          <w:color w:val="auto"/>
        </w:rPr>
      </w:pPr>
    </w:p>
    <w:p>
      <w:pPr>
        <w:jc w:val="both"/>
        <w:ind w:firstLine="1952"/>
        <w:spacing w:after="0" w:line="246" w:lineRule="auto"/>
        <w:tabs>
          <w:tab w:leader="none" w:pos="2592" w:val="left"/>
        </w:tabs>
        <w:numPr>
          <w:ilvl w:val="1"/>
          <w:numId w:val="158"/>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Facilities on a non-pro rata basis.</w:t>
      </w:r>
    </w:p>
    <w:p>
      <w:pPr>
        <w:spacing w:after="0" w:line="191" w:lineRule="exact"/>
        <w:rPr>
          <w:rFonts w:ascii="Arial" w:cs="Arial" w:eastAsia="Arial" w:hAnsi="Arial"/>
          <w:sz w:val="20"/>
          <w:szCs w:val="20"/>
          <w:color w:val="auto"/>
        </w:rPr>
      </w:pPr>
    </w:p>
    <w:p>
      <w:pPr>
        <w:ind w:firstLine="1952"/>
        <w:spacing w:after="0" w:line="260" w:lineRule="auto"/>
        <w:tabs>
          <w:tab w:leader="none" w:pos="2592" w:val="left"/>
        </w:tabs>
        <w:numPr>
          <w:ilvl w:val="1"/>
          <w:numId w:val="158"/>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paragraph (b)(i)(B) of this Section and, in addition:</w:t>
      </w:r>
    </w:p>
    <w:p>
      <w:pPr>
        <w:spacing w:after="0" w:line="176" w:lineRule="exact"/>
        <w:rPr>
          <w:rFonts w:ascii="Arial" w:cs="Arial" w:eastAsia="Arial" w:hAnsi="Arial"/>
          <w:sz w:val="20"/>
          <w:szCs w:val="20"/>
          <w:color w:val="auto"/>
        </w:rPr>
      </w:pPr>
    </w:p>
    <w:p>
      <w:pPr>
        <w:jc w:val="both"/>
        <w:ind w:firstLine="2600"/>
        <w:spacing w:after="0" w:line="275" w:lineRule="auto"/>
        <w:tabs>
          <w:tab w:leader="none" w:pos="324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consent of the Borrower (such consent not to be unreasonably withheld or delayed) shall be required unless (x) an Event of Default has occurred and is continuing at the time of such assignment, or</w:t>
      </w:r>
    </w:p>
    <w:p>
      <w:pPr>
        <w:jc w:val="both"/>
        <w:ind w:firstLine="8"/>
        <w:spacing w:after="0" w:line="241" w:lineRule="auto"/>
        <w:tabs>
          <w:tab w:leader="none" w:pos="307"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such assignment is to a Lender, an Affiliate of a Lender or an Approved Fund;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deemed to have consented to any such assignment unless it shall object thereto by written notice to the Administrative Agent within ten Business Days after having received notice thereof;</w:t>
      </w:r>
    </w:p>
    <w:p>
      <w:pPr>
        <w:spacing w:after="0" w:line="195" w:lineRule="exact"/>
        <w:rPr>
          <w:rFonts w:ascii="Arial" w:cs="Arial" w:eastAsia="Arial" w:hAnsi="Arial"/>
          <w:sz w:val="20"/>
          <w:szCs w:val="20"/>
          <w:color w:val="auto"/>
        </w:rPr>
      </w:pPr>
    </w:p>
    <w:p>
      <w:pPr>
        <w:jc w:val="both"/>
        <w:ind w:firstLine="2600"/>
        <w:spacing w:after="0" w:line="250" w:lineRule="auto"/>
        <w:tabs>
          <w:tab w:leader="none" w:pos="3240" w:val="left"/>
        </w:tabs>
        <w:numPr>
          <w:ilvl w:val="2"/>
          <w:numId w:val="159"/>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the Revolving Facility if such assignment is to a Person that is not a Lender with a Revolving Commitment; and</w:t>
      </w:r>
    </w:p>
    <w:p>
      <w:pPr>
        <w:spacing w:after="0" w:line="185" w:lineRule="exact"/>
        <w:rPr>
          <w:rFonts w:ascii="Arial" w:cs="Arial" w:eastAsia="Arial" w:hAnsi="Arial"/>
          <w:sz w:val="20"/>
          <w:szCs w:val="20"/>
          <w:color w:val="auto"/>
        </w:rPr>
      </w:pPr>
    </w:p>
    <w:p>
      <w:pPr>
        <w:ind w:left="3380" w:hanging="780"/>
        <w:spacing w:after="0"/>
        <w:tabs>
          <w:tab w:leader="none" w:pos="338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the consent of the Issuing Lender and the Swingline Lender (such consent not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be unreasonably withheld or delayed) shall be required for any assignment in respect of the Revolving Facility.</w:t>
      </w:r>
    </w:p>
    <w:p>
      <w:pPr>
        <w:spacing w:after="0" w:line="199" w:lineRule="exact"/>
        <w:rPr>
          <w:rFonts w:ascii="Arial" w:cs="Arial" w:eastAsia="Arial" w:hAnsi="Arial"/>
          <w:sz w:val="18"/>
          <w:szCs w:val="18"/>
          <w:color w:val="auto"/>
        </w:rPr>
      </w:pPr>
    </w:p>
    <w:p>
      <w:pPr>
        <w:jc w:val="both"/>
        <w:ind w:firstLine="1952"/>
        <w:spacing w:after="0" w:line="244" w:lineRule="auto"/>
        <w:tabs>
          <w:tab w:leader="none" w:pos="2592" w:val="left"/>
        </w:tabs>
        <w:numPr>
          <w:ilvl w:val="1"/>
          <w:numId w:val="159"/>
        </w:numPr>
        <w:rPr>
          <w:rFonts w:ascii="Arial" w:cs="Arial" w:eastAsia="Arial" w:hAnsi="Arial"/>
          <w:sz w:val="20"/>
          <w:szCs w:val="20"/>
          <w:color w:val="auto"/>
        </w:rPr>
      </w:pP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The parties to each assignment shall execute and deliver to the Administrative Agent an Assignment and Assumption, together with a processing and recordation fee of $3,500;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may, in its sole discretion, elect to waive such processing and recordation fee in the case of any assignment</w:t>
      </w:r>
      <w:r>
        <w:rPr>
          <w:rFonts w:ascii="Arial" w:cs="Arial" w:eastAsia="Arial" w:hAnsi="Arial"/>
          <w:sz w:val="20"/>
          <w:szCs w:val="20"/>
          <w:b w:val="1"/>
          <w:bCs w:val="1"/>
          <w:color w:val="auto"/>
        </w:rPr>
        <w:t>.</w:t>
      </w:r>
      <w:r>
        <w:rPr>
          <w:rFonts w:ascii="Arial" w:cs="Arial" w:eastAsia="Arial" w:hAnsi="Arial"/>
          <w:sz w:val="20"/>
          <w:szCs w:val="20"/>
          <w:color w:val="auto"/>
        </w:rPr>
        <w:t xml:space="preserve"> The assignee, if it is not a Lender, shall deliver to the Administrative Agent any such administrative questionnaire as the Administrative Agent may request.</w:t>
      </w:r>
    </w:p>
    <w:p>
      <w:pPr>
        <w:spacing w:after="0" w:line="194" w:lineRule="exact"/>
        <w:rPr>
          <w:rFonts w:ascii="Arial" w:cs="Arial" w:eastAsia="Arial" w:hAnsi="Arial"/>
          <w:sz w:val="20"/>
          <w:szCs w:val="20"/>
          <w:color w:val="auto"/>
        </w:rPr>
      </w:pPr>
    </w:p>
    <w:p>
      <w:pPr>
        <w:jc w:val="both"/>
        <w:ind w:right="20" w:firstLine="1952"/>
        <w:spacing w:after="0" w:line="291" w:lineRule="auto"/>
        <w:tabs>
          <w:tab w:leader="none" w:pos="2592"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to (A) the Borrower or any of the Borrower’s Affiliates or Subsidiaries or (B) to any Defaulting Lender or any of its Subsidiaries, or any Person who, upon becoming a Lender hereunder, would constitute any of the foregoing Persons described in this clause (B).</w:t>
      </w:r>
    </w:p>
    <w:p>
      <w:pPr>
        <w:spacing w:after="0" w:line="151" w:lineRule="exact"/>
        <w:rPr>
          <w:rFonts w:ascii="Arial" w:cs="Arial" w:eastAsia="Arial" w:hAnsi="Arial"/>
          <w:sz w:val="18"/>
          <w:szCs w:val="18"/>
          <w:color w:val="auto"/>
        </w:rPr>
      </w:pPr>
    </w:p>
    <w:p>
      <w:pPr>
        <w:jc w:val="both"/>
        <w:ind w:firstLine="1952"/>
        <w:spacing w:after="0" w:line="250" w:lineRule="auto"/>
        <w:tabs>
          <w:tab w:leader="none" w:pos="2592" w:val="left"/>
        </w:tabs>
        <w:numPr>
          <w:ilvl w:val="1"/>
          <w:numId w:val="159"/>
        </w:numPr>
        <w:rPr>
          <w:rFonts w:ascii="Arial" w:cs="Arial" w:eastAsia="Arial" w:hAnsi="Arial"/>
          <w:sz w:val="20"/>
          <w:szCs w:val="20"/>
          <w:color w:val="auto"/>
        </w:rPr>
      </w:pPr>
      <w:r>
        <w:rPr>
          <w:rFonts w:ascii="Arial" w:cs="Arial" w:eastAsia="Arial" w:hAnsi="Arial"/>
          <w:sz w:val="20"/>
          <w:szCs w:val="20"/>
          <w:u w:val="single" w:color="auto"/>
          <w:color w:val="auto"/>
        </w:rPr>
        <w:t>No Assignment to Natural Persons</w:t>
      </w:r>
      <w:r>
        <w:rPr>
          <w:rFonts w:ascii="Arial" w:cs="Arial" w:eastAsia="Arial" w:hAnsi="Arial"/>
          <w:sz w:val="20"/>
          <w:szCs w:val="20"/>
          <w:color w:val="auto"/>
        </w:rPr>
        <w:t>. No such assignment shall be made to a natural Person (or a holding company, investment vehicle or trust established for, or owned and operated for the primary benefit of, a natural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53" w:name="page154"/>
    <w:bookmarkEnd w:id="153"/>
    <w:p>
      <w:pPr>
        <w:jc w:val="both"/>
        <w:ind w:firstLine="1952"/>
        <w:spacing w:after="0" w:line="269" w:lineRule="auto"/>
        <w:tabs>
          <w:tab w:leader="none" w:pos="2591"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the Swingline Lender and each other Lender hereunder (and interest accrued thereon), and (y) acquire (and fund as appropriate) its full pro rata share of all Loans and participations in Letters of Credit and Swingline Loans in accordance with its Revolving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2.19</w:t>
      </w:r>
      <w:r>
        <w:rPr>
          <w:rFonts w:ascii="Arial" w:cs="Arial" w:eastAsia="Arial" w:hAnsi="Arial"/>
          <w:sz w:val="19"/>
          <w:szCs w:val="19"/>
          <w:color w:val="auto"/>
        </w:rPr>
        <w:t xml:space="preserve">, </w:t>
      </w:r>
      <w:r>
        <w:rPr>
          <w:rFonts w:ascii="Arial" w:cs="Arial" w:eastAsia="Arial" w:hAnsi="Arial"/>
          <w:sz w:val="19"/>
          <w:szCs w:val="19"/>
          <w:u w:val="single" w:color="auto"/>
          <w:color w:val="auto"/>
        </w:rPr>
        <w:t>2.20</w:t>
      </w:r>
      <w:r>
        <w:rPr>
          <w:rFonts w:ascii="Arial" w:cs="Arial" w:eastAsia="Arial" w:hAnsi="Arial"/>
          <w:sz w:val="19"/>
          <w:szCs w:val="19"/>
          <w:color w:val="auto"/>
        </w:rPr>
        <w:t xml:space="preserve">, </w:t>
      </w:r>
      <w:r>
        <w:rPr>
          <w:rFonts w:ascii="Arial" w:cs="Arial" w:eastAsia="Arial" w:hAnsi="Arial"/>
          <w:sz w:val="19"/>
          <w:szCs w:val="19"/>
          <w:u w:val="single" w:color="auto"/>
          <w:color w:val="auto"/>
        </w:rPr>
        <w:t>2.21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10.5</w:t>
      </w:r>
      <w:r>
        <w:rPr>
          <w:rFonts w:ascii="Arial" w:cs="Arial" w:eastAsia="Arial" w:hAnsi="Arial"/>
          <w:sz w:val="19"/>
          <w:szCs w:val="19"/>
          <w:color w:val="auto"/>
        </w:rPr>
        <w:t xml:space="preserve">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182" w:lineRule="exact"/>
        <w:rPr>
          <w:sz w:val="20"/>
          <w:szCs w:val="20"/>
          <w:color w:val="auto"/>
        </w:rPr>
      </w:pPr>
    </w:p>
    <w:p>
      <w:pPr>
        <w:jc w:val="both"/>
        <w:ind w:firstLine="1304"/>
        <w:spacing w:after="0" w:line="257" w:lineRule="auto"/>
        <w:tabs>
          <w:tab w:leader="none" w:pos="1944" w:val="left"/>
        </w:tabs>
        <w:numPr>
          <w:ilvl w:val="1"/>
          <w:numId w:val="161"/>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an agent of the Borrower, shall maintain at one of its offices in California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9"/>
          <w:szCs w:val="19"/>
          <w:b w:val="1"/>
          <w:bCs w:val="1"/>
          <w:i w:val="1"/>
          <w:iCs w:val="1"/>
          <w:color w:val="auto"/>
        </w:rPr>
        <w:t>Register</w:t>
      </w:r>
      <w:r>
        <w:rPr>
          <w:rFonts w:ascii="Arial" w:cs="Arial" w:eastAsia="Arial" w:hAnsi="Arial"/>
          <w:sz w:val="19"/>
          <w:szCs w:val="19"/>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80" w:lineRule="exact"/>
        <w:rPr>
          <w:rFonts w:ascii="Arial" w:cs="Arial" w:eastAsia="Arial" w:hAnsi="Arial"/>
          <w:sz w:val="19"/>
          <w:szCs w:val="19"/>
          <w:color w:val="auto"/>
        </w:rPr>
      </w:pPr>
    </w:p>
    <w:p>
      <w:pPr>
        <w:jc w:val="both"/>
        <w:ind w:firstLine="1304"/>
        <w:spacing w:after="0" w:line="269" w:lineRule="auto"/>
        <w:tabs>
          <w:tab w:leader="none" w:pos="1944"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 or the Administrative Agent, sell participations to any Person (other than a natural Person, a holding company, investment vehicle or trust established for, or owned and operated for the primary benefit of, a natural Person, or the Borrower or any of the Borrower’s Affiliates or Subsidiaries) (each,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3" w:lineRule="exact"/>
        <w:rPr>
          <w:rFonts w:ascii="Arial" w:cs="Arial" w:eastAsia="Arial" w:hAnsi="Arial"/>
          <w:sz w:val="18"/>
          <w:szCs w:val="18"/>
          <w:color w:val="auto"/>
        </w:rPr>
      </w:pPr>
    </w:p>
    <w:p>
      <w:pPr>
        <w:ind w:firstLine="8"/>
        <w:spacing w:after="0" w:line="297" w:lineRule="auto"/>
        <w:tabs>
          <w:tab w:leader="none" w:pos="24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such Lender’s obligations under this Agreement shall remain unchanged, (ii) such Lender shall remain solely responsible to the other parties hereto for the performance of such obligations, and (iii) the Borrower,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54" w:name="page155"/>
    <w:bookmarkEnd w:id="154"/>
    <w:p>
      <w:pPr>
        <w:jc w:val="both"/>
        <w:spacing w:after="0" w:line="291" w:lineRule="auto"/>
        <w:rPr>
          <w:sz w:val="20"/>
          <w:szCs w:val="20"/>
          <w:color w:val="auto"/>
        </w:rPr>
      </w:pPr>
      <w:r>
        <w:rPr>
          <w:rFonts w:ascii="Arial" w:cs="Arial" w:eastAsia="Arial" w:hAnsi="Arial"/>
          <w:sz w:val="18"/>
          <w:szCs w:val="18"/>
          <w:color w:val="auto"/>
        </w:rPr>
        <w:t xml:space="preserve">the Issuing Lender and the other Lenders shall continue to deal solely and directly with such Lender in connection with such Lender’s rights and obligations under this Agreement. For the avoidance of doubt, each Lender shall be responsible for the indemnities under </w:t>
      </w:r>
      <w:r>
        <w:rPr>
          <w:rFonts w:ascii="Arial" w:cs="Arial" w:eastAsia="Arial" w:hAnsi="Arial"/>
          <w:sz w:val="18"/>
          <w:szCs w:val="18"/>
          <w:u w:val="single" w:color="auto"/>
          <w:color w:val="auto"/>
        </w:rPr>
        <w:t>Sections 2.20(e)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9.7</w:t>
      </w:r>
      <w:r>
        <w:rPr>
          <w:rFonts w:ascii="Arial" w:cs="Arial" w:eastAsia="Arial" w:hAnsi="Arial"/>
          <w:sz w:val="18"/>
          <w:szCs w:val="18"/>
          <w:color w:val="auto"/>
        </w:rPr>
        <w:t xml:space="preserve"> with respect to any payments made by such Lender to its Participant(s).</w:t>
      </w:r>
    </w:p>
    <w:p>
      <w:pPr>
        <w:spacing w:after="0" w:line="15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which affects such Participant and for which the consent of such Lender is required (as described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The Borrower agrees that each Participant shall be entitled to the benefits of </w:t>
      </w:r>
      <w:r>
        <w:rPr>
          <w:rFonts w:ascii="Arial" w:cs="Arial" w:eastAsia="Arial" w:hAnsi="Arial"/>
          <w:sz w:val="18"/>
          <w:szCs w:val="18"/>
          <w:u w:val="single" w:color="auto"/>
          <w:color w:val="auto"/>
        </w:rPr>
        <w:t>Sections 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2.21</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 2.20(f)</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2.20(f)</w:t>
      </w:r>
      <w:r>
        <w:rPr>
          <w:rFonts w:ascii="Arial" w:cs="Arial" w:eastAsia="Arial" w:hAnsi="Arial"/>
          <w:sz w:val="18"/>
          <w:szCs w:val="18"/>
          <w:color w:val="auto"/>
        </w:rPr>
        <w:t xml:space="preserve"> shall be delivered by such Participant to the Lender granting such participation)) to the same extent as if it were a Lender and had acquired its interest by assignment pursuant to </w:t>
      </w:r>
      <w:r>
        <w:rPr>
          <w:rFonts w:ascii="Arial" w:cs="Arial" w:eastAsia="Arial" w:hAnsi="Arial"/>
          <w:sz w:val="18"/>
          <w:szCs w:val="18"/>
          <w:u w:val="single" w:color="auto"/>
          <w:color w:val="auto"/>
        </w:rPr>
        <w:t>Section 10.6(b)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u w:val="single" w:color="auto"/>
          <w:color w:val="auto"/>
        </w:rPr>
        <w:t>Sections 2.23</w:t>
      </w:r>
      <w:r>
        <w:rPr>
          <w:rFonts w:ascii="Arial" w:cs="Arial" w:eastAsia="Arial" w:hAnsi="Arial"/>
          <w:sz w:val="18"/>
          <w:szCs w:val="18"/>
          <w:color w:val="auto"/>
        </w:rPr>
        <w:t xml:space="preserve"> as if it were an assignee under </w:t>
      </w:r>
      <w:r>
        <w:rPr>
          <w:rFonts w:ascii="Arial" w:cs="Arial" w:eastAsia="Arial" w:hAnsi="Arial"/>
          <w:sz w:val="18"/>
          <w:szCs w:val="18"/>
          <w:u w:val="single" w:color="auto"/>
          <w:color w:val="auto"/>
        </w:rPr>
        <w:t>Section 10.6(b)</w:t>
      </w:r>
      <w:r>
        <w:rPr>
          <w:rFonts w:ascii="Arial" w:cs="Arial" w:eastAsia="Arial" w:hAnsi="Arial"/>
          <w:sz w:val="18"/>
          <w:szCs w:val="18"/>
          <w:color w:val="auto"/>
        </w:rPr>
        <w:t xml:space="preserve">; and (B) shall not be entitled to receive any greater payment under </w:t>
      </w:r>
      <w:r>
        <w:rPr>
          <w:rFonts w:ascii="Arial" w:cs="Arial" w:eastAsia="Arial" w:hAnsi="Arial"/>
          <w:sz w:val="18"/>
          <w:szCs w:val="18"/>
          <w:u w:val="single" w:color="auto"/>
          <w:color w:val="auto"/>
        </w:rPr>
        <w:t>Sections 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with respect to any participation, than its participating Lender would have been entitled to receive, except to the extent such entitlement to receive a greater payment results from a change in any Requirement of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b w:val="1"/>
          <w:bCs w:val="1"/>
          <w:i w:val="1"/>
          <w:iCs w:val="1"/>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4" w:lineRule="exact"/>
        <w:rPr>
          <w:sz w:val="20"/>
          <w:szCs w:val="20"/>
          <w:color w:val="auto"/>
        </w:rPr>
      </w:pPr>
    </w:p>
    <w:p>
      <w:pPr>
        <w:jc w:val="both"/>
        <w:ind w:firstLine="1304"/>
        <w:spacing w:after="0" w:line="263" w:lineRule="auto"/>
        <w:tabs>
          <w:tab w:leader="none" w:pos="1944"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76" w:lineRule="exact"/>
        <w:rPr>
          <w:rFonts w:ascii="Arial" w:cs="Arial" w:eastAsia="Arial" w:hAnsi="Arial"/>
          <w:sz w:val="19"/>
          <w:szCs w:val="19"/>
          <w:color w:val="auto"/>
        </w:rPr>
      </w:pPr>
    </w:p>
    <w:p>
      <w:pPr>
        <w:ind w:firstLine="1304"/>
        <w:spacing w:after="0" w:line="287" w:lineRule="auto"/>
        <w:tabs>
          <w:tab w:leader="none" w:pos="1944"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Notes</w:t>
      </w:r>
      <w:r>
        <w:rPr>
          <w:rFonts w:ascii="Arial" w:cs="Arial" w:eastAsia="Arial" w:hAnsi="Arial"/>
          <w:sz w:val="19"/>
          <w:szCs w:val="19"/>
          <w:color w:val="auto"/>
        </w:rPr>
        <w:t xml:space="preserve">. The Borrower, upon receipt by the Borrower of written notice from the relevant Lender, agrees to issue Notes to any Lender requiring Notes to facilitate transactions of the type described in </w:t>
      </w:r>
      <w:r>
        <w:rPr>
          <w:rFonts w:ascii="Arial" w:cs="Arial" w:eastAsia="Arial" w:hAnsi="Arial"/>
          <w:sz w:val="19"/>
          <w:szCs w:val="19"/>
          <w:u w:val="single" w:color="auto"/>
          <w:color w:val="auto"/>
        </w:rPr>
        <w:t>Section 10.6</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firstLine="1304"/>
        <w:spacing w:after="0" w:line="250" w:lineRule="auto"/>
        <w:tabs>
          <w:tab w:leader="none" w:pos="1944"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Lenders</w:t>
      </w:r>
      <w:r>
        <w:rPr>
          <w:rFonts w:ascii="Arial" w:cs="Arial" w:eastAsia="Arial" w:hAnsi="Arial"/>
          <w:sz w:val="20"/>
          <w:szCs w:val="20"/>
          <w:color w:val="auto"/>
        </w:rPr>
        <w:t>. Each Lender, upon execution and delivery hereof or upon succeeding to an interest in the Commitments or Loans, as the case may be, represents and warrants as of the Closing Date or as of the effective date of the applicable Assignment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55" w:name="page156"/>
    <w:bookmarkEnd w:id="155"/>
    <w:p>
      <w:pPr>
        <w:jc w:val="both"/>
        <w:spacing w:after="0" w:line="259" w:lineRule="auto"/>
        <w:rPr>
          <w:sz w:val="20"/>
          <w:szCs w:val="20"/>
          <w:color w:val="auto"/>
        </w:rPr>
      </w:pPr>
      <w:r>
        <w:rPr>
          <w:rFonts w:ascii="Arial" w:cs="Arial" w:eastAsia="Arial" w:hAnsi="Arial"/>
          <w:sz w:val="19"/>
          <w:szCs w:val="19"/>
          <w:color w:val="auto"/>
        </w:rPr>
        <w:t xml:space="preserve">Assumption that (i) it is an Eligible Assignee; (ii) it has experience and expertise in the making of or investing in commitments, loans or investments such as the Commitments and Loans; and (iii) it will make or invest in its Commitments and Loans for its own account in the ordinary course of its business and without a view to distribution of such Commitments and Loans within the meaning of the Securities Act or the Exchange Act, or other federal securities laws (it being understood that, subject to the provisions of this </w:t>
      </w:r>
      <w:r>
        <w:rPr>
          <w:rFonts w:ascii="Arial" w:cs="Arial" w:eastAsia="Arial" w:hAnsi="Arial"/>
          <w:sz w:val="19"/>
          <w:szCs w:val="19"/>
          <w:u w:val="single" w:color="auto"/>
          <w:color w:val="auto"/>
        </w:rPr>
        <w:t>Section 10.6</w:t>
      </w:r>
      <w:r>
        <w:rPr>
          <w:rFonts w:ascii="Arial" w:cs="Arial" w:eastAsia="Arial" w:hAnsi="Arial"/>
          <w:sz w:val="19"/>
          <w:szCs w:val="19"/>
          <w:color w:val="auto"/>
        </w:rPr>
        <w:t>, the disposition of such Commitments and Loans or any interests therein shall at all times remain within its exclusive control).</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10.7</w:t>
      </w:r>
      <w:r>
        <w:rPr>
          <w:sz w:val="20"/>
          <w:szCs w:val="20"/>
          <w:color w:val="auto"/>
        </w:rPr>
        <w:tab/>
      </w:r>
      <w:r>
        <w:rPr>
          <w:rFonts w:ascii="Arial" w:cs="Arial" w:eastAsia="Arial" w:hAnsi="Arial"/>
          <w:sz w:val="16"/>
          <w:szCs w:val="16"/>
          <w:b w:val="1"/>
          <w:bCs w:val="1"/>
          <w:color w:val="auto"/>
        </w:rPr>
        <w:t>Adjustments; Set-off</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55" w:lineRule="auto"/>
        <w:tabs>
          <w:tab w:leader="none" w:pos="1944" w:val="left"/>
        </w:tabs>
        <w:numPr>
          <w:ilvl w:val="0"/>
          <w:numId w:val="164"/>
        </w:numPr>
        <w:rPr>
          <w:rFonts w:ascii="Arial" w:cs="Arial" w:eastAsia="Arial" w:hAnsi="Arial"/>
          <w:sz w:val="19"/>
          <w:szCs w:val="19"/>
          <w:color w:val="auto"/>
        </w:rPr>
      </w:pPr>
      <w:r>
        <w:rPr>
          <w:rFonts w:ascii="Arial" w:cs="Arial" w:eastAsia="Arial" w:hAnsi="Arial"/>
          <w:sz w:val="19"/>
          <w:szCs w:val="19"/>
          <w:color w:val="auto"/>
        </w:rPr>
        <w:t>Except to the extent that this Agreement expressly provides for payments to be allocated to a particular Lender or to the Lenders under a particular Facility, if any Lender (a “</w:t>
      </w:r>
      <w:r>
        <w:rPr>
          <w:rFonts w:ascii="Arial" w:cs="Arial" w:eastAsia="Arial" w:hAnsi="Arial"/>
          <w:sz w:val="19"/>
          <w:szCs w:val="19"/>
          <w:b w:val="1"/>
          <w:bCs w:val="1"/>
          <w:i w:val="1"/>
          <w:iCs w:val="1"/>
          <w:color w:val="auto"/>
        </w:rPr>
        <w:t>Benefitted Lender</w:t>
      </w:r>
      <w:r>
        <w:rPr>
          <w:rFonts w:ascii="Arial" w:cs="Arial" w:eastAsia="Arial" w:hAnsi="Arial"/>
          <w:sz w:val="19"/>
          <w:szCs w:val="19"/>
          <w:color w:val="auto"/>
        </w:rPr>
        <w:t xml:space="preserve">”) shall receive any payment of all or part of the Obligations owing to it, or receive any collateral in respect thereof (whether voluntarily or involuntarily, by set-off, pursuant to events or proceedings of the nature referred to in </w:t>
      </w:r>
      <w:r>
        <w:rPr>
          <w:rFonts w:ascii="Arial" w:cs="Arial" w:eastAsia="Arial" w:hAnsi="Arial"/>
          <w:sz w:val="19"/>
          <w:szCs w:val="19"/>
          <w:u w:val="single" w:color="auto"/>
          <w:color w:val="auto"/>
        </w:rPr>
        <w:t>Section 8.1(f)</w:t>
      </w:r>
      <w:r>
        <w:rPr>
          <w:rFonts w:ascii="Arial" w:cs="Arial" w:eastAsia="Arial" w:hAnsi="Arial"/>
          <w:sz w:val="19"/>
          <w:szCs w:val="19"/>
          <w:color w:val="auto"/>
        </w:rPr>
        <w:t xml:space="preserve">,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86" w:lineRule="exact"/>
        <w:rPr>
          <w:rFonts w:ascii="Arial" w:cs="Arial" w:eastAsia="Arial" w:hAnsi="Arial"/>
          <w:sz w:val="19"/>
          <w:szCs w:val="19"/>
          <w:color w:val="auto"/>
        </w:rPr>
      </w:pPr>
    </w:p>
    <w:p>
      <w:pPr>
        <w:jc w:val="both"/>
        <w:ind w:firstLine="1304"/>
        <w:spacing w:after="0" w:line="268" w:lineRule="auto"/>
        <w:tabs>
          <w:tab w:leader="none" w:pos="194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Upon (i) the occurrence and during the continuance of any Event of Default and (ii) obtaining the prior written consent of the Administrative Agent, each Lender and each of its Affiliates is hereby authorized at any time and from time to time, without prior notice to the Borrower or any other Loan Party, any such notice being expressly waived by the Borrower and each Loan Party, to the fullest extent permitted by applicable law, to set off and apply any and all deposits (general or special, time or demand, provisional or final), in any currency, at any time held or owing, and any other credits, indebtedness, claims or obligations, in any currency, in each case whether direct or indirect, absolute or contingent, matured or unmatured, at any time held or owing by such Lender, its Affiliates or any branch or agency thereof to or for the credit or the account of the Borrower or any other Loan Party, as the case may be, against any and all of the obligations of the Borrower or such other Loan Party now or hereafter existing under this Agreement or any other Loan Document to such Lender or its Affiliates, irrespective of whether or not such Lender or Affiliate shall have made any demand under this Agreement or any other Loan Document and although such obligations of the Borrower or such other Loan Party may be contingent or unmatured or are owed to a branch, office or Affiliate of such Lender different from the branch, office or Affiliate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or any of its Affiliates shall exercise any such right of setoff, (x)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and, pending such payment, shall be segregated by such Defaulting Lender or Affiliate thereof from its other funds and deemed held in trust for the benefit of the Administrative Agent and the Lenders, and (y) the Defaulting Lender shall provide promptly to the Administrative Agent a statement describing in reasonable detail the Obligations owing to such Defaulting Lender or Affiliate thereof as to which it exercised such right of setoff. Each Lender agrees to notify the Borrower and the Administrative Agent promptly after any such setoff and application made by such Lender or any of its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 The rights of each Lender and its Affiliates under this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are in addition to other rights and remedies (including other rights of set-off) which such Lender or its Affiliates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56" w:name="page157"/>
    <w:bookmarkEnd w:id="156"/>
    <w:p>
      <w:pPr>
        <w:jc w:val="both"/>
        <w:ind w:firstLine="648"/>
        <w:spacing w:after="0" w:line="269" w:lineRule="auto"/>
        <w:rPr>
          <w:sz w:val="20"/>
          <w:szCs w:val="20"/>
          <w:color w:val="auto"/>
        </w:rPr>
      </w:pPr>
      <w:r>
        <w:rPr>
          <w:rFonts w:ascii="Arial" w:cs="Arial" w:eastAsia="Arial" w:hAnsi="Arial"/>
          <w:sz w:val="18"/>
          <w:szCs w:val="18"/>
          <w:b w:val="1"/>
          <w:bCs w:val="1"/>
          <w:color w:val="auto"/>
        </w:rPr>
        <w:t>10.8 Payments Set Aside</w:t>
      </w:r>
      <w:r>
        <w:rPr>
          <w:rFonts w:ascii="Arial" w:cs="Arial" w:eastAsia="Arial" w:hAnsi="Arial"/>
          <w:sz w:val="18"/>
          <w:szCs w:val="18"/>
          <w:color w:val="auto"/>
        </w:rPr>
        <w:t>. To the extent that any payment by or on behalf of the Borrower is made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w:t>
      </w:r>
    </w:p>
    <w:p>
      <w:pPr>
        <w:spacing w:after="0" w:line="5" w:lineRule="exact"/>
        <w:rPr>
          <w:sz w:val="20"/>
          <w:szCs w:val="20"/>
          <w:color w:val="auto"/>
        </w:rPr>
      </w:pPr>
    </w:p>
    <w:p>
      <w:pPr>
        <w:jc w:val="both"/>
        <w:ind w:firstLine="8"/>
        <w:spacing w:after="0" w:line="276" w:lineRule="auto"/>
        <w:tabs>
          <w:tab w:leader="none" w:pos="28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each Lender severally agrees to pay to the Administrative Agent upon demand its applicable share (without duplication) of any amount so recovered from or repaid by the Administrative Agent,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thereon from the date of such demand to the date such payment is made at a rate per annum equal to the Federal Funds Effective Rate from time to time in effect. The obligations of the Lenders under clause (b) of the preceding sentence shall survive the Discharge of Obligations.</w:t>
      </w:r>
    </w:p>
    <w:p>
      <w:pPr>
        <w:spacing w:after="0" w:line="16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10.9 Interest Rate Limitation</w:t>
      </w:r>
      <w:r>
        <w:rPr>
          <w:rFonts w:ascii="Arial" w:cs="Arial" w:eastAsia="Arial" w:hAnsi="Arial"/>
          <w:sz w:val="18"/>
          <w:szCs w:val="18"/>
          <w:color w:val="auto"/>
        </w:rPr>
        <w:t>. Notwithstanding anything to the contrary contained in any Loan Document,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paid or agreed to be paid under the Loan Documents shall not exceed the maximum rate of non-usurious interest permitted by applicable law (the “</w:t>
      </w:r>
      <w:r>
        <w:rPr>
          <w:rFonts w:ascii="Arial" w:cs="Arial" w:eastAsia="Arial" w:hAnsi="Arial"/>
          <w:sz w:val="18"/>
          <w:szCs w:val="18"/>
          <w:b w:val="1"/>
          <w:bCs w:val="1"/>
          <w:i w:val="1"/>
          <w:iCs w:val="1"/>
          <w:color w:val="auto"/>
        </w:rPr>
        <w:t>Maximum Rate</w:t>
      </w:r>
      <w:r>
        <w:rPr>
          <w:rFonts w:ascii="Arial" w:cs="Arial" w:eastAsia="Arial" w:hAnsi="Arial"/>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10.10</w:t>
      </w:r>
      <w:r>
        <w:rPr>
          <w:sz w:val="20"/>
          <w:szCs w:val="20"/>
          <w:color w:val="auto"/>
        </w:rPr>
        <w:tab/>
      </w:r>
      <w:r>
        <w:rPr>
          <w:rFonts w:ascii="Arial" w:cs="Arial" w:eastAsia="Arial" w:hAnsi="Arial"/>
          <w:sz w:val="16"/>
          <w:szCs w:val="16"/>
          <w:b w:val="1"/>
          <w:bCs w:val="1"/>
          <w:color w:val="auto"/>
        </w:rPr>
        <w:t>Counterparts; Electronic Execution of Assignments</w:t>
      </w:r>
      <w:r>
        <w:rPr>
          <w:rFonts w:ascii="Arial" w:cs="Arial" w:eastAsia="Arial" w:hAnsi="Arial"/>
          <w:sz w:val="16"/>
          <w:szCs w:val="16"/>
          <w:color w:val="auto"/>
        </w:rPr>
        <w:t>.</w:t>
      </w:r>
    </w:p>
    <w:p>
      <w:pPr>
        <w:spacing w:after="0" w:line="222" w:lineRule="exact"/>
        <w:rPr>
          <w:sz w:val="20"/>
          <w:szCs w:val="20"/>
          <w:color w:val="auto"/>
        </w:rPr>
      </w:pPr>
    </w:p>
    <w:p>
      <w:pPr>
        <w:ind w:firstLine="1304"/>
        <w:spacing w:after="0" w:line="260" w:lineRule="auto"/>
        <w:tabs>
          <w:tab w:leader="none" w:pos="1944"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mail transmission shall be effective as delivery of an original executed counterpart hereof. A set of the copies of this Agreement signed by all the parties shall be lodged with the Borrower and the Administrative Agent.</w:t>
      </w:r>
    </w:p>
    <w:p>
      <w:pPr>
        <w:spacing w:after="0" w:line="180" w:lineRule="exact"/>
        <w:rPr>
          <w:rFonts w:ascii="Arial" w:cs="Arial" w:eastAsia="Arial" w:hAnsi="Arial"/>
          <w:sz w:val="19"/>
          <w:szCs w:val="19"/>
          <w:color w:val="auto"/>
        </w:rPr>
      </w:pPr>
    </w:p>
    <w:p>
      <w:pPr>
        <w:jc w:val="both"/>
        <w:ind w:firstLine="1304"/>
        <w:spacing w:after="0" w:line="259" w:lineRule="auto"/>
        <w:tabs>
          <w:tab w:leader="none" w:pos="1944"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10.11 Severability</w:t>
      </w:r>
      <w:r>
        <w:rPr>
          <w:rFonts w:ascii="Arial" w:cs="Arial" w:eastAsia="Arial" w:hAnsi="Arial"/>
          <w:sz w:val="18"/>
          <w:szCs w:val="18"/>
          <w:color w:val="auto"/>
        </w:rPr>
        <w:t>. Any provision of this Agreement that is prohibited or unenforceable in any jurisdiction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10.11</w:t>
      </w:r>
      <w:r>
        <w:rPr>
          <w:rFonts w:ascii="Arial" w:cs="Arial" w:eastAsia="Arial" w:hAnsi="Arial"/>
          <w:sz w:val="18"/>
          <w:szCs w:val="18"/>
          <w:color w:val="auto"/>
        </w:rPr>
        <w:t>, if and to the extent that the enforceability of any provisions in this Agreement relating to Defaulting Lenders shall be limited under or in connection with any Insolvency Proceeding, as determined in good faith by the Administrative Agent or the Issuing Lender, as applicable, then such provisions shall be deemed to be in effect only to the extent not so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57" w:name="page158"/>
    <w:bookmarkEnd w:id="157"/>
    <w:p>
      <w:pPr>
        <w:jc w:val="both"/>
        <w:ind w:firstLine="648"/>
        <w:spacing w:after="0" w:line="285" w:lineRule="auto"/>
        <w:rPr>
          <w:sz w:val="20"/>
          <w:szCs w:val="20"/>
          <w:color w:val="auto"/>
        </w:rPr>
      </w:pPr>
      <w:r>
        <w:rPr>
          <w:rFonts w:ascii="Arial" w:cs="Arial" w:eastAsia="Arial" w:hAnsi="Arial"/>
          <w:sz w:val="18"/>
          <w:szCs w:val="18"/>
          <w:b w:val="1"/>
          <w:bCs w:val="1"/>
          <w:color w:val="auto"/>
        </w:rPr>
        <w:t>10.12 Integration</w:t>
      </w:r>
      <w:r>
        <w:rPr>
          <w:rFonts w:ascii="Arial" w:cs="Arial" w:eastAsia="Arial" w:hAnsi="Arial"/>
          <w:sz w:val="18"/>
          <w:szCs w:val="18"/>
          <w:color w:val="auto"/>
        </w:rPr>
        <w:t>. This Agreement and the other Loan Documents represent the entire agreement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the other Loan Parties,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5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10.13 GOVERNING LAW</w:t>
      </w:r>
      <w:r>
        <w:rPr>
          <w:rFonts w:ascii="Arial" w:cs="Arial" w:eastAsia="Arial" w:hAnsi="Arial"/>
          <w:sz w:val="20"/>
          <w:szCs w:val="20"/>
          <w:color w:val="auto"/>
        </w:rPr>
        <w:t>.</w:t>
      </w:r>
      <w:r>
        <w:rPr>
          <w:rFonts w:ascii="Arial" w:cs="Arial" w:eastAsia="Arial" w:hAnsi="Arial"/>
          <w:sz w:val="20"/>
          <w:szCs w:val="20"/>
          <w:b w:val="1"/>
          <w:bCs w:val="1"/>
          <w:color w:val="auto"/>
        </w:rPr>
        <w:t xml:space="preserve"> THIS AGREEMENT, THE OTHER LOAN DOCUMENTS, AND ANY CLAIM, CONTROVERSY, DISPUTE, CAUSE OF ACTION, OR PROCEEDING (WHETHER BASED IN CONTRACT, TORT, OR OTHERWISE) BASED UPON, ARISING OUT OF, CONNECTED WITH, OR RELATING TO THIS AGREEMENT OR ANY OTHER LOAN DOCUMENT (EXCEPT, AS TO ANY OTHER LOAN DOCUMENT, AS EXPRESSLY SET FORTH THEREIN) AND THE TRANSACTIONS CONTEMPLATED HEREBY AND THEREBY, AND THE RIGHTS AND OBLIGATIONS OF THE PARTIES HERETO AND THERETO, SHALL BE GOVERNED BY, AND CONSTRUED AND INTERPRETED IN ACCORDANCE WITH, THE LAWS OF THE STATE OF NEW YORK. </w:t>
      </w:r>
      <w:r>
        <w:rPr>
          <w:rFonts w:ascii="Arial" w:cs="Arial" w:eastAsia="Arial" w:hAnsi="Arial"/>
          <w:sz w:val="20"/>
          <w:szCs w:val="20"/>
          <w:color w:val="auto"/>
        </w:rPr>
        <w:t>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10.13</w:t>
      </w:r>
      <w:r>
        <w:rPr>
          <w:rFonts w:ascii="Arial" w:cs="Arial" w:eastAsia="Arial" w:hAnsi="Arial"/>
          <w:sz w:val="20"/>
          <w:szCs w:val="20"/>
          <w:b w:val="1"/>
          <w:bCs w:val="1"/>
          <w:color w:val="auto"/>
        </w:rPr>
        <w:t xml:space="preserve"> </w:t>
      </w:r>
      <w:r>
        <w:rPr>
          <w:rFonts w:ascii="Arial" w:cs="Arial" w:eastAsia="Arial" w:hAnsi="Arial"/>
          <w:sz w:val="20"/>
          <w:szCs w:val="20"/>
          <w:color w:val="auto"/>
        </w:rPr>
        <w:t>shall survive the Discharge of Obligations.</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10.14</w:t>
      </w:r>
      <w:r>
        <w:rPr>
          <w:sz w:val="20"/>
          <w:szCs w:val="20"/>
          <w:color w:val="auto"/>
        </w:rPr>
        <w:tab/>
      </w:r>
      <w:r>
        <w:rPr>
          <w:rFonts w:ascii="Arial" w:cs="Arial" w:eastAsia="Arial" w:hAnsi="Arial"/>
          <w:sz w:val="18"/>
          <w:szCs w:val="18"/>
          <w:b w:val="1"/>
          <w:bCs w:val="1"/>
          <w:color w:val="auto"/>
        </w:rPr>
        <w:t>Submission to Jurisdiction; Waivers</w:t>
      </w:r>
      <w:r>
        <w:rPr>
          <w:rFonts w:ascii="Arial" w:cs="Arial" w:eastAsia="Arial" w:hAnsi="Arial"/>
          <w:sz w:val="18"/>
          <w:szCs w:val="18"/>
          <w:color w:val="auto"/>
        </w:rPr>
        <w:t>. Each party hereto hereby irrevocably and unconditionally:</w:t>
      </w:r>
    </w:p>
    <w:p>
      <w:pPr>
        <w:spacing w:after="0" w:line="222" w:lineRule="exact"/>
        <w:rPr>
          <w:sz w:val="20"/>
          <w:szCs w:val="20"/>
          <w:color w:val="auto"/>
        </w:rPr>
      </w:pPr>
    </w:p>
    <w:p>
      <w:pPr>
        <w:ind w:firstLine="1304"/>
        <w:spacing w:after="0" w:line="268" w:lineRule="auto"/>
        <w:tabs>
          <w:tab w:leader="none" w:pos="194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agrees that all disputes, controversies, claims, actions and other proceedings involving, directly or indirectly, any matter in any way arising out of, related to, or connected with, this Agreement, any other Loan Document, any contemplated transactions related hereto or thereto, or the relationship between any Loan Party, on the one hand, and the Administrative Agent or any Lender or any other Secured Party, on the other hand, and any and all other claims of the Borrower or any other Group Member against the Administrative Agent or any Lender or any other Secured Party of any kind, shall be brought only in a state court located in the Borough of Manhattan, or, to the extent permitted by law, in a federal court sitting in the Borough of Manhattan; provided that nothing in this Agreement shall be deemed to operate to preclude the Administrative Agent or any Lender or any other Secured Party from bringing suit or taking other legal action in any other jurisdiction to realize on the Collateral or any other security for the Obligations, or to enforce a judgment or other court order in favor of Administrative Agent or such Lender or any other Secured Party, to the extent permitted by law. Each party hereto and the Borrower, on behalf of itself and each other Loan Party (i) expressly submits and consents in advance to such jurisdiction in any action or suit commenced in any such court and to the selection of any referee referred to below, (ii) hereby waives any objection that it may have based upon lack of personal jurisdiction, improper venue, or forum non conveniens and hereby consents to the granting of such legal or equitable relief as is deemed appropriate by such court, and (iii) agrees that it shall not file any motion or other application seeking to change the venue of any such suit or other action. Each party hereto and the Borrower, on behalf of itself and each other Loan Party, hereby waives personal service of any summons, complaints, and other process issued in any such action or suit and agrees that service of any such summons, complaints, and other process may be made by registered or certified mail addressed to the applicable recipient at the address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this Agreement and that service so made shall be deemed completed upon the earlier to occur of the Borrower’s actual receipt thereof or three days after deposit in the U.S. mails, proper postage prepaid;</w:t>
      </w:r>
    </w:p>
    <w:p>
      <w:pPr>
        <w:spacing w:after="0" w:line="177" w:lineRule="exact"/>
        <w:rPr>
          <w:rFonts w:ascii="Arial" w:cs="Arial" w:eastAsia="Arial" w:hAnsi="Arial"/>
          <w:sz w:val="18"/>
          <w:szCs w:val="18"/>
          <w:color w:val="auto"/>
        </w:rPr>
      </w:pPr>
    </w:p>
    <w:p>
      <w:pPr>
        <w:jc w:val="both"/>
        <w:ind w:firstLine="1304"/>
        <w:spacing w:after="0" w:line="246" w:lineRule="auto"/>
        <w:tabs>
          <w:tab w:leader="none" w:pos="1944" w:val="left"/>
        </w:tabs>
        <w:numPr>
          <w:ilvl w:val="0"/>
          <w:numId w:val="167"/>
        </w:numPr>
        <w:rPr>
          <w:rFonts w:ascii="Arial" w:cs="Arial" w:eastAsia="Arial" w:hAnsi="Arial"/>
          <w:sz w:val="20"/>
          <w:szCs w:val="20"/>
          <w:color w:val="auto"/>
        </w:rPr>
      </w:pPr>
      <w:r>
        <w:rPr>
          <w:rFonts w:ascii="Arial" w:cs="Arial" w:eastAsia="Arial" w:hAnsi="Arial"/>
          <w:sz w:val="20"/>
          <w:szCs w:val="20"/>
          <w:b w:val="1"/>
          <w:bCs w:val="1"/>
          <w:color w:val="auto"/>
        </w:rPr>
        <w:t>WAIVES, TO THE EXTENT PERMITTED BY APPLICABLE LAW, ITS RIGHT TO A JURY TRIAL OF ANY CLAIM, CAUSE OF ACTION, OR PROCEEDING (WHETHER BASED IN CONTRACT, TORT, OR OTHERWISE) BASED UPON, ARISING OUT OF, CONNECTED WITH, OR RELATING TO THIS AGREEMENT, ANY OTHER LOAN DOCUMENT, OR ANY TRANSACTION CONTEMPLATED HEREBY AND THEREBY, AMONG ANY OF THE PARTIES HERETO AND THERETO. THIS WAIVER IS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58" w:name="page159"/>
    <w:bookmarkEnd w:id="158"/>
    <w:p>
      <w:pPr>
        <w:ind w:right="20"/>
        <w:spacing w:after="0" w:line="267" w:lineRule="auto"/>
        <w:rPr>
          <w:sz w:val="20"/>
          <w:szCs w:val="20"/>
          <w:color w:val="auto"/>
        </w:rPr>
      </w:pPr>
      <w:r>
        <w:rPr>
          <w:rFonts w:ascii="Arial" w:cs="Arial" w:eastAsia="Arial" w:hAnsi="Arial"/>
          <w:sz w:val="20"/>
          <w:szCs w:val="20"/>
          <w:b w:val="1"/>
          <w:bCs w:val="1"/>
          <w:color w:val="auto"/>
        </w:rPr>
        <w:t>INDUCEMENT FOR THE PARTIES HERETO TO ENTER INTO THIS AGREEMENT AND THE OTHER LOAN DOCUMENTS. THE BORROWER HAS REVIEWED THIS WAIVER WITH ITS COUNSEL; and</w:t>
      </w:r>
    </w:p>
    <w:p>
      <w:pPr>
        <w:spacing w:after="0" w:line="169" w:lineRule="exact"/>
        <w:rPr>
          <w:sz w:val="20"/>
          <w:szCs w:val="20"/>
          <w:color w:val="auto"/>
        </w:rPr>
      </w:pPr>
    </w:p>
    <w:p>
      <w:pPr>
        <w:ind w:firstLine="1304"/>
        <w:spacing w:after="0" w:line="316" w:lineRule="auto"/>
        <w:tabs>
          <w:tab w:leader="none" w:pos="194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10.14</w:t>
      </w:r>
      <w:r>
        <w:rPr>
          <w:rFonts w:ascii="Arial" w:cs="Arial" w:eastAsia="Arial" w:hAnsi="Arial"/>
          <w:sz w:val="20"/>
          <w:szCs w:val="20"/>
          <w:color w:val="auto"/>
        </w:rPr>
        <w:t xml:space="preserve"> shall survive the Discharge of Obligations.</w:t>
      </w:r>
    </w:p>
    <w:p>
      <w:pPr>
        <w:spacing w:after="0" w:line="2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10.15</w:t>
      </w:r>
      <w:r>
        <w:rPr>
          <w:sz w:val="20"/>
          <w:szCs w:val="20"/>
          <w:color w:val="auto"/>
        </w:rPr>
        <w:tab/>
      </w:r>
      <w:r>
        <w:rPr>
          <w:rFonts w:ascii="Arial" w:cs="Arial" w:eastAsia="Arial" w:hAnsi="Arial"/>
          <w:sz w:val="16"/>
          <w:szCs w:val="16"/>
          <w:b w:val="1"/>
          <w:bCs w:val="1"/>
          <w:color w:val="auto"/>
        </w:rPr>
        <w:t>Acknowledgements</w:t>
      </w:r>
      <w:r>
        <w:rPr>
          <w:rFonts w:ascii="Arial" w:cs="Arial" w:eastAsia="Arial" w:hAnsi="Arial"/>
          <w:sz w:val="16"/>
          <w:szCs w:val="16"/>
          <w:color w:val="auto"/>
        </w:rPr>
        <w:t>. The Borrower hereby acknowledges that:</w:t>
      </w:r>
    </w:p>
    <w:p>
      <w:pPr>
        <w:spacing w:after="0" w:line="222" w:lineRule="exact"/>
        <w:rPr>
          <w:sz w:val="20"/>
          <w:szCs w:val="20"/>
          <w:color w:val="auto"/>
        </w:rPr>
      </w:pPr>
    </w:p>
    <w:p>
      <w:pPr>
        <w:ind w:left="1960" w:hanging="656"/>
        <w:spacing w:after="0"/>
        <w:tabs>
          <w:tab w:leader="none" w:pos="1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other Loan Documents;</w:t>
      </w:r>
    </w:p>
    <w:p>
      <w:pPr>
        <w:spacing w:after="0" w:line="199" w:lineRule="exact"/>
        <w:rPr>
          <w:rFonts w:ascii="Arial" w:cs="Arial" w:eastAsia="Arial" w:hAnsi="Arial"/>
          <w:sz w:val="18"/>
          <w:szCs w:val="18"/>
          <w:color w:val="auto"/>
        </w:rPr>
      </w:pPr>
    </w:p>
    <w:p>
      <w:pPr>
        <w:jc w:val="both"/>
        <w:ind w:firstLine="1304"/>
        <w:spacing w:after="0" w:line="268" w:lineRule="auto"/>
        <w:tabs>
          <w:tab w:leader="none" w:pos="194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in connection with all aspects of each transaction contemplated hereby (including in connection with any amendment, waiver or other modification hereof or of any other Loan Document), the Borrower, on behalf of each Group Member, acknowledges and agrees that: (i) (A) the arranging and other services regarding this Agreement provided by the Administrative Agent and any Affiliate thereof, and the Lenders and any Affiliate thereof are arm’s-length commercial transactions between the Borrower, each other Loan Party and their respective Affiliates, on the one hand, and the Administrative Agent, the Lenders and their respective applicable Affiliates (collectively, solely for purposes of this </w:t>
      </w:r>
      <w:r>
        <w:rPr>
          <w:rFonts w:ascii="Arial" w:cs="Arial" w:eastAsia="Arial" w:hAnsi="Arial"/>
          <w:sz w:val="18"/>
          <w:szCs w:val="18"/>
          <w:u w:val="single" w:color="auto"/>
          <w:color w:val="auto"/>
        </w:rPr>
        <w:t>Section 10.15</w:t>
      </w:r>
      <w:r>
        <w:rPr>
          <w:rFonts w:ascii="Arial" w:cs="Arial" w:eastAsia="Arial" w:hAnsi="Arial"/>
          <w:sz w:val="18"/>
          <w:szCs w:val="18"/>
          <w:color w:val="auto"/>
        </w:rPr>
        <w:t>, the “</w:t>
      </w:r>
      <w:r>
        <w:rPr>
          <w:rFonts w:ascii="Arial" w:cs="Arial" w:eastAsia="Arial" w:hAnsi="Arial"/>
          <w:sz w:val="18"/>
          <w:szCs w:val="18"/>
          <w:u w:val="single" w:color="auto"/>
          <w:color w:val="auto"/>
        </w:rPr>
        <w:t>Lenders</w:t>
      </w:r>
      <w:r>
        <w:rPr>
          <w:rFonts w:ascii="Arial" w:cs="Arial" w:eastAsia="Arial" w:hAnsi="Arial"/>
          <w:sz w:val="18"/>
          <w:szCs w:val="18"/>
          <w:color w:val="auto"/>
        </w:rPr>
        <w:t>”), on the other hand, (B) each of the Borrower and the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its Affiliates, each Lender and their Affiliates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 (B) neither the Administrative Agent, its Affiliates, any Lender nor any of their Affiliates has any obligation to the Borrower, any other Loan Party or any of their respective Affiliates with respect to the transactions contemplated hereby except those obligations expressly set forth herein and in the other Loan Documents; and (iii) the Administrative Agent, its Affiliates, the Lenders and their Affiliates may be engaged in a broad range of transactions that involve interests that differ from those of the Borrower, the other Loan Parties and their respective Affiliates, and neither the Administrative Agent, its Affiliates, any Lender nor any of their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its Affiliates, each Lender and any of their Affiliates with respect to any breach or alleged breach of agency or fiduciary duty in connection with any aspect of any transactions contemplated hereby; and</w:t>
      </w:r>
    </w:p>
    <w:p>
      <w:pPr>
        <w:spacing w:after="0" w:line="180" w:lineRule="exact"/>
        <w:rPr>
          <w:rFonts w:ascii="Arial" w:cs="Arial" w:eastAsia="Arial" w:hAnsi="Arial"/>
          <w:sz w:val="18"/>
          <w:szCs w:val="18"/>
          <w:color w:val="auto"/>
        </w:rPr>
      </w:pPr>
    </w:p>
    <w:p>
      <w:pPr>
        <w:ind w:firstLine="1304"/>
        <w:spacing w:after="0" w:line="287" w:lineRule="auto"/>
        <w:tabs>
          <w:tab w:leader="none" w:pos="1944" w:val="left"/>
        </w:tabs>
        <w:numPr>
          <w:ilvl w:val="0"/>
          <w:numId w:val="169"/>
        </w:numPr>
        <w:rPr>
          <w:rFonts w:ascii="Arial" w:cs="Arial" w:eastAsia="Arial" w:hAnsi="Arial"/>
          <w:sz w:val="19"/>
          <w:szCs w:val="19"/>
          <w:color w:val="auto"/>
        </w:rPr>
      </w:pPr>
      <w:r>
        <w:rPr>
          <w:rFonts w:ascii="Arial" w:cs="Arial" w:eastAsia="Arial" w:hAnsi="Arial"/>
          <w:sz w:val="19"/>
          <w:szCs w:val="19"/>
          <w:color w:val="auto"/>
        </w:rPr>
        <w:t>no joint venture is created hereby or by the other Loan Documents or otherwise exists by virtue of the transactions contemplated hereby among the Lenders or among the Group Members and the Lenders.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10.16</w:t>
      </w:r>
      <w:r>
        <w:rPr>
          <w:sz w:val="20"/>
          <w:szCs w:val="20"/>
          <w:color w:val="auto"/>
        </w:rPr>
        <w:tab/>
      </w:r>
      <w:r>
        <w:rPr>
          <w:rFonts w:ascii="Arial" w:cs="Arial" w:eastAsia="Arial" w:hAnsi="Arial"/>
          <w:sz w:val="16"/>
          <w:szCs w:val="16"/>
          <w:b w:val="1"/>
          <w:bCs w:val="1"/>
          <w:color w:val="auto"/>
        </w:rPr>
        <w:t>Releases of Guarantees and Liens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50" w:lineRule="auto"/>
        <w:tabs>
          <w:tab w:leader="none" w:pos="1944"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herein or in any other Loan Document, the Administrative Agent is hereby irrevocably authorized by each Lender (without requirement of notice to or consent of any Lender except as expressly required by </w:t>
      </w:r>
      <w:r>
        <w:rPr>
          <w:rFonts w:ascii="Arial" w:cs="Arial" w:eastAsia="Arial" w:hAnsi="Arial"/>
          <w:sz w:val="20"/>
          <w:szCs w:val="20"/>
          <w:u w:val="single" w:color="auto"/>
          <w:color w:val="auto"/>
        </w:rPr>
        <w:t>Section 10.1</w:t>
      </w:r>
      <w:r>
        <w:rPr>
          <w:rFonts w:ascii="Arial" w:cs="Arial" w:eastAsia="Arial" w:hAnsi="Arial"/>
          <w:sz w:val="20"/>
          <w:szCs w:val="20"/>
          <w:color w:val="auto"/>
        </w:rPr>
        <w:t>) to take any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59" w:name="page160"/>
    <w:bookmarkEnd w:id="159"/>
    <w:p>
      <w:pPr>
        <w:jc w:val="both"/>
        <w:ind w:right="20"/>
        <w:spacing w:after="0" w:line="269" w:lineRule="auto"/>
        <w:rPr>
          <w:sz w:val="20"/>
          <w:szCs w:val="20"/>
          <w:color w:val="auto"/>
        </w:rPr>
      </w:pPr>
      <w:r>
        <w:rPr>
          <w:rFonts w:ascii="Arial" w:cs="Arial" w:eastAsia="Arial" w:hAnsi="Arial"/>
          <w:sz w:val="19"/>
          <w:szCs w:val="19"/>
          <w:color w:val="auto"/>
        </w:rPr>
        <w:t xml:space="preserve">requested by the Borrower having the effect of releasing any Collateral or guarantee obligations (1) to the extent necessary to permit consummation of any transaction not prohibited by any Loan Document or that has been consented to in accordance with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or (2) under the circumstances described in </w:t>
      </w:r>
      <w:r>
        <w:rPr>
          <w:rFonts w:ascii="Arial" w:cs="Arial" w:eastAsia="Arial" w:hAnsi="Arial"/>
          <w:sz w:val="19"/>
          <w:szCs w:val="19"/>
          <w:u w:val="single" w:color="auto"/>
          <w:color w:val="auto"/>
        </w:rPr>
        <w:t>Section 10.16(b)</w:t>
      </w:r>
      <w:r>
        <w:rPr>
          <w:rFonts w:ascii="Arial" w:cs="Arial" w:eastAsia="Arial" w:hAnsi="Arial"/>
          <w:sz w:val="19"/>
          <w:szCs w:val="19"/>
          <w:color w:val="auto"/>
        </w:rPr>
        <w:t xml:space="preserve"> below.</w:t>
      </w:r>
    </w:p>
    <w:p>
      <w:pPr>
        <w:spacing w:after="0" w:line="170" w:lineRule="exact"/>
        <w:rPr>
          <w:sz w:val="20"/>
          <w:szCs w:val="20"/>
          <w:color w:val="auto"/>
        </w:rPr>
      </w:pPr>
    </w:p>
    <w:p>
      <w:pPr>
        <w:jc w:val="both"/>
        <w:ind w:firstLine="1304"/>
        <w:spacing w:after="0" w:line="270" w:lineRule="auto"/>
        <w:tabs>
          <w:tab w:leader="none" w:pos="194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Upon the Discharge of Obligations, the Collateral (other than any cash collateral securing any Specified Swap Agreements, any Cash Management Services or outstanding Letters of Credit) shall be released from the Liens created by the Security Documents and Cash Management Agreements (other than any Cash Management Agreements used to Cash Collateralize any Obligations arising in connection with Cash Management Agreements), and all obligations (other than those expressly stated to survive such termination) of the Administrative Agent and each Loan Party under the Security Documents and Cash Management Agreements (other than any Cash Management Agreements used to Cash Collateralize any Obligations arising in connection with Cash Management Agreements) shall terminate, all without delivery of any instrument or performance of any act by any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agrees upon such termination to promptly deliver to the Borrower, at the Borrower’s sole cost and expense, any Collateral in the possession of the Administrative Agent, UCC-3 termination statements, releases of Intellectual Property security instruments, discharges of existing Mortgages (if any), and other release and termination documents as are reasonably requested by such Borrower to discharge the Liens on the Collateral created by the Loan Documents.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10.17 Treatment of Certain Information; Confidentiality</w:t>
      </w:r>
      <w:r>
        <w:rPr>
          <w:rFonts w:ascii="Arial" w:cs="Arial" w:eastAsia="Arial" w:hAnsi="Arial"/>
          <w:sz w:val="18"/>
          <w:szCs w:val="18"/>
          <w:color w:val="auto"/>
        </w:rPr>
        <w:t>. Each of the Administrative Agent and each Lender</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(in which case the applicable Administrative Agent or Lender agrees to inform the Borrower promptly thereof prior to such disclosure to the extent practicable and not prohibited by law, rule or regulation and to only disclose that Information necessary to fulfill such legal requirement or respond to such subpoena or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Group Members or the Facilities or (ii) the CUSIP Service Bureau or any similar agency in connection with the issuance and monitoring of CUSIP numbers with respect to the Facilities;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 (so long as such source is not known to such Administrative Agent or such Lender to be bound by confidentiality obligations to the Borrower or any of its Subsidiaries). In addition, the Administrative Agent, the Lenders, and any of their respective Related Parties, may (A) disclose the existence of this Agreement and information about this Agreement to market data collectors, similar service providers to the lending industry and service providers to the Administrative Agent or the Lenders in connection with the administration of this Agreement, the other Loan Documents, and the Commitments; and (B) use any information (not constituting Information subject to the foregoing confidentiality restrictions) related to the syndication and arrangement of the credit facilities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0" w:name="page161"/>
    <w:bookmarkEnd w:id="160"/>
    <w:p>
      <w:pPr>
        <w:jc w:val="both"/>
        <w:spacing w:after="0" w:line="250" w:lineRule="auto"/>
        <w:rPr>
          <w:sz w:val="20"/>
          <w:szCs w:val="20"/>
          <w:color w:val="auto"/>
        </w:rPr>
      </w:pPr>
      <w:r>
        <w:rPr>
          <w:rFonts w:ascii="Arial" w:cs="Arial" w:eastAsia="Arial" w:hAnsi="Arial"/>
          <w:sz w:val="20"/>
          <w:szCs w:val="20"/>
          <w:color w:val="auto"/>
        </w:rPr>
        <w:t>by this Agreement in connection with marketing, press releases, or other transactional announcements or updates provided to investor or trade publications, including the placement of “tombstone” advertisements in publications of its choice at its own expense.</w:t>
      </w:r>
    </w:p>
    <w:p>
      <w:pPr>
        <w:spacing w:after="0" w:line="18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 rules, and regulations.</w:t>
      </w:r>
    </w:p>
    <w:p>
      <w:pPr>
        <w:spacing w:after="0" w:line="1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For purposes of this Section,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xml:space="preserve">” means all information received from the Group Members relating to the Group Members or any of their respective businesses, other than any such information that is available to the Administrative Agent or any Lender on a non-confidential basis prior to disclosure by the Group Members;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Group Members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10.18 Automatic Debits</w:t>
      </w:r>
      <w:r>
        <w:rPr>
          <w:rFonts w:ascii="Arial" w:cs="Arial" w:eastAsia="Arial" w:hAnsi="Arial"/>
          <w:sz w:val="19"/>
          <w:szCs w:val="19"/>
          <w:color w:val="auto"/>
        </w:rPr>
        <w:t>. With respect to any principal, interest, fee, or any other cost or expense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attorney costs of the Administrative Agent or any Lender payable by the Borrower hereunder) due and payable to the Administrative Agent or any Lender under the Loan Documents, the Borrower hereby irrevocably authorizes the Administrative Agent to debit any deposit account of the Borrower maintained with the Administrative Agent in an amount such that the aggregate amount debited from all such deposit accounts does not exceed such principal, interest, fee or other cost or expense. If there are insufficient funds in such deposit accounts to cover the amount then due, such debits will be reversed (in whole or in part, in the Administrative Agent’s sole discretion) and such amount not debited shall be deemed to be unpaid. No such debit under this </w:t>
      </w:r>
      <w:r>
        <w:rPr>
          <w:rFonts w:ascii="Arial" w:cs="Arial" w:eastAsia="Arial" w:hAnsi="Arial"/>
          <w:sz w:val="19"/>
          <w:szCs w:val="19"/>
          <w:u w:val="single" w:color="auto"/>
          <w:color w:val="auto"/>
        </w:rPr>
        <w:t>Section 10.18</w:t>
      </w:r>
      <w:r>
        <w:rPr>
          <w:rFonts w:ascii="Arial" w:cs="Arial" w:eastAsia="Arial" w:hAnsi="Arial"/>
          <w:sz w:val="19"/>
          <w:szCs w:val="19"/>
          <w:color w:val="auto"/>
        </w:rPr>
        <w:t xml:space="preserve"> shall be deemed a set-off.</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10.19 Judgment Currency</w:t>
      </w:r>
      <w:r>
        <w:rPr>
          <w:rFonts w:ascii="Arial" w:cs="Arial" w:eastAsia="Arial" w:hAnsi="Arial"/>
          <w:sz w:val="18"/>
          <w:szCs w:val="18"/>
          <w:color w:val="auto"/>
        </w:rPr>
        <w:t>. If, for the purposes of obtaining judgment in any court, it is necessary to convert a</w:t>
      </w:r>
      <w:r>
        <w:rPr>
          <w:rFonts w:ascii="Arial" w:cs="Arial" w:eastAsia="Arial" w:hAnsi="Arial"/>
          <w:sz w:val="18"/>
          <w:szCs w:val="18"/>
          <w:b w:val="1"/>
          <w:bCs w:val="1"/>
          <w:color w:val="auto"/>
        </w:rPr>
        <w:t xml:space="preserve"> </w:t>
      </w:r>
      <w:r>
        <w:rPr>
          <w:rFonts w:ascii="Arial" w:cs="Arial" w:eastAsia="Arial" w:hAnsi="Arial"/>
          <w:sz w:val="18"/>
          <w:szCs w:val="18"/>
          <w:color w:val="auto"/>
        </w:rPr>
        <w:t>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and each other Loan Party in respect of any such sum due from it to the Administrative Agent or any Lender hereunder or under any other Loan Document shall, notwithstanding any judgment in a currency (the “</w:t>
      </w:r>
      <w:r>
        <w:rPr>
          <w:rFonts w:ascii="Arial" w:cs="Arial" w:eastAsia="Arial" w:hAnsi="Arial"/>
          <w:sz w:val="18"/>
          <w:szCs w:val="18"/>
          <w:b w:val="1"/>
          <w:bCs w:val="1"/>
          <w:i w:val="1"/>
          <w:iCs w:val="1"/>
          <w:color w:val="auto"/>
        </w:rPr>
        <w:t>Judgment Currency</w:t>
      </w:r>
      <w:r>
        <w:rPr>
          <w:rFonts w:ascii="Arial" w:cs="Arial" w:eastAsia="Arial" w:hAnsi="Arial"/>
          <w:sz w:val="18"/>
          <w:szCs w:val="18"/>
          <w:color w:val="auto"/>
        </w:rPr>
        <w:t>”) other than that in which such sum is denominated in accordance with the applicable provisions of this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Currency</w:t>
      </w:r>
      <w:r>
        <w:rPr>
          <w:rFonts w:ascii="Arial" w:cs="Arial" w:eastAsia="Arial" w:hAnsi="Arial"/>
          <w:sz w:val="18"/>
          <w:szCs w:val="18"/>
          <w:color w:val="auto"/>
        </w:rPr>
        <w:t>”), be discharged only to the extent that on the Business Day following receipt by the Administrative Agent or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or any other Loan Party in the Agreement Currency, the Borrower and each other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1" w:name="page162"/>
    <w:bookmarkEnd w:id="161"/>
    <w:p>
      <w:pPr>
        <w:jc w:val="both"/>
        <w:spacing w:after="0" w:line="260" w:lineRule="auto"/>
        <w:rPr>
          <w:sz w:val="20"/>
          <w:szCs w:val="20"/>
          <w:color w:val="auto"/>
        </w:rPr>
      </w:pPr>
      <w:r>
        <w:rPr>
          <w:rFonts w:ascii="Arial" w:cs="Arial" w:eastAsia="Arial" w:hAnsi="Arial"/>
          <w:sz w:val="20"/>
          <w:szCs w:val="20"/>
          <w:color w:val="auto"/>
        </w:rPr>
        <w:t>of any excess to the Borrower or other Loan Party, as applicable (or to any other Person who may be entitled thereto under applicable law).</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10.20 Patriot Act; Other Regulations</w:t>
      </w:r>
      <w:r>
        <w:rPr>
          <w:rFonts w:ascii="Arial" w:cs="Arial" w:eastAsia="Arial" w:hAnsi="Arial"/>
          <w:sz w:val="18"/>
          <w:szCs w:val="18"/>
          <w:color w:val="auto"/>
        </w:rPr>
        <w:t>. Each Lender and the Administrative Agent (for itself and not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party) hereby notifies the Borrower and each other Loan Party that, pursuant to the requirements of “know your customer” and anti-money laundering rules and regulations, including the Patriot Act and 31 C.F.R. § 1010.230, it is required to obtain, verify and record information that identifies each Loan Party and certain related parties thereto, which information includes the names and addresses and other information that will allow such Lender or the Administrative Agent, as applicable, to identify each Loan Party and certain of their beneficial owners and other officers in accordance with the Patriot Act and 31 C.F.R. § 1010.230. The Borrower and each other Loan Party will, and will cause each of their respective Subsidiaries to, provide, to the extent commercially reasonable or required by any Requirement of Law, such information and documents and take such actions as are reasonably requested by the Administrative Agent or any Lender to assist the Administrative Agent and the Lenders in maintaining compliance with “know your customer” requirements under the PATRIOT Act, 31 C.F.R. § 1010.230 or other applicable anti-money laundering laws.</w:t>
      </w:r>
    </w:p>
    <w:p>
      <w:pPr>
        <w:spacing w:after="0" w:line="17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0"/>
          <w:szCs w:val="20"/>
          <w:b w:val="1"/>
          <w:bCs w:val="1"/>
          <w:color w:val="auto"/>
        </w:rPr>
        <w:t>10.21</w:t>
      </w:r>
      <w:r>
        <w:rPr>
          <w:sz w:val="20"/>
          <w:szCs w:val="20"/>
          <w:color w:val="auto"/>
        </w:rPr>
        <w:tab/>
      </w:r>
      <w:r>
        <w:rPr>
          <w:rFonts w:ascii="Arial" w:cs="Arial" w:eastAsia="Arial" w:hAnsi="Arial"/>
          <w:sz w:val="18"/>
          <w:szCs w:val="18"/>
          <w:b w:val="1"/>
          <w:bCs w:val="1"/>
          <w:color w:val="auto"/>
        </w:rPr>
        <w:t>Acknowledgement and Consent to Bail-In of EEA Financial Institutions</w:t>
      </w:r>
      <w:r>
        <w:rPr>
          <w:rFonts w:ascii="Arial" w:cs="Arial" w:eastAsia="Arial" w:hAnsi="Arial"/>
          <w:sz w:val="18"/>
          <w:szCs w:val="18"/>
          <w:color w:val="auto"/>
        </w:rPr>
        <w:t>.</w:t>
      </w:r>
    </w:p>
    <w:p>
      <w:pPr>
        <w:spacing w:after="0" w:line="222" w:lineRule="exact"/>
        <w:rPr>
          <w:sz w:val="20"/>
          <w:szCs w:val="20"/>
          <w:color w:val="auto"/>
        </w:rPr>
      </w:pPr>
    </w:p>
    <w:p>
      <w:pPr>
        <w:jc w:val="both"/>
        <w:ind w:firstLine="787"/>
        <w:spacing w:after="0" w:line="246" w:lineRule="auto"/>
        <w:rPr>
          <w:sz w:val="20"/>
          <w:szCs w:val="20"/>
          <w:color w:val="auto"/>
        </w:rPr>
      </w:pPr>
      <w:r>
        <w:rPr>
          <w:rFonts w:ascii="Arial" w:cs="Arial" w:eastAsia="Arial" w:hAnsi="Arial"/>
          <w:sz w:val="20"/>
          <w:szCs w:val="20"/>
          <w:color w:val="auto"/>
        </w:rPr>
        <w:t>Notwithstanding anything to the contrary in this Agreement or in any other Loan Document,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91" w:lineRule="exact"/>
        <w:rPr>
          <w:sz w:val="20"/>
          <w:szCs w:val="20"/>
          <w:color w:val="auto"/>
        </w:rPr>
      </w:pPr>
    </w:p>
    <w:p>
      <w:pPr>
        <w:ind w:firstLine="1304"/>
        <w:spacing w:after="0" w:line="316" w:lineRule="auto"/>
        <w:tabs>
          <w:tab w:leader="none" w:pos="194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w:t>
      </w:r>
    </w:p>
    <w:p>
      <w:pPr>
        <w:spacing w:after="0" w:line="129" w:lineRule="exact"/>
        <w:rPr>
          <w:rFonts w:ascii="Arial" w:cs="Arial" w:eastAsia="Arial" w:hAnsi="Arial"/>
          <w:sz w:val="18"/>
          <w:szCs w:val="18"/>
          <w:color w:val="auto"/>
        </w:rPr>
      </w:pPr>
    </w:p>
    <w:p>
      <w:pPr>
        <w:jc w:val="both"/>
        <w:ind w:firstLine="1304"/>
        <w:spacing w:after="0" w:line="246" w:lineRule="auto"/>
        <w:tabs>
          <w:tab w:leader="none" w:pos="1944" w:val="left"/>
        </w:tabs>
        <w:numPr>
          <w:ilvl w:val="0"/>
          <w:numId w:val="172"/>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Capital Stock in such EEA Financial Institution, its parent undertaking, or a bridge institution that may be issued to it or otherwise conferred on it, and that such Capital Stock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auto"/>
        </w:rPr>
      </w:pPr>
    </w:p>
    <w:p>
      <w:pPr>
        <w:ind w:firstLine="1304"/>
        <w:spacing w:after="0" w:line="260" w:lineRule="auto"/>
        <w:tabs>
          <w:tab w:leader="none" w:pos="1944"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left blank intentionally</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2" w:name="page163"/>
    <w:bookmarkEnd w:id="162"/>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Agreement to be duly executed and delivered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their proper and duly authorized officers as of the day and year first above written.</w:t>
      </w:r>
    </w:p>
    <w:p>
      <w:pPr>
        <w:spacing w:after="0" w:line="163"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BORROWER:</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AXCELIS TECHNOLOGIES, INC.</w:t>
      </w:r>
    </w:p>
    <w:p>
      <w:pPr>
        <w:spacing w:after="0" w:line="200" w:lineRule="exact"/>
        <w:rPr>
          <w:sz w:val="20"/>
          <w:szCs w:val="20"/>
          <w:color w:val="auto"/>
        </w:rPr>
      </w:pPr>
    </w:p>
    <w:p>
      <w:pPr>
        <w:spacing w:after="0" w:line="26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20"/>
          <w:szCs w:val="20"/>
          <w:color w:val="auto"/>
        </w:rPr>
        <w:t>By:</w:t>
        <w:tab/>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10160</wp:posOffset>
            </wp:positionV>
            <wp:extent cx="27343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23"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Name: Mary G. Puma</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918845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63" w:name="page164"/>
    <w:bookmarkEnd w:id="163"/>
    <w:p>
      <w:pPr>
        <w:ind w:left="4600"/>
        <w:spacing w:after="0"/>
        <w:rPr>
          <w:sz w:val="20"/>
          <w:szCs w:val="20"/>
          <w:color w:val="auto"/>
        </w:rPr>
      </w:pPr>
      <w:r>
        <w:rPr>
          <w:rFonts w:ascii="Arial" w:cs="Arial" w:eastAsia="Arial" w:hAnsi="Arial"/>
          <w:sz w:val="20"/>
          <w:szCs w:val="20"/>
          <w:b w:val="1"/>
          <w:bCs w:val="1"/>
          <w:color w:val="auto"/>
        </w:rPr>
        <w:t>ADMINISTRATIVE AGENT:</w:t>
      </w:r>
    </w:p>
    <w:p>
      <w:pPr>
        <w:spacing w:after="0" w:line="229"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SILICON VALLEY BANK</w:t>
      </w:r>
    </w:p>
    <w:p>
      <w:pPr>
        <w:spacing w:after="0" w:line="200" w:lineRule="exact"/>
        <w:rPr>
          <w:sz w:val="20"/>
          <w:szCs w:val="20"/>
          <w:color w:val="auto"/>
        </w:rPr>
      </w:pPr>
    </w:p>
    <w:p>
      <w:pPr>
        <w:spacing w:after="0" w:line="265" w:lineRule="exact"/>
        <w:rPr>
          <w:sz w:val="20"/>
          <w:szCs w:val="20"/>
          <w:color w:val="auto"/>
        </w:rPr>
      </w:pPr>
    </w:p>
    <w:p>
      <w:pPr>
        <w:ind w:left="4600"/>
        <w:spacing w:after="0"/>
        <w:tabs>
          <w:tab w:leader="none" w:pos="5140" w:val="left"/>
        </w:tabs>
        <w:rPr>
          <w:sz w:val="20"/>
          <w:szCs w:val="20"/>
          <w:color w:val="auto"/>
        </w:rPr>
      </w:pPr>
      <w:r>
        <w:rPr>
          <w:rFonts w:ascii="Arial" w:cs="Arial" w:eastAsia="Arial" w:hAnsi="Arial"/>
          <w:sz w:val="20"/>
          <w:szCs w:val="20"/>
          <w:color w:val="auto"/>
        </w:rPr>
        <w:t>By:</w:t>
        <w:tab/>
        <w:t>/s/ Michael Shuhy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10160</wp:posOffset>
            </wp:positionV>
            <wp:extent cx="27343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23"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Name: Michael Shuhy</w:t>
      </w:r>
    </w:p>
    <w:p>
      <w:pPr>
        <w:spacing w:after="0" w:line="229"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910590</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164" w:name="page165"/>
    <w:bookmarkEnd w:id="164"/>
    <w:p>
      <w:pPr>
        <w:ind w:left="4600"/>
        <w:spacing w:after="0"/>
        <w:rPr>
          <w:sz w:val="20"/>
          <w:szCs w:val="20"/>
          <w:color w:val="auto"/>
        </w:rPr>
      </w:pPr>
      <w:r>
        <w:rPr>
          <w:rFonts w:ascii="Arial" w:cs="Arial" w:eastAsia="Arial" w:hAnsi="Arial"/>
          <w:sz w:val="20"/>
          <w:szCs w:val="20"/>
          <w:b w:val="1"/>
          <w:bCs w:val="1"/>
          <w:color w:val="auto"/>
        </w:rPr>
        <w:t>LENDERS:</w:t>
      </w:r>
    </w:p>
    <w:p>
      <w:pPr>
        <w:spacing w:after="0" w:line="229"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SILICON VALLEY BANK,</w:t>
      </w:r>
    </w:p>
    <w:p>
      <w:pPr>
        <w:spacing w:after="0" w:line="22"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as Issuing Lender, Swingline Lender and as a Lender</w:t>
      </w:r>
    </w:p>
    <w:p>
      <w:pPr>
        <w:spacing w:after="0" w:line="259" w:lineRule="exact"/>
        <w:rPr>
          <w:sz w:val="20"/>
          <w:szCs w:val="20"/>
          <w:color w:val="auto"/>
        </w:rPr>
      </w:pPr>
    </w:p>
    <w:p>
      <w:pPr>
        <w:ind w:left="4600"/>
        <w:spacing w:after="0"/>
        <w:tabs>
          <w:tab w:leader="none" w:pos="5140" w:val="left"/>
        </w:tabs>
        <w:rPr>
          <w:sz w:val="20"/>
          <w:szCs w:val="20"/>
          <w:color w:val="auto"/>
        </w:rPr>
      </w:pPr>
      <w:r>
        <w:rPr>
          <w:rFonts w:ascii="Arial" w:cs="Arial" w:eastAsia="Arial" w:hAnsi="Arial"/>
          <w:sz w:val="20"/>
          <w:szCs w:val="20"/>
          <w:color w:val="auto"/>
        </w:rPr>
        <w:t>By:</w:t>
        <w:tab/>
        <w:t>/s/ Michael Shuhy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10160</wp:posOffset>
            </wp:positionV>
            <wp:extent cx="27343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23"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Name: Michael Shuhy</w:t>
      </w:r>
    </w:p>
    <w:p>
      <w:pPr>
        <w:spacing w:after="0" w:line="229"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1056005</wp:posOffset>
            </wp:positionV>
            <wp:extent cx="629221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165" w:name="page166"/>
    <w:bookmarkEnd w:id="165"/>
    <w:p>
      <w:pPr>
        <w:jc w:val="center"/>
        <w:ind w:right="-59"/>
        <w:spacing w:after="0"/>
        <w:rPr>
          <w:sz w:val="20"/>
          <w:szCs w:val="20"/>
          <w:color w:val="auto"/>
        </w:rPr>
      </w:pPr>
      <w:r>
        <w:rPr>
          <w:rFonts w:ascii="Arial" w:cs="Arial" w:eastAsia="Arial" w:hAnsi="Arial"/>
          <w:sz w:val="20"/>
          <w:szCs w:val="20"/>
          <w:b w:val="1"/>
          <w:bCs w:val="1"/>
          <w:u w:val="single" w:color="auto"/>
          <w:color w:val="auto"/>
        </w:rPr>
        <w:t>Note on Omitted Exhibits and Schedules</w:t>
      </w:r>
    </w:p>
    <w:p>
      <w:pPr>
        <w:spacing w:after="0" w:line="229" w:lineRule="exact"/>
        <w:rPr>
          <w:sz w:val="20"/>
          <w:szCs w:val="20"/>
          <w:color w:val="auto"/>
        </w:rPr>
      </w:pPr>
    </w:p>
    <w:p>
      <w:pPr>
        <w:jc w:val="center"/>
        <w:ind w:left="1040"/>
        <w:spacing w:after="0" w:line="253" w:lineRule="auto"/>
        <w:rPr>
          <w:sz w:val="20"/>
          <w:szCs w:val="20"/>
          <w:color w:val="auto"/>
        </w:rPr>
      </w:pPr>
      <w:r>
        <w:rPr>
          <w:rFonts w:ascii="Arial" w:cs="Arial" w:eastAsia="Arial" w:hAnsi="Arial"/>
          <w:sz w:val="20"/>
          <w:szCs w:val="20"/>
          <w:b w:val="1"/>
          <w:bCs w:val="1"/>
          <w:color w:val="auto"/>
        </w:rPr>
        <w:t>to the Senior Secured Credit Facilities Credit Agreement dated as of July 31, 2020, among Axcelis Technologies, Inc., as the Borrower, the several lenders from time to time party thereto, and Silicon Valley Bank, as Administrative Agent, Issuing Lender and Swingline Lender, and as Lead Arranger</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as filed with the Securities Exchange Commission (the “Commission”)</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on Form 10-Q for the quarter ending September 30, 2020</w:t>
      </w:r>
    </w:p>
    <w:p>
      <w:pPr>
        <w:spacing w:after="0" w:line="207" w:lineRule="exact"/>
        <w:rPr>
          <w:sz w:val="20"/>
          <w:szCs w:val="20"/>
          <w:color w:val="auto"/>
        </w:rPr>
      </w:pPr>
    </w:p>
    <w:p>
      <w:pPr>
        <w:ind w:right="140" w:firstLine="49"/>
        <w:spacing w:after="0" w:line="277" w:lineRule="auto"/>
        <w:rPr>
          <w:sz w:val="20"/>
          <w:szCs w:val="20"/>
          <w:color w:val="auto"/>
        </w:rPr>
      </w:pPr>
      <w:r>
        <w:rPr>
          <w:rFonts w:ascii="Arial" w:cs="Arial" w:eastAsia="Arial" w:hAnsi="Arial"/>
          <w:sz w:val="18"/>
          <w:szCs w:val="18"/>
          <w:color w:val="auto"/>
        </w:rPr>
        <w:t xml:space="preserve">In accordance with Paragraph (b)(2) of the Instructions to Item 601 of Regulation S-K issued by the Commission, </w:t>
      </w:r>
      <w:r>
        <w:rPr>
          <w:rFonts w:ascii="Arial" w:cs="Arial" w:eastAsia="Arial" w:hAnsi="Arial"/>
          <w:sz w:val="18"/>
          <w:szCs w:val="18"/>
          <w:b w:val="1"/>
          <w:bCs w:val="1"/>
          <w:color w:val="auto"/>
        </w:rPr>
        <w:t>other</w:t>
      </w:r>
      <w:r>
        <w:rPr>
          <w:rFonts w:ascii="Arial" w:cs="Arial" w:eastAsia="Arial" w:hAnsi="Arial"/>
          <w:sz w:val="18"/>
          <w:szCs w:val="18"/>
          <w:color w:val="auto"/>
        </w:rPr>
        <w:t xml:space="preserve"> </w:t>
      </w:r>
      <w:r>
        <w:rPr>
          <w:rFonts w:ascii="Arial" w:cs="Arial" w:eastAsia="Arial" w:hAnsi="Arial"/>
          <w:sz w:val="18"/>
          <w:szCs w:val="18"/>
          <w:b w:val="1"/>
          <w:bCs w:val="1"/>
          <w:color w:val="auto"/>
        </w:rPr>
        <w:t>than Schedule 1.1A: Commitments</w:t>
      </w:r>
      <w:r>
        <w:rPr>
          <w:rFonts w:ascii="Arial" w:cs="Arial" w:eastAsia="Arial" w:hAnsi="Arial"/>
          <w:sz w:val="18"/>
          <w:szCs w:val="18"/>
          <w:color w:val="auto"/>
        </w:rPr>
        <w:t>, all of the schedules and exhibits to this Credit Agreement have not been filed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basis that they do not contain information which is material to an investment decision and which is otherwise not disclosed in the agreement, another exhibit or otherwise in the Form 10-Q to which the Credit Agreement is an exhibit. Axcelis will furnish supplementally a copy of any omitted exhibit or schedule to the Commission upon request. Below is a list of the omitted exhibits and schedules with a brief description of the document:</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List of Omitted Exhibits and Schedules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Schedule 1.1B: Existing Letters of Credit</w:t>
      </w:r>
    </w:p>
    <w:p>
      <w:pPr>
        <w:spacing w:after="0"/>
        <w:rPr>
          <w:sz w:val="20"/>
          <w:szCs w:val="20"/>
          <w:color w:val="auto"/>
        </w:rPr>
      </w:pPr>
      <w:r>
        <w:rPr>
          <w:rFonts w:ascii="Arial" w:cs="Arial" w:eastAsia="Arial" w:hAnsi="Arial"/>
          <w:sz w:val="20"/>
          <w:szCs w:val="20"/>
          <w:color w:val="auto"/>
        </w:rPr>
        <w:t>Schedule 4.4: Governmental Approvals, Consents, Authorizations, Filings and Notices</w:t>
      </w:r>
    </w:p>
    <w:p>
      <w:pPr>
        <w:spacing w:after="0"/>
        <w:rPr>
          <w:sz w:val="20"/>
          <w:szCs w:val="20"/>
          <w:color w:val="auto"/>
        </w:rPr>
      </w:pPr>
      <w:r>
        <w:rPr>
          <w:rFonts w:ascii="Arial" w:cs="Arial" w:eastAsia="Arial" w:hAnsi="Arial"/>
          <w:sz w:val="20"/>
          <w:szCs w:val="20"/>
          <w:color w:val="auto"/>
        </w:rPr>
        <w:t>Schedule 4.15: Subsidiaries</w:t>
      </w:r>
    </w:p>
    <w:p>
      <w:pPr>
        <w:spacing w:after="0"/>
        <w:rPr>
          <w:sz w:val="20"/>
          <w:szCs w:val="20"/>
          <w:color w:val="auto"/>
        </w:rPr>
      </w:pPr>
      <w:r>
        <w:rPr>
          <w:rFonts w:ascii="Arial" w:cs="Arial" w:eastAsia="Arial" w:hAnsi="Arial"/>
          <w:sz w:val="20"/>
          <w:szCs w:val="20"/>
          <w:color w:val="auto"/>
        </w:rPr>
        <w:t>Schedule 4.17: Environmental Matters</w:t>
      </w:r>
    </w:p>
    <w:p>
      <w:pPr>
        <w:spacing w:after="0"/>
        <w:rPr>
          <w:sz w:val="20"/>
          <w:szCs w:val="20"/>
          <w:color w:val="auto"/>
        </w:rPr>
      </w:pPr>
      <w:r>
        <w:rPr>
          <w:rFonts w:ascii="Arial" w:cs="Arial" w:eastAsia="Arial" w:hAnsi="Arial"/>
          <w:sz w:val="20"/>
          <w:szCs w:val="20"/>
          <w:color w:val="auto"/>
        </w:rPr>
        <w:t>Schedule 4.19(a): Financing Statements and Other Filings</w:t>
      </w:r>
    </w:p>
    <w:p>
      <w:pPr>
        <w:spacing w:after="0"/>
        <w:rPr>
          <w:sz w:val="20"/>
          <w:szCs w:val="20"/>
          <w:color w:val="auto"/>
        </w:rPr>
      </w:pPr>
      <w:r>
        <w:rPr>
          <w:rFonts w:ascii="Arial" w:cs="Arial" w:eastAsia="Arial" w:hAnsi="Arial"/>
          <w:sz w:val="20"/>
          <w:szCs w:val="20"/>
          <w:color w:val="auto"/>
        </w:rPr>
        <w:t>Schedule 7.2(d): Existing Indebtedness</w:t>
      </w:r>
    </w:p>
    <w:p>
      <w:pPr>
        <w:spacing w:after="0"/>
        <w:rPr>
          <w:sz w:val="20"/>
          <w:szCs w:val="20"/>
          <w:color w:val="auto"/>
        </w:rPr>
      </w:pPr>
      <w:r>
        <w:rPr>
          <w:rFonts w:ascii="Arial" w:cs="Arial" w:eastAsia="Arial" w:hAnsi="Arial"/>
          <w:sz w:val="20"/>
          <w:szCs w:val="20"/>
          <w:color w:val="auto"/>
        </w:rPr>
        <w:t>Schedule 7.3(f): Existing Liens</w:t>
      </w:r>
    </w:p>
    <w:p>
      <w:pPr>
        <w:spacing w:after="0"/>
        <w:rPr>
          <w:sz w:val="20"/>
          <w:szCs w:val="20"/>
          <w:color w:val="auto"/>
        </w:rPr>
      </w:pPr>
      <w:r>
        <w:rPr>
          <w:rFonts w:ascii="Arial" w:cs="Arial" w:eastAsia="Arial" w:hAnsi="Arial"/>
          <w:sz w:val="20"/>
          <w:szCs w:val="20"/>
          <w:color w:val="auto"/>
        </w:rPr>
        <w:t>Schedule 7.8(e): Existing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Exhibit A: Form of Guarantee and Collateral Agreement</w:t>
      </w:r>
    </w:p>
    <w:p>
      <w:pPr>
        <w:spacing w:after="0"/>
        <w:rPr>
          <w:sz w:val="20"/>
          <w:szCs w:val="20"/>
          <w:color w:val="auto"/>
        </w:rPr>
      </w:pPr>
      <w:r>
        <w:rPr>
          <w:rFonts w:ascii="Arial" w:cs="Arial" w:eastAsia="Arial" w:hAnsi="Arial"/>
          <w:sz w:val="20"/>
          <w:szCs w:val="20"/>
          <w:color w:val="auto"/>
        </w:rPr>
        <w:t>Exhibit B: Form of Compliance Certificate</w:t>
      </w:r>
    </w:p>
    <w:p>
      <w:pPr>
        <w:spacing w:after="0"/>
        <w:rPr>
          <w:sz w:val="20"/>
          <w:szCs w:val="20"/>
          <w:color w:val="auto"/>
        </w:rPr>
      </w:pPr>
      <w:r>
        <w:rPr>
          <w:rFonts w:ascii="Arial" w:cs="Arial" w:eastAsia="Arial" w:hAnsi="Arial"/>
          <w:sz w:val="20"/>
          <w:szCs w:val="20"/>
          <w:color w:val="auto"/>
        </w:rPr>
        <w:t>Exhibit C: Form of Secretary’s/Managing Member’s Certificate</w:t>
      </w:r>
    </w:p>
    <w:p>
      <w:pPr>
        <w:spacing w:after="0"/>
        <w:rPr>
          <w:sz w:val="20"/>
          <w:szCs w:val="20"/>
          <w:color w:val="auto"/>
        </w:rPr>
      </w:pPr>
      <w:r>
        <w:rPr>
          <w:rFonts w:ascii="Arial" w:cs="Arial" w:eastAsia="Arial" w:hAnsi="Arial"/>
          <w:sz w:val="20"/>
          <w:szCs w:val="20"/>
          <w:color w:val="auto"/>
        </w:rPr>
        <w:t>Exhibit D: Form of Solvency Certificate</w:t>
      </w:r>
    </w:p>
    <w:p>
      <w:pPr>
        <w:spacing w:after="0"/>
        <w:rPr>
          <w:sz w:val="20"/>
          <w:szCs w:val="20"/>
          <w:color w:val="auto"/>
        </w:rPr>
      </w:pPr>
      <w:r>
        <w:rPr>
          <w:rFonts w:ascii="Arial" w:cs="Arial" w:eastAsia="Arial" w:hAnsi="Arial"/>
          <w:sz w:val="20"/>
          <w:szCs w:val="20"/>
          <w:color w:val="auto"/>
        </w:rPr>
        <w:t>Exhibit E: Form of Assignment and Assumption</w:t>
      </w:r>
    </w:p>
    <w:p>
      <w:pPr>
        <w:spacing w:after="0"/>
        <w:rPr>
          <w:sz w:val="20"/>
          <w:szCs w:val="20"/>
          <w:color w:val="auto"/>
        </w:rPr>
      </w:pPr>
      <w:r>
        <w:rPr>
          <w:rFonts w:ascii="Arial" w:cs="Arial" w:eastAsia="Arial" w:hAnsi="Arial"/>
          <w:sz w:val="20"/>
          <w:szCs w:val="20"/>
          <w:color w:val="auto"/>
        </w:rPr>
        <w:t>Exhibits F-1 – F-4: Forms of U.S. Tax Compliance Certificate</w:t>
      </w:r>
    </w:p>
    <w:p>
      <w:pPr>
        <w:spacing w:after="0"/>
        <w:rPr>
          <w:sz w:val="20"/>
          <w:szCs w:val="20"/>
          <w:color w:val="auto"/>
        </w:rPr>
      </w:pPr>
      <w:r>
        <w:rPr>
          <w:rFonts w:ascii="Arial" w:cs="Arial" w:eastAsia="Arial" w:hAnsi="Arial"/>
          <w:sz w:val="20"/>
          <w:szCs w:val="20"/>
          <w:color w:val="auto"/>
        </w:rPr>
        <w:t>Exhibit G: [Reserved]</w:t>
      </w:r>
    </w:p>
    <w:p>
      <w:pPr>
        <w:spacing w:after="0"/>
        <w:rPr>
          <w:sz w:val="20"/>
          <w:szCs w:val="20"/>
          <w:color w:val="auto"/>
        </w:rPr>
      </w:pPr>
      <w:r>
        <w:rPr>
          <w:rFonts w:ascii="Arial" w:cs="Arial" w:eastAsia="Arial" w:hAnsi="Arial"/>
          <w:sz w:val="20"/>
          <w:szCs w:val="20"/>
          <w:color w:val="auto"/>
        </w:rPr>
        <w:t>Exhibit H-1: Form of Revolving Loan Note</w:t>
      </w:r>
    </w:p>
    <w:p>
      <w:pPr>
        <w:spacing w:after="0"/>
        <w:rPr>
          <w:sz w:val="20"/>
          <w:szCs w:val="20"/>
          <w:color w:val="auto"/>
        </w:rPr>
      </w:pPr>
      <w:r>
        <w:rPr>
          <w:rFonts w:ascii="Arial" w:cs="Arial" w:eastAsia="Arial" w:hAnsi="Arial"/>
          <w:sz w:val="20"/>
          <w:szCs w:val="20"/>
          <w:color w:val="auto"/>
        </w:rPr>
        <w:t>Exhibit H-2: Form of Swingline Loan Note</w:t>
      </w:r>
    </w:p>
    <w:p>
      <w:pPr>
        <w:spacing w:after="0"/>
        <w:rPr>
          <w:sz w:val="20"/>
          <w:szCs w:val="20"/>
          <w:color w:val="auto"/>
        </w:rPr>
      </w:pPr>
      <w:r>
        <w:rPr>
          <w:rFonts w:ascii="Arial" w:cs="Arial" w:eastAsia="Arial" w:hAnsi="Arial"/>
          <w:sz w:val="20"/>
          <w:szCs w:val="20"/>
          <w:color w:val="auto"/>
        </w:rPr>
        <w:t>Exhibit I: [Reserved]</w:t>
      </w:r>
    </w:p>
    <w:p>
      <w:pPr>
        <w:spacing w:after="0"/>
        <w:rPr>
          <w:sz w:val="20"/>
          <w:szCs w:val="20"/>
          <w:color w:val="auto"/>
        </w:rPr>
      </w:pPr>
      <w:r>
        <w:rPr>
          <w:rFonts w:ascii="Arial" w:cs="Arial" w:eastAsia="Arial" w:hAnsi="Arial"/>
          <w:sz w:val="20"/>
          <w:szCs w:val="20"/>
          <w:color w:val="auto"/>
        </w:rPr>
        <w:t>Exhibit J: Form of Collateral Information Certificate</w:t>
      </w:r>
    </w:p>
    <w:p>
      <w:pPr>
        <w:spacing w:after="0"/>
        <w:rPr>
          <w:sz w:val="20"/>
          <w:szCs w:val="20"/>
          <w:color w:val="auto"/>
        </w:rPr>
      </w:pPr>
      <w:r>
        <w:rPr>
          <w:rFonts w:ascii="Arial" w:cs="Arial" w:eastAsia="Arial" w:hAnsi="Arial"/>
          <w:sz w:val="20"/>
          <w:szCs w:val="20"/>
          <w:color w:val="auto"/>
        </w:rPr>
        <w:t>Exhibit K: Form of Notice of Borrowing</w:t>
      </w:r>
    </w:p>
    <w:p>
      <w:pPr>
        <w:spacing w:after="0"/>
        <w:rPr>
          <w:sz w:val="20"/>
          <w:szCs w:val="20"/>
          <w:color w:val="auto"/>
        </w:rPr>
      </w:pPr>
      <w:r>
        <w:rPr>
          <w:rFonts w:ascii="Arial" w:cs="Arial" w:eastAsia="Arial" w:hAnsi="Arial"/>
          <w:sz w:val="20"/>
          <w:szCs w:val="20"/>
          <w:color w:val="auto"/>
        </w:rPr>
        <w:t>Exhibit L: Form of Notice of Conversion/Continuation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02" w:right="10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0"/>
          <w:szCs w:val="20"/>
          <w:b w:val="1"/>
          <w:bCs w:val="1"/>
          <w:color w:val="auto"/>
        </w:rPr>
        <w:t>SCHEDULE 1.1A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COMMITMENTS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AGGREGATE EXPOSURE PERCENTAGES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500" w:type="dxa"/>
        <w:tblCellMar>
          <w:top w:w="0" w:type="dxa"/>
          <w:left w:w="0" w:type="dxa"/>
          <w:bottom w:w="0" w:type="dxa"/>
          <w:right w:w="0" w:type="dxa"/>
        </w:tblCellMar>
      </w:tblPr>
      <w:tr>
        <w:trPr>
          <w:trHeight w:val="256"/>
        </w:trPr>
        <w:tc>
          <w:tcPr>
            <w:tcW w:w="1820" w:type="dxa"/>
            <w:vAlign w:val="bottom"/>
          </w:tcPr>
          <w:p>
            <w:pPr>
              <w:spacing w:after="0"/>
              <w:rPr>
                <w:sz w:val="22"/>
                <w:szCs w:val="22"/>
                <w:color w:val="auto"/>
              </w:rPr>
            </w:pPr>
          </w:p>
        </w:tc>
        <w:tc>
          <w:tcPr>
            <w:tcW w:w="3220" w:type="dxa"/>
            <w:vAlign w:val="bottom"/>
          </w:tcPr>
          <w:p>
            <w:pPr>
              <w:ind w:left="220"/>
              <w:spacing w:after="0"/>
              <w:rPr>
                <w:sz w:val="20"/>
                <w:szCs w:val="20"/>
                <w:color w:val="auto"/>
              </w:rPr>
            </w:pPr>
            <w:r>
              <w:rPr>
                <w:rFonts w:ascii="Arial" w:cs="Arial" w:eastAsia="Arial" w:hAnsi="Arial"/>
                <w:sz w:val="20"/>
                <w:szCs w:val="20"/>
                <w:b w:val="1"/>
                <w:bCs w:val="1"/>
                <w:color w:val="auto"/>
              </w:rPr>
              <w:t>REVOLVING COMMITMENTS</w:t>
            </w:r>
          </w:p>
        </w:tc>
        <w:tc>
          <w:tcPr>
            <w:tcW w:w="1900" w:type="dxa"/>
            <w:vAlign w:val="bottom"/>
          </w:tcPr>
          <w:p>
            <w:pPr>
              <w:spacing w:after="0"/>
              <w:rPr>
                <w:sz w:val="22"/>
                <w:szCs w:val="22"/>
                <w:color w:val="auto"/>
              </w:rPr>
            </w:pPr>
          </w:p>
        </w:tc>
      </w:tr>
      <w:tr>
        <w:trPr>
          <w:trHeight w:val="688"/>
        </w:trPr>
        <w:tc>
          <w:tcPr>
            <w:tcW w:w="1820" w:type="dxa"/>
            <w:vAlign w:val="bottom"/>
          </w:tcPr>
          <w:p>
            <w:pPr>
              <w:jc w:val="center"/>
              <w:ind w:right="121"/>
              <w:spacing w:after="0"/>
              <w:rPr>
                <w:sz w:val="20"/>
                <w:szCs w:val="20"/>
                <w:color w:val="auto"/>
              </w:rPr>
            </w:pPr>
            <w:r>
              <w:rPr>
                <w:rFonts w:ascii="Arial" w:cs="Arial" w:eastAsia="Arial" w:hAnsi="Arial"/>
                <w:sz w:val="20"/>
                <w:szCs w:val="20"/>
                <w:color w:val="auto"/>
                <w:w w:val="89"/>
              </w:rPr>
              <w:t>Lender</w:t>
            </w:r>
          </w:p>
        </w:tc>
        <w:tc>
          <w:tcPr>
            <w:tcW w:w="3220" w:type="dxa"/>
            <w:vAlign w:val="bottom"/>
          </w:tcPr>
          <w:p>
            <w:pPr>
              <w:jc w:val="center"/>
              <w:spacing w:after="0"/>
              <w:rPr>
                <w:sz w:val="20"/>
                <w:szCs w:val="20"/>
                <w:color w:val="auto"/>
              </w:rPr>
            </w:pPr>
            <w:r>
              <w:rPr>
                <w:rFonts w:ascii="Arial" w:cs="Arial" w:eastAsia="Arial" w:hAnsi="Arial"/>
                <w:sz w:val="20"/>
                <w:szCs w:val="20"/>
                <w:color w:val="auto"/>
                <w:w w:val="92"/>
              </w:rPr>
              <w:t>Revolving Commitment</w:t>
            </w:r>
          </w:p>
        </w:tc>
        <w:tc>
          <w:tcPr>
            <w:tcW w:w="1900" w:type="dxa"/>
            <w:vAlign w:val="bottom"/>
          </w:tcPr>
          <w:p>
            <w:pPr>
              <w:jc w:val="center"/>
              <w:ind w:left="61"/>
              <w:spacing w:after="0"/>
              <w:rPr>
                <w:sz w:val="20"/>
                <w:szCs w:val="20"/>
                <w:color w:val="auto"/>
              </w:rPr>
            </w:pPr>
            <w:r>
              <w:rPr>
                <w:rFonts w:ascii="Arial" w:cs="Arial" w:eastAsia="Arial" w:hAnsi="Arial"/>
                <w:sz w:val="20"/>
                <w:szCs w:val="20"/>
                <w:color w:val="auto"/>
                <w:w w:val="88"/>
              </w:rPr>
              <w:t>Revolving Percentage</w:t>
            </w:r>
          </w:p>
        </w:tc>
      </w:tr>
      <w:tr>
        <w:trPr>
          <w:trHeight w:val="540"/>
        </w:trPr>
        <w:tc>
          <w:tcPr>
            <w:tcW w:w="1820" w:type="dxa"/>
            <w:vAlign w:val="bottom"/>
          </w:tcPr>
          <w:p>
            <w:pPr>
              <w:jc w:val="center"/>
              <w:ind w:right="141"/>
              <w:spacing w:after="0"/>
              <w:rPr>
                <w:sz w:val="20"/>
                <w:szCs w:val="20"/>
                <w:color w:val="auto"/>
              </w:rPr>
            </w:pPr>
            <w:r>
              <w:rPr>
                <w:rFonts w:ascii="Arial" w:cs="Arial" w:eastAsia="Arial" w:hAnsi="Arial"/>
                <w:sz w:val="20"/>
                <w:szCs w:val="20"/>
                <w:color w:val="auto"/>
                <w:w w:val="92"/>
              </w:rPr>
              <w:t>Silicon Valley Bank</w:t>
            </w:r>
          </w:p>
        </w:tc>
        <w:tc>
          <w:tcPr>
            <w:tcW w:w="3220" w:type="dxa"/>
            <w:vAlign w:val="bottom"/>
          </w:tcPr>
          <w:p>
            <w:pPr>
              <w:jc w:val="center"/>
              <w:spacing w:after="0"/>
              <w:rPr>
                <w:sz w:val="20"/>
                <w:szCs w:val="20"/>
                <w:color w:val="auto"/>
              </w:rPr>
            </w:pPr>
            <w:r>
              <w:rPr>
                <w:rFonts w:ascii="Arial" w:cs="Arial" w:eastAsia="Arial" w:hAnsi="Arial"/>
                <w:sz w:val="20"/>
                <w:szCs w:val="20"/>
                <w:color w:val="auto"/>
                <w:w w:val="89"/>
              </w:rPr>
              <w:t>$40,000,000</w:t>
            </w:r>
          </w:p>
        </w:tc>
        <w:tc>
          <w:tcPr>
            <w:tcW w:w="1900" w:type="dxa"/>
            <w:vAlign w:val="bottom"/>
          </w:tcPr>
          <w:p>
            <w:pPr>
              <w:jc w:val="center"/>
              <w:ind w:left="81"/>
              <w:spacing w:after="0"/>
              <w:rPr>
                <w:sz w:val="20"/>
                <w:szCs w:val="20"/>
                <w:color w:val="auto"/>
              </w:rPr>
            </w:pPr>
            <w:r>
              <w:rPr>
                <w:rFonts w:ascii="Arial" w:cs="Arial" w:eastAsia="Arial" w:hAnsi="Arial"/>
                <w:sz w:val="20"/>
                <w:szCs w:val="20"/>
                <w:color w:val="auto"/>
                <w:w w:val="89"/>
              </w:rPr>
              <w:t>100.000000000%</w:t>
            </w:r>
          </w:p>
        </w:tc>
      </w:tr>
      <w:tr>
        <w:trPr>
          <w:trHeight w:val="270"/>
        </w:trPr>
        <w:tc>
          <w:tcPr>
            <w:tcW w:w="1820" w:type="dxa"/>
            <w:vAlign w:val="bottom"/>
          </w:tcPr>
          <w:p>
            <w:pPr>
              <w:jc w:val="center"/>
              <w:ind w:right="141"/>
              <w:spacing w:after="0"/>
              <w:rPr>
                <w:sz w:val="20"/>
                <w:szCs w:val="20"/>
                <w:color w:val="auto"/>
              </w:rPr>
            </w:pPr>
            <w:r>
              <w:rPr>
                <w:rFonts w:ascii="Arial" w:cs="Arial" w:eastAsia="Arial" w:hAnsi="Arial"/>
                <w:sz w:val="20"/>
                <w:szCs w:val="20"/>
                <w:color w:val="auto"/>
                <w:w w:val="94"/>
              </w:rPr>
              <w:t>Total</w:t>
            </w:r>
          </w:p>
        </w:tc>
        <w:tc>
          <w:tcPr>
            <w:tcW w:w="3220" w:type="dxa"/>
            <w:vAlign w:val="bottom"/>
          </w:tcPr>
          <w:p>
            <w:pPr>
              <w:jc w:val="center"/>
              <w:spacing w:after="0"/>
              <w:rPr>
                <w:sz w:val="20"/>
                <w:szCs w:val="20"/>
                <w:color w:val="auto"/>
              </w:rPr>
            </w:pPr>
            <w:r>
              <w:rPr>
                <w:rFonts w:ascii="Arial" w:cs="Arial" w:eastAsia="Arial" w:hAnsi="Arial"/>
                <w:sz w:val="20"/>
                <w:szCs w:val="20"/>
                <w:color w:val="auto"/>
                <w:w w:val="89"/>
              </w:rPr>
              <w:t>$40,000,000</w:t>
            </w:r>
          </w:p>
        </w:tc>
        <w:tc>
          <w:tcPr>
            <w:tcW w:w="1900" w:type="dxa"/>
            <w:vAlign w:val="bottom"/>
          </w:tcPr>
          <w:p>
            <w:pPr>
              <w:jc w:val="center"/>
              <w:ind w:left="81"/>
              <w:spacing w:after="0"/>
              <w:rPr>
                <w:sz w:val="20"/>
                <w:szCs w:val="20"/>
                <w:color w:val="auto"/>
              </w:rPr>
            </w:pPr>
            <w:r>
              <w:rPr>
                <w:rFonts w:ascii="Arial" w:cs="Arial" w:eastAsia="Arial" w:hAnsi="Arial"/>
                <w:sz w:val="20"/>
                <w:szCs w:val="20"/>
                <w:color w:val="auto"/>
                <w:w w:val="89"/>
              </w:rPr>
              <w:t>100.000000000%</w:t>
            </w:r>
          </w:p>
        </w:tc>
      </w:tr>
    </w:tbl>
    <w:p>
      <w:pPr>
        <w:spacing w:after="0" w:line="200" w:lineRule="exact"/>
        <w:rPr>
          <w:sz w:val="20"/>
          <w:szCs w:val="20"/>
          <w:color w:val="auto"/>
        </w:rPr>
      </w:pPr>
    </w:p>
    <w:p>
      <w:pPr>
        <w:spacing w:after="0" w:line="273" w:lineRule="exact"/>
        <w:rPr>
          <w:sz w:val="20"/>
          <w:szCs w:val="20"/>
          <w:color w:val="auto"/>
        </w:rPr>
      </w:pPr>
    </w:p>
    <w:tbl>
      <w:tblPr>
        <w:tblLayout w:type="fixed"/>
        <w:tblInd w:w="1500" w:type="dxa"/>
        <w:tblCellMar>
          <w:top w:w="0" w:type="dxa"/>
          <w:left w:w="0" w:type="dxa"/>
          <w:bottom w:w="0" w:type="dxa"/>
          <w:right w:w="0" w:type="dxa"/>
        </w:tblCellMar>
      </w:tblPr>
      <w:tr>
        <w:trPr>
          <w:trHeight w:val="256"/>
        </w:trPr>
        <w:tc>
          <w:tcPr>
            <w:tcW w:w="2060" w:type="dxa"/>
            <w:vAlign w:val="bottom"/>
          </w:tcPr>
          <w:p>
            <w:pPr>
              <w:spacing w:after="0"/>
              <w:rPr>
                <w:sz w:val="22"/>
                <w:szCs w:val="22"/>
                <w:color w:val="auto"/>
              </w:rPr>
            </w:pPr>
          </w:p>
        </w:tc>
        <w:tc>
          <w:tcPr>
            <w:tcW w:w="2820" w:type="dxa"/>
            <w:vAlign w:val="bottom"/>
          </w:tcPr>
          <w:p>
            <w:pPr>
              <w:ind w:left="480"/>
              <w:spacing w:after="0"/>
              <w:rPr>
                <w:sz w:val="20"/>
                <w:szCs w:val="20"/>
                <w:color w:val="auto"/>
              </w:rPr>
            </w:pPr>
            <w:r>
              <w:rPr>
                <w:rFonts w:ascii="Arial" w:cs="Arial" w:eastAsia="Arial" w:hAnsi="Arial"/>
                <w:sz w:val="20"/>
                <w:szCs w:val="20"/>
                <w:b w:val="1"/>
                <w:bCs w:val="1"/>
                <w:color w:val="auto"/>
              </w:rPr>
              <w:t>L/C COMMITMENT</w:t>
            </w:r>
          </w:p>
        </w:tc>
        <w:tc>
          <w:tcPr>
            <w:tcW w:w="1900" w:type="dxa"/>
            <w:vAlign w:val="bottom"/>
          </w:tcPr>
          <w:p>
            <w:pPr>
              <w:spacing w:after="0"/>
              <w:rPr>
                <w:sz w:val="22"/>
                <w:szCs w:val="22"/>
                <w:color w:val="auto"/>
              </w:rPr>
            </w:pPr>
          </w:p>
        </w:tc>
      </w:tr>
      <w:tr>
        <w:trPr>
          <w:trHeight w:val="688"/>
        </w:trPr>
        <w:tc>
          <w:tcPr>
            <w:tcW w:w="2060" w:type="dxa"/>
            <w:vAlign w:val="bottom"/>
          </w:tcPr>
          <w:p>
            <w:pPr>
              <w:jc w:val="center"/>
              <w:ind w:right="361"/>
              <w:spacing w:after="0"/>
              <w:rPr>
                <w:sz w:val="20"/>
                <w:szCs w:val="20"/>
                <w:color w:val="auto"/>
              </w:rPr>
            </w:pPr>
            <w:r>
              <w:rPr>
                <w:rFonts w:ascii="Arial" w:cs="Arial" w:eastAsia="Arial" w:hAnsi="Arial"/>
                <w:sz w:val="20"/>
                <w:szCs w:val="20"/>
                <w:color w:val="auto"/>
                <w:w w:val="89"/>
              </w:rPr>
              <w:t>Lender</w:t>
            </w:r>
          </w:p>
        </w:tc>
        <w:tc>
          <w:tcPr>
            <w:tcW w:w="2820" w:type="dxa"/>
            <w:vAlign w:val="bottom"/>
          </w:tcPr>
          <w:p>
            <w:pPr>
              <w:jc w:val="center"/>
              <w:ind w:right="41"/>
              <w:spacing w:after="0"/>
              <w:rPr>
                <w:sz w:val="20"/>
                <w:szCs w:val="20"/>
                <w:color w:val="auto"/>
              </w:rPr>
            </w:pPr>
            <w:r>
              <w:rPr>
                <w:rFonts w:ascii="Arial" w:cs="Arial" w:eastAsia="Arial" w:hAnsi="Arial"/>
                <w:sz w:val="20"/>
                <w:szCs w:val="20"/>
                <w:color w:val="auto"/>
                <w:w w:val="93"/>
              </w:rPr>
              <w:t>L/C Commitment</w:t>
            </w:r>
          </w:p>
        </w:tc>
        <w:tc>
          <w:tcPr>
            <w:tcW w:w="1900" w:type="dxa"/>
            <w:vAlign w:val="bottom"/>
          </w:tcPr>
          <w:p>
            <w:pPr>
              <w:jc w:val="center"/>
              <w:ind w:left="381"/>
              <w:spacing w:after="0"/>
              <w:rPr>
                <w:sz w:val="20"/>
                <w:szCs w:val="20"/>
                <w:color w:val="auto"/>
              </w:rPr>
            </w:pPr>
            <w:r>
              <w:rPr>
                <w:rFonts w:ascii="Arial" w:cs="Arial" w:eastAsia="Arial" w:hAnsi="Arial"/>
                <w:sz w:val="20"/>
                <w:szCs w:val="20"/>
                <w:color w:val="auto"/>
                <w:w w:val="87"/>
              </w:rPr>
              <w:t>L/C Percentage</w:t>
            </w:r>
          </w:p>
        </w:tc>
      </w:tr>
      <w:tr>
        <w:trPr>
          <w:trHeight w:val="540"/>
        </w:trPr>
        <w:tc>
          <w:tcPr>
            <w:tcW w:w="2060" w:type="dxa"/>
            <w:vAlign w:val="bottom"/>
          </w:tcPr>
          <w:p>
            <w:pPr>
              <w:jc w:val="center"/>
              <w:ind w:right="381"/>
              <w:spacing w:after="0"/>
              <w:rPr>
                <w:sz w:val="20"/>
                <w:szCs w:val="20"/>
                <w:color w:val="auto"/>
              </w:rPr>
            </w:pPr>
            <w:r>
              <w:rPr>
                <w:rFonts w:ascii="Arial" w:cs="Arial" w:eastAsia="Arial" w:hAnsi="Arial"/>
                <w:sz w:val="20"/>
                <w:szCs w:val="20"/>
                <w:color w:val="auto"/>
                <w:w w:val="92"/>
              </w:rPr>
              <w:t>Silicon Valley Bank</w:t>
            </w:r>
          </w:p>
        </w:tc>
        <w:tc>
          <w:tcPr>
            <w:tcW w:w="2820" w:type="dxa"/>
            <w:vAlign w:val="bottom"/>
          </w:tcPr>
          <w:p>
            <w:pPr>
              <w:jc w:val="center"/>
              <w:ind w:right="41"/>
              <w:spacing w:after="0"/>
              <w:rPr>
                <w:sz w:val="20"/>
                <w:szCs w:val="20"/>
                <w:color w:val="auto"/>
              </w:rPr>
            </w:pPr>
            <w:r>
              <w:rPr>
                <w:rFonts w:ascii="Arial" w:cs="Arial" w:eastAsia="Arial" w:hAnsi="Arial"/>
                <w:sz w:val="20"/>
                <w:szCs w:val="20"/>
                <w:color w:val="auto"/>
                <w:w w:val="87"/>
              </w:rPr>
              <w:t>$7,000.000</w:t>
            </w:r>
          </w:p>
        </w:tc>
        <w:tc>
          <w:tcPr>
            <w:tcW w:w="1900" w:type="dxa"/>
            <w:vAlign w:val="bottom"/>
          </w:tcPr>
          <w:p>
            <w:pPr>
              <w:jc w:val="center"/>
              <w:ind w:left="401"/>
              <w:spacing w:after="0"/>
              <w:rPr>
                <w:sz w:val="20"/>
                <w:szCs w:val="20"/>
                <w:color w:val="auto"/>
              </w:rPr>
            </w:pPr>
            <w:r>
              <w:rPr>
                <w:rFonts w:ascii="Arial" w:cs="Arial" w:eastAsia="Arial" w:hAnsi="Arial"/>
                <w:sz w:val="20"/>
                <w:szCs w:val="20"/>
                <w:color w:val="auto"/>
                <w:w w:val="89"/>
              </w:rPr>
              <w:t>100.000000000%</w:t>
            </w:r>
          </w:p>
        </w:tc>
      </w:tr>
      <w:tr>
        <w:trPr>
          <w:trHeight w:val="270"/>
        </w:trPr>
        <w:tc>
          <w:tcPr>
            <w:tcW w:w="2060" w:type="dxa"/>
            <w:vAlign w:val="bottom"/>
          </w:tcPr>
          <w:p>
            <w:pPr>
              <w:jc w:val="center"/>
              <w:ind w:right="381"/>
              <w:spacing w:after="0"/>
              <w:rPr>
                <w:sz w:val="20"/>
                <w:szCs w:val="20"/>
                <w:color w:val="auto"/>
              </w:rPr>
            </w:pPr>
            <w:r>
              <w:rPr>
                <w:rFonts w:ascii="Arial" w:cs="Arial" w:eastAsia="Arial" w:hAnsi="Arial"/>
                <w:sz w:val="20"/>
                <w:szCs w:val="20"/>
                <w:color w:val="auto"/>
                <w:w w:val="94"/>
              </w:rPr>
              <w:t>Total</w:t>
            </w:r>
          </w:p>
        </w:tc>
        <w:tc>
          <w:tcPr>
            <w:tcW w:w="2820" w:type="dxa"/>
            <w:vAlign w:val="bottom"/>
          </w:tcPr>
          <w:p>
            <w:pPr>
              <w:jc w:val="center"/>
              <w:ind w:right="41"/>
              <w:spacing w:after="0"/>
              <w:rPr>
                <w:sz w:val="20"/>
                <w:szCs w:val="20"/>
                <w:color w:val="auto"/>
              </w:rPr>
            </w:pPr>
            <w:r>
              <w:rPr>
                <w:rFonts w:ascii="Arial" w:cs="Arial" w:eastAsia="Arial" w:hAnsi="Arial"/>
                <w:sz w:val="20"/>
                <w:szCs w:val="20"/>
                <w:color w:val="auto"/>
                <w:w w:val="87"/>
              </w:rPr>
              <w:t>$7,000,000</w:t>
            </w:r>
          </w:p>
        </w:tc>
        <w:tc>
          <w:tcPr>
            <w:tcW w:w="1900" w:type="dxa"/>
            <w:vAlign w:val="bottom"/>
          </w:tcPr>
          <w:p>
            <w:pPr>
              <w:jc w:val="center"/>
              <w:ind w:left="401"/>
              <w:spacing w:after="0"/>
              <w:rPr>
                <w:sz w:val="20"/>
                <w:szCs w:val="20"/>
                <w:color w:val="auto"/>
              </w:rPr>
            </w:pPr>
            <w:r>
              <w:rPr>
                <w:rFonts w:ascii="Arial" w:cs="Arial" w:eastAsia="Arial" w:hAnsi="Arial"/>
                <w:sz w:val="20"/>
                <w:szCs w:val="20"/>
                <w:color w:val="auto"/>
                <w:w w:val="89"/>
              </w:rPr>
              <w:t>100.000000000%</w:t>
            </w:r>
          </w:p>
        </w:tc>
      </w:tr>
    </w:tbl>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360" w:type="dxa"/>
            <w:vAlign w:val="bottom"/>
          </w:tcPr>
          <w:p>
            <w:pPr>
              <w:spacing w:after="0"/>
              <w:rPr>
                <w:sz w:val="22"/>
                <w:szCs w:val="22"/>
                <w:color w:val="auto"/>
              </w:rPr>
            </w:pPr>
          </w:p>
        </w:tc>
        <w:tc>
          <w:tcPr>
            <w:tcW w:w="3160" w:type="dxa"/>
            <w:vAlign w:val="bottom"/>
          </w:tcPr>
          <w:p>
            <w:pPr>
              <w:ind w:left="260"/>
              <w:spacing w:after="0"/>
              <w:rPr>
                <w:sz w:val="20"/>
                <w:szCs w:val="20"/>
                <w:color w:val="auto"/>
              </w:rPr>
            </w:pPr>
            <w:r>
              <w:rPr>
                <w:rFonts w:ascii="Arial" w:cs="Arial" w:eastAsia="Arial" w:hAnsi="Arial"/>
                <w:sz w:val="20"/>
                <w:szCs w:val="20"/>
                <w:b w:val="1"/>
                <w:bCs w:val="1"/>
                <w:color w:val="auto"/>
              </w:rPr>
              <w:t>SWINGLINE COMMITMENT</w:t>
            </w:r>
          </w:p>
        </w:tc>
        <w:tc>
          <w:tcPr>
            <w:tcW w:w="3400" w:type="dxa"/>
            <w:vAlign w:val="bottom"/>
          </w:tcPr>
          <w:p>
            <w:pPr>
              <w:spacing w:after="0"/>
              <w:rPr>
                <w:sz w:val="22"/>
                <w:szCs w:val="22"/>
                <w:color w:val="auto"/>
              </w:rPr>
            </w:pPr>
          </w:p>
        </w:tc>
      </w:tr>
      <w:tr>
        <w:trPr>
          <w:trHeight w:val="688"/>
        </w:trPr>
        <w:tc>
          <w:tcPr>
            <w:tcW w:w="3360" w:type="dxa"/>
            <w:vAlign w:val="bottom"/>
          </w:tcPr>
          <w:p>
            <w:pPr>
              <w:jc w:val="center"/>
              <w:ind w:left="1141"/>
              <w:spacing w:after="0"/>
              <w:rPr>
                <w:sz w:val="20"/>
                <w:szCs w:val="20"/>
                <w:color w:val="auto"/>
              </w:rPr>
            </w:pPr>
            <w:r>
              <w:rPr>
                <w:rFonts w:ascii="Arial" w:cs="Arial" w:eastAsia="Arial" w:hAnsi="Arial"/>
                <w:sz w:val="20"/>
                <w:szCs w:val="20"/>
                <w:color w:val="auto"/>
                <w:w w:val="89"/>
              </w:rPr>
              <w:t>Lender</w:t>
            </w:r>
          </w:p>
        </w:tc>
        <w:tc>
          <w:tcPr>
            <w:tcW w:w="3160" w:type="dxa"/>
            <w:vAlign w:val="bottom"/>
          </w:tcPr>
          <w:p>
            <w:pPr>
              <w:jc w:val="center"/>
              <w:spacing w:after="0"/>
              <w:rPr>
                <w:sz w:val="20"/>
                <w:szCs w:val="20"/>
                <w:color w:val="auto"/>
              </w:rPr>
            </w:pPr>
            <w:r>
              <w:rPr>
                <w:rFonts w:ascii="Arial" w:cs="Arial" w:eastAsia="Arial" w:hAnsi="Arial"/>
                <w:sz w:val="20"/>
                <w:szCs w:val="20"/>
                <w:color w:val="auto"/>
                <w:w w:val="92"/>
              </w:rPr>
              <w:t>Swingline Commitment</w:t>
            </w:r>
          </w:p>
        </w:tc>
        <w:tc>
          <w:tcPr>
            <w:tcW w:w="3400" w:type="dxa"/>
            <w:vAlign w:val="bottom"/>
          </w:tcPr>
          <w:p>
            <w:pPr>
              <w:jc w:val="center"/>
              <w:ind w:right="1201"/>
              <w:spacing w:after="0"/>
              <w:rPr>
                <w:sz w:val="20"/>
                <w:szCs w:val="20"/>
                <w:color w:val="auto"/>
              </w:rPr>
            </w:pPr>
            <w:r>
              <w:rPr>
                <w:rFonts w:ascii="Arial" w:cs="Arial" w:eastAsia="Arial" w:hAnsi="Arial"/>
                <w:sz w:val="20"/>
                <w:szCs w:val="20"/>
                <w:color w:val="auto"/>
                <w:w w:val="86"/>
              </w:rPr>
              <w:t>Exposure Percentage</w:t>
            </w:r>
          </w:p>
        </w:tc>
      </w:tr>
      <w:tr>
        <w:trPr>
          <w:trHeight w:val="540"/>
        </w:trPr>
        <w:tc>
          <w:tcPr>
            <w:tcW w:w="3360" w:type="dxa"/>
            <w:vAlign w:val="bottom"/>
          </w:tcPr>
          <w:p>
            <w:pPr>
              <w:jc w:val="center"/>
              <w:ind w:left="1121"/>
              <w:spacing w:after="0"/>
              <w:rPr>
                <w:sz w:val="20"/>
                <w:szCs w:val="20"/>
                <w:color w:val="auto"/>
              </w:rPr>
            </w:pPr>
            <w:r>
              <w:rPr>
                <w:rFonts w:ascii="Arial" w:cs="Arial" w:eastAsia="Arial" w:hAnsi="Arial"/>
                <w:sz w:val="20"/>
                <w:szCs w:val="20"/>
                <w:color w:val="auto"/>
                <w:w w:val="92"/>
              </w:rPr>
              <w:t>Silicon Valley Bank</w:t>
            </w:r>
          </w:p>
        </w:tc>
        <w:tc>
          <w:tcPr>
            <w:tcW w:w="3160" w:type="dxa"/>
            <w:vAlign w:val="bottom"/>
          </w:tcPr>
          <w:p>
            <w:pPr>
              <w:jc w:val="center"/>
              <w:spacing w:after="0"/>
              <w:rPr>
                <w:sz w:val="20"/>
                <w:szCs w:val="20"/>
                <w:color w:val="auto"/>
              </w:rPr>
            </w:pPr>
            <w:r>
              <w:rPr>
                <w:rFonts w:ascii="Arial" w:cs="Arial" w:eastAsia="Arial" w:hAnsi="Arial"/>
                <w:sz w:val="20"/>
                <w:szCs w:val="20"/>
                <w:color w:val="auto"/>
                <w:w w:val="89"/>
              </w:rPr>
              <w:t>$10,000,000</w:t>
            </w:r>
          </w:p>
        </w:tc>
        <w:tc>
          <w:tcPr>
            <w:tcW w:w="3400" w:type="dxa"/>
            <w:vAlign w:val="bottom"/>
          </w:tcPr>
          <w:p>
            <w:pPr>
              <w:jc w:val="center"/>
              <w:ind w:right="1181"/>
              <w:spacing w:after="0"/>
              <w:rPr>
                <w:sz w:val="20"/>
                <w:szCs w:val="20"/>
                <w:color w:val="auto"/>
              </w:rPr>
            </w:pPr>
            <w:r>
              <w:rPr>
                <w:rFonts w:ascii="Arial" w:cs="Arial" w:eastAsia="Arial" w:hAnsi="Arial"/>
                <w:sz w:val="20"/>
                <w:szCs w:val="20"/>
                <w:color w:val="auto"/>
                <w:w w:val="89"/>
              </w:rPr>
              <w:t>100.000000000%</w:t>
            </w:r>
          </w:p>
        </w:tc>
      </w:tr>
      <w:tr>
        <w:trPr>
          <w:trHeight w:val="270"/>
        </w:trPr>
        <w:tc>
          <w:tcPr>
            <w:tcW w:w="3360" w:type="dxa"/>
            <w:vAlign w:val="bottom"/>
          </w:tcPr>
          <w:p>
            <w:pPr>
              <w:jc w:val="center"/>
              <w:ind w:left="1121"/>
              <w:spacing w:after="0"/>
              <w:rPr>
                <w:sz w:val="20"/>
                <w:szCs w:val="20"/>
                <w:color w:val="auto"/>
              </w:rPr>
            </w:pPr>
            <w:r>
              <w:rPr>
                <w:rFonts w:ascii="Arial" w:cs="Arial" w:eastAsia="Arial" w:hAnsi="Arial"/>
                <w:sz w:val="20"/>
                <w:szCs w:val="20"/>
                <w:color w:val="auto"/>
                <w:w w:val="94"/>
              </w:rPr>
              <w:t>Total</w:t>
            </w:r>
          </w:p>
        </w:tc>
        <w:tc>
          <w:tcPr>
            <w:tcW w:w="3160" w:type="dxa"/>
            <w:vAlign w:val="bottom"/>
          </w:tcPr>
          <w:p>
            <w:pPr>
              <w:jc w:val="center"/>
              <w:spacing w:after="0"/>
              <w:rPr>
                <w:sz w:val="20"/>
                <w:szCs w:val="20"/>
                <w:color w:val="auto"/>
              </w:rPr>
            </w:pPr>
            <w:r>
              <w:rPr>
                <w:rFonts w:ascii="Arial" w:cs="Arial" w:eastAsia="Arial" w:hAnsi="Arial"/>
                <w:sz w:val="20"/>
                <w:szCs w:val="20"/>
                <w:color w:val="auto"/>
                <w:w w:val="89"/>
              </w:rPr>
              <w:t>$10,000,000</w:t>
            </w:r>
          </w:p>
        </w:tc>
        <w:tc>
          <w:tcPr>
            <w:tcW w:w="3400" w:type="dxa"/>
            <w:vAlign w:val="bottom"/>
          </w:tcPr>
          <w:p>
            <w:pPr>
              <w:jc w:val="center"/>
              <w:ind w:right="1181"/>
              <w:spacing w:after="0"/>
              <w:rPr>
                <w:sz w:val="20"/>
                <w:szCs w:val="20"/>
                <w:color w:val="auto"/>
              </w:rPr>
            </w:pPr>
            <w:r>
              <w:rPr>
                <w:rFonts w:ascii="Arial" w:cs="Arial" w:eastAsia="Arial" w:hAnsi="Arial"/>
                <w:sz w:val="20"/>
                <w:szCs w:val="20"/>
                <w:color w:val="auto"/>
                <w:w w:val="89"/>
              </w:rPr>
              <w:t>100.000000000%</w:t>
            </w:r>
          </w:p>
        </w:tc>
      </w:tr>
      <w:tr>
        <w:trPr>
          <w:trHeight w:val="1475"/>
        </w:trPr>
        <w:tc>
          <w:tcPr>
            <w:tcW w:w="33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167" w:name="page168"/>
    <w:bookmarkEnd w:id="167"/>
    <w:p>
      <w:pPr>
        <w:jc w:val="right"/>
        <w:spacing w:after="0"/>
        <w:rPr>
          <w:sz w:val="20"/>
          <w:szCs w:val="20"/>
          <w:color w:val="auto"/>
        </w:rPr>
      </w:pPr>
      <w:r>
        <w:rPr>
          <w:rFonts w:ascii="Arial" w:cs="Arial" w:eastAsia="Arial" w:hAnsi="Arial"/>
          <w:sz w:val="20"/>
          <w:szCs w:val="20"/>
          <w:b w:val="1"/>
          <w:bCs w:val="1"/>
          <w:color w:val="auto"/>
        </w:rPr>
        <w:t>Exhibit 10.2</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335" w:lineRule="exact"/>
        <w:rPr>
          <w:sz w:val="20"/>
          <w:szCs w:val="20"/>
          <w:color w:val="auto"/>
        </w:rPr>
      </w:pPr>
    </w:p>
    <w:p>
      <w:pPr>
        <w:jc w:val="center"/>
        <w:ind w:right="460"/>
        <w:spacing w:after="0"/>
        <w:rPr>
          <w:sz w:val="20"/>
          <w:szCs w:val="20"/>
          <w:color w:val="auto"/>
        </w:rPr>
      </w:pPr>
      <w:r>
        <w:rPr>
          <w:rFonts w:ascii="Arial" w:cs="Arial" w:eastAsia="Arial" w:hAnsi="Arial"/>
          <w:sz w:val="21"/>
          <w:szCs w:val="21"/>
          <w:b w:val="1"/>
          <w:bCs w:val="1"/>
          <w:color w:val="auto"/>
        </w:rPr>
        <w:t>GUARANTEE AND COLLATERAL AGREEMENT</w:t>
      </w:r>
    </w:p>
    <w:p>
      <w:pPr>
        <w:spacing w:after="0" w:line="215"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Dated as of July 31, 2020</w:t>
      </w:r>
    </w:p>
    <w:p>
      <w:pPr>
        <w:spacing w:after="0" w:line="200" w:lineRule="exact"/>
        <w:rPr>
          <w:sz w:val="20"/>
          <w:szCs w:val="20"/>
          <w:color w:val="auto"/>
        </w:rPr>
      </w:pPr>
    </w:p>
    <w:p>
      <w:pPr>
        <w:spacing w:after="0" w:line="232"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made by</w:t>
      </w:r>
    </w:p>
    <w:p>
      <w:pPr>
        <w:spacing w:after="0" w:line="200" w:lineRule="exact"/>
        <w:rPr>
          <w:sz w:val="20"/>
          <w:szCs w:val="20"/>
          <w:color w:val="auto"/>
        </w:rPr>
      </w:pPr>
    </w:p>
    <w:p>
      <w:pPr>
        <w:spacing w:after="0" w:line="226"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AXCELIS TECHNOLOGIES, INC.</w:t>
      </w:r>
    </w:p>
    <w:p>
      <w:pPr>
        <w:spacing w:after="0" w:line="330"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and the other Grantors referred to herein,</w:t>
      </w:r>
    </w:p>
    <w:p>
      <w:pPr>
        <w:spacing w:after="0" w:line="229"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in favor of</w:t>
      </w:r>
    </w:p>
    <w:p>
      <w:pPr>
        <w:spacing w:after="0" w:line="223"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SILICON VALLEY BANK</w:t>
      </w:r>
      <w:r>
        <w:rPr>
          <w:rFonts w:ascii="Arial" w:cs="Arial" w:eastAsia="Arial" w:hAnsi="Arial"/>
          <w:sz w:val="20"/>
          <w:szCs w:val="20"/>
          <w:color w:val="auto"/>
        </w:rPr>
        <w:t>,</w:t>
      </w:r>
    </w:p>
    <w:p>
      <w:pPr>
        <w:spacing w:after="0" w:line="22"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771525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56"/>
        </w:trPr>
        <w:tc>
          <w:tcPr>
            <w:tcW w:w="880" w:type="dxa"/>
            <w:vAlign w:val="bottom"/>
          </w:tcPr>
          <w:p>
            <w:pPr>
              <w:spacing w:after="0"/>
              <w:rPr>
                <w:sz w:val="22"/>
                <w:szCs w:val="22"/>
                <w:color w:val="auto"/>
              </w:rPr>
            </w:pPr>
          </w:p>
        </w:tc>
        <w:tc>
          <w:tcPr>
            <w:tcW w:w="8460" w:type="dxa"/>
            <w:vAlign w:val="bottom"/>
          </w:tcPr>
          <w:p>
            <w:pPr>
              <w:ind w:left="3020"/>
              <w:spacing w:after="0"/>
              <w:rPr>
                <w:sz w:val="20"/>
                <w:szCs w:val="20"/>
                <w:color w:val="auto"/>
              </w:rPr>
            </w:pPr>
            <w:r>
              <w:rPr>
                <w:rFonts w:ascii="Arial" w:cs="Arial" w:eastAsia="Arial" w:hAnsi="Arial"/>
                <w:sz w:val="20"/>
                <w:szCs w:val="20"/>
                <w:b w:val="1"/>
                <w:bCs w:val="1"/>
                <w:color w:val="auto"/>
              </w:rPr>
              <w:t>TABLE OF CONTENTS</w:t>
            </w:r>
          </w:p>
        </w:tc>
        <w:tc>
          <w:tcPr>
            <w:tcW w:w="580" w:type="dxa"/>
            <w:vAlign w:val="bottom"/>
          </w:tcPr>
          <w:p>
            <w:pPr>
              <w:spacing w:after="0"/>
              <w:rPr>
                <w:sz w:val="22"/>
                <w:szCs w:val="22"/>
                <w:color w:val="auto"/>
              </w:rPr>
            </w:pPr>
          </w:p>
        </w:tc>
      </w:tr>
      <w:tr>
        <w:trPr>
          <w:trHeight w:val="442"/>
        </w:trPr>
        <w:tc>
          <w:tcPr>
            <w:tcW w:w="8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98"/>
              </w:rPr>
              <w:t>Page</w:t>
            </w:r>
          </w:p>
        </w:tc>
      </w:tr>
      <w:tr>
        <w:trPr>
          <w:trHeight w:val="341"/>
        </w:trPr>
        <w:tc>
          <w:tcPr>
            <w:tcW w:w="9340" w:type="dxa"/>
            <w:vAlign w:val="bottom"/>
            <w:gridSpan w:val="2"/>
          </w:tcPr>
          <w:p>
            <w:pPr>
              <w:spacing w:after="0"/>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b w:val="1"/>
                <w:bCs w:val="1"/>
                <w:color w:val="auto"/>
              </w:rPr>
              <w:t>DEFINED TERMS.</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auto"/>
              </w:rPr>
              <w:t>1</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1.1</w:t>
            </w:r>
          </w:p>
        </w:tc>
        <w:tc>
          <w:tcPr>
            <w:tcW w:w="8460" w:type="dxa"/>
            <w:vAlign w:val="bottom"/>
          </w:tcPr>
          <w:p>
            <w:pPr>
              <w:ind w:left="200"/>
              <w:spacing w:after="0"/>
              <w:rPr>
                <w:sz w:val="20"/>
                <w:szCs w:val="20"/>
                <w:color w:val="auto"/>
              </w:rPr>
            </w:pPr>
            <w:r>
              <w:rPr>
                <w:rFonts w:ascii="Arial" w:cs="Arial" w:eastAsia="Arial" w:hAnsi="Arial"/>
                <w:sz w:val="20"/>
                <w:szCs w:val="20"/>
                <w:color w:val="auto"/>
              </w:rPr>
              <w:t>Definitions.</w:t>
            </w:r>
          </w:p>
        </w:tc>
        <w:tc>
          <w:tcPr>
            <w:tcW w:w="5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50"/>
        </w:trPr>
        <w:tc>
          <w:tcPr>
            <w:tcW w:w="880" w:type="dxa"/>
            <w:vAlign w:val="bottom"/>
          </w:tcPr>
          <w:p>
            <w:pPr>
              <w:ind w:left="340"/>
              <w:spacing w:after="0"/>
              <w:rPr>
                <w:sz w:val="20"/>
                <w:szCs w:val="20"/>
                <w:color w:val="auto"/>
              </w:rPr>
            </w:pPr>
            <w:r>
              <w:rPr>
                <w:rFonts w:ascii="Arial" w:cs="Arial" w:eastAsia="Arial" w:hAnsi="Arial"/>
                <w:sz w:val="20"/>
                <w:szCs w:val="20"/>
                <w:color w:val="auto"/>
              </w:rPr>
              <w:t>1.2</w:t>
            </w:r>
          </w:p>
        </w:tc>
        <w:tc>
          <w:tcPr>
            <w:tcW w:w="8460" w:type="dxa"/>
            <w:vAlign w:val="bottom"/>
          </w:tcPr>
          <w:p>
            <w:pPr>
              <w:ind w:left="200"/>
              <w:spacing w:after="0"/>
              <w:rPr>
                <w:sz w:val="20"/>
                <w:szCs w:val="20"/>
                <w:color w:val="auto"/>
              </w:rPr>
            </w:pPr>
            <w:r>
              <w:rPr>
                <w:rFonts w:ascii="Arial" w:cs="Arial" w:eastAsia="Arial" w:hAnsi="Arial"/>
                <w:sz w:val="20"/>
                <w:szCs w:val="20"/>
                <w:color w:val="auto"/>
              </w:rPr>
              <w:t>Other Definitional Provisions</w:t>
            </w:r>
          </w:p>
        </w:tc>
        <w:tc>
          <w:tcPr>
            <w:tcW w:w="5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344"/>
        </w:trPr>
        <w:tc>
          <w:tcPr>
            <w:tcW w:w="9340" w:type="dxa"/>
            <w:vAlign w:val="bottom"/>
            <w:gridSpan w:val="2"/>
          </w:tcPr>
          <w:p>
            <w:pPr>
              <w:spacing w:after="0"/>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b w:val="1"/>
                <w:bCs w:val="1"/>
                <w:color w:val="auto"/>
              </w:rPr>
              <w:t>GUARANTEE.</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auto"/>
              </w:rPr>
              <w:t>5</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2.1</w:t>
            </w:r>
          </w:p>
        </w:tc>
        <w:tc>
          <w:tcPr>
            <w:tcW w:w="8460" w:type="dxa"/>
            <w:vAlign w:val="bottom"/>
          </w:tcPr>
          <w:p>
            <w:pPr>
              <w:ind w:left="200"/>
              <w:spacing w:after="0"/>
              <w:rPr>
                <w:sz w:val="20"/>
                <w:szCs w:val="20"/>
                <w:color w:val="auto"/>
              </w:rPr>
            </w:pPr>
            <w:r>
              <w:rPr>
                <w:rFonts w:ascii="Arial" w:cs="Arial" w:eastAsia="Arial" w:hAnsi="Arial"/>
                <w:sz w:val="20"/>
                <w:szCs w:val="20"/>
                <w:color w:val="auto"/>
              </w:rPr>
              <w:t>Guarantee</w:t>
            </w:r>
          </w:p>
        </w:tc>
        <w:tc>
          <w:tcPr>
            <w:tcW w:w="5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2.2</w:t>
            </w:r>
          </w:p>
        </w:tc>
        <w:tc>
          <w:tcPr>
            <w:tcW w:w="8460" w:type="dxa"/>
            <w:vAlign w:val="bottom"/>
          </w:tcPr>
          <w:p>
            <w:pPr>
              <w:ind w:left="200"/>
              <w:spacing w:after="0"/>
              <w:rPr>
                <w:sz w:val="20"/>
                <w:szCs w:val="20"/>
                <w:color w:val="auto"/>
              </w:rPr>
            </w:pPr>
            <w:r>
              <w:rPr>
                <w:rFonts w:ascii="Arial" w:cs="Arial" w:eastAsia="Arial" w:hAnsi="Arial"/>
                <w:sz w:val="20"/>
                <w:szCs w:val="20"/>
                <w:color w:val="auto"/>
              </w:rPr>
              <w:t>Right of Contribution</w:t>
            </w:r>
          </w:p>
        </w:tc>
        <w:tc>
          <w:tcPr>
            <w:tcW w:w="5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2.3</w:t>
            </w:r>
          </w:p>
        </w:tc>
        <w:tc>
          <w:tcPr>
            <w:tcW w:w="8460" w:type="dxa"/>
            <w:vAlign w:val="bottom"/>
          </w:tcPr>
          <w:p>
            <w:pPr>
              <w:ind w:left="200"/>
              <w:spacing w:after="0"/>
              <w:rPr>
                <w:sz w:val="20"/>
                <w:szCs w:val="20"/>
                <w:color w:val="auto"/>
              </w:rPr>
            </w:pPr>
            <w:r>
              <w:rPr>
                <w:rFonts w:ascii="Arial" w:cs="Arial" w:eastAsia="Arial" w:hAnsi="Arial"/>
                <w:sz w:val="20"/>
                <w:szCs w:val="20"/>
                <w:color w:val="auto"/>
              </w:rPr>
              <w:t>No Subrogation</w:t>
            </w:r>
          </w:p>
        </w:tc>
        <w:tc>
          <w:tcPr>
            <w:tcW w:w="5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2.4</w:t>
            </w:r>
          </w:p>
        </w:tc>
        <w:tc>
          <w:tcPr>
            <w:tcW w:w="8460" w:type="dxa"/>
            <w:vAlign w:val="bottom"/>
          </w:tcPr>
          <w:p>
            <w:pPr>
              <w:ind w:left="200"/>
              <w:spacing w:after="0"/>
              <w:rPr>
                <w:sz w:val="20"/>
                <w:szCs w:val="20"/>
                <w:color w:val="auto"/>
              </w:rPr>
            </w:pPr>
            <w:r>
              <w:rPr>
                <w:rFonts w:ascii="Arial" w:cs="Arial" w:eastAsia="Arial" w:hAnsi="Arial"/>
                <w:sz w:val="20"/>
                <w:szCs w:val="20"/>
                <w:color w:val="auto"/>
              </w:rPr>
              <w:t>Amendments, etc</w:t>
            </w:r>
          </w:p>
        </w:tc>
        <w:tc>
          <w:tcPr>
            <w:tcW w:w="5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2.5</w:t>
            </w:r>
          </w:p>
        </w:tc>
        <w:tc>
          <w:tcPr>
            <w:tcW w:w="8460" w:type="dxa"/>
            <w:vAlign w:val="bottom"/>
          </w:tcPr>
          <w:p>
            <w:pPr>
              <w:ind w:left="200"/>
              <w:spacing w:after="0"/>
              <w:rPr>
                <w:sz w:val="20"/>
                <w:szCs w:val="20"/>
                <w:color w:val="auto"/>
              </w:rPr>
            </w:pPr>
            <w:r>
              <w:rPr>
                <w:rFonts w:ascii="Arial" w:cs="Arial" w:eastAsia="Arial" w:hAnsi="Arial"/>
                <w:sz w:val="20"/>
                <w:szCs w:val="20"/>
                <w:color w:val="auto"/>
              </w:rPr>
              <w:t>Guarantee Absolute and Unconditional; Guarantor Waivers; Guarantor Consents</w:t>
            </w:r>
          </w:p>
        </w:tc>
        <w:tc>
          <w:tcPr>
            <w:tcW w:w="5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2.6</w:t>
            </w:r>
          </w:p>
        </w:tc>
        <w:tc>
          <w:tcPr>
            <w:tcW w:w="8460" w:type="dxa"/>
            <w:vAlign w:val="bottom"/>
          </w:tcPr>
          <w:p>
            <w:pPr>
              <w:ind w:left="200"/>
              <w:spacing w:after="0"/>
              <w:rPr>
                <w:sz w:val="20"/>
                <w:szCs w:val="20"/>
                <w:color w:val="auto"/>
              </w:rPr>
            </w:pPr>
            <w:r>
              <w:rPr>
                <w:rFonts w:ascii="Arial" w:cs="Arial" w:eastAsia="Arial" w:hAnsi="Arial"/>
                <w:sz w:val="20"/>
                <w:szCs w:val="20"/>
                <w:color w:val="auto"/>
              </w:rPr>
              <w:t>Reinstatement</w:t>
            </w:r>
          </w:p>
        </w:tc>
        <w:tc>
          <w:tcPr>
            <w:tcW w:w="5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2.7</w:t>
            </w:r>
          </w:p>
        </w:tc>
        <w:tc>
          <w:tcPr>
            <w:tcW w:w="8460" w:type="dxa"/>
            <w:vAlign w:val="bottom"/>
          </w:tcPr>
          <w:p>
            <w:pPr>
              <w:ind w:left="200"/>
              <w:spacing w:after="0"/>
              <w:rPr>
                <w:sz w:val="20"/>
                <w:szCs w:val="20"/>
                <w:color w:val="auto"/>
              </w:rPr>
            </w:pPr>
            <w:r>
              <w:rPr>
                <w:rFonts w:ascii="Arial" w:cs="Arial" w:eastAsia="Arial" w:hAnsi="Arial"/>
                <w:sz w:val="20"/>
                <w:szCs w:val="20"/>
                <w:color w:val="auto"/>
              </w:rPr>
              <w:t>Payments</w:t>
            </w:r>
          </w:p>
        </w:tc>
        <w:tc>
          <w:tcPr>
            <w:tcW w:w="5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50"/>
        </w:trPr>
        <w:tc>
          <w:tcPr>
            <w:tcW w:w="880" w:type="dxa"/>
            <w:vAlign w:val="bottom"/>
          </w:tcPr>
          <w:p>
            <w:pPr>
              <w:ind w:left="340"/>
              <w:spacing w:after="0"/>
              <w:rPr>
                <w:sz w:val="20"/>
                <w:szCs w:val="20"/>
                <w:color w:val="auto"/>
              </w:rPr>
            </w:pPr>
            <w:r>
              <w:rPr>
                <w:rFonts w:ascii="Arial" w:cs="Arial" w:eastAsia="Arial" w:hAnsi="Arial"/>
                <w:sz w:val="20"/>
                <w:szCs w:val="20"/>
                <w:color w:val="auto"/>
              </w:rPr>
              <w:t>2.8</w:t>
            </w:r>
          </w:p>
        </w:tc>
        <w:tc>
          <w:tcPr>
            <w:tcW w:w="8460" w:type="dxa"/>
            <w:vAlign w:val="bottom"/>
          </w:tcPr>
          <w:p>
            <w:pPr>
              <w:ind w:left="200"/>
              <w:spacing w:after="0"/>
              <w:rPr>
                <w:sz w:val="20"/>
                <w:szCs w:val="20"/>
                <w:color w:val="auto"/>
              </w:rPr>
            </w:pPr>
            <w:r>
              <w:rPr>
                <w:rFonts w:ascii="Arial" w:cs="Arial" w:eastAsia="Arial" w:hAnsi="Arial"/>
                <w:sz w:val="20"/>
                <w:szCs w:val="20"/>
                <w:color w:val="auto"/>
              </w:rPr>
              <w:t>Keepwell</w:t>
            </w:r>
          </w:p>
        </w:tc>
        <w:tc>
          <w:tcPr>
            <w:tcW w:w="5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344"/>
        </w:trPr>
        <w:tc>
          <w:tcPr>
            <w:tcW w:w="9340" w:type="dxa"/>
            <w:vAlign w:val="bottom"/>
            <w:gridSpan w:val="2"/>
          </w:tcPr>
          <w:p>
            <w:pPr>
              <w:spacing w:after="0"/>
              <w:rPr>
                <w:sz w:val="20"/>
                <w:szCs w:val="20"/>
                <w:color w:val="auto"/>
              </w:rPr>
            </w:pPr>
            <w:r>
              <w:rPr>
                <w:rFonts w:ascii="Arial" w:cs="Arial" w:eastAsia="Arial" w:hAnsi="Arial"/>
                <w:sz w:val="20"/>
                <w:szCs w:val="20"/>
                <w:color w:val="auto"/>
              </w:rPr>
              <w:t>SECTION 3. GRANT OF SECURITY INTEREST</w:t>
            </w:r>
          </w:p>
        </w:tc>
        <w:tc>
          <w:tcPr>
            <w:tcW w:w="5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3.1</w:t>
            </w:r>
          </w:p>
        </w:tc>
        <w:tc>
          <w:tcPr>
            <w:tcW w:w="8460" w:type="dxa"/>
            <w:vAlign w:val="bottom"/>
          </w:tcPr>
          <w:p>
            <w:pPr>
              <w:ind w:left="200"/>
              <w:spacing w:after="0"/>
              <w:rPr>
                <w:sz w:val="20"/>
                <w:szCs w:val="20"/>
                <w:color w:val="auto"/>
              </w:rPr>
            </w:pPr>
            <w:r>
              <w:rPr>
                <w:rFonts w:ascii="Arial" w:cs="Arial" w:eastAsia="Arial" w:hAnsi="Arial"/>
                <w:sz w:val="20"/>
                <w:szCs w:val="20"/>
                <w:color w:val="auto"/>
              </w:rPr>
              <w:t>Grant of Security Interests</w:t>
            </w:r>
          </w:p>
        </w:tc>
        <w:tc>
          <w:tcPr>
            <w:tcW w:w="5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3.2</w:t>
            </w:r>
          </w:p>
        </w:tc>
        <w:tc>
          <w:tcPr>
            <w:tcW w:w="8460" w:type="dxa"/>
            <w:vAlign w:val="bottom"/>
          </w:tcPr>
          <w:p>
            <w:pPr>
              <w:ind w:left="200"/>
              <w:spacing w:after="0"/>
              <w:rPr>
                <w:sz w:val="20"/>
                <w:szCs w:val="20"/>
                <w:color w:val="auto"/>
              </w:rPr>
            </w:pPr>
            <w:r>
              <w:rPr>
                <w:rFonts w:ascii="Arial" w:cs="Arial" w:eastAsia="Arial" w:hAnsi="Arial"/>
                <w:sz w:val="20"/>
                <w:szCs w:val="20"/>
                <w:color w:val="auto"/>
              </w:rPr>
              <w:t>Grantors Remains Liable</w:t>
            </w:r>
          </w:p>
        </w:tc>
        <w:tc>
          <w:tcPr>
            <w:tcW w:w="5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50"/>
        </w:trPr>
        <w:tc>
          <w:tcPr>
            <w:tcW w:w="880" w:type="dxa"/>
            <w:vAlign w:val="bottom"/>
          </w:tcPr>
          <w:p>
            <w:pPr>
              <w:ind w:left="340"/>
              <w:spacing w:after="0"/>
              <w:rPr>
                <w:sz w:val="20"/>
                <w:szCs w:val="20"/>
                <w:color w:val="auto"/>
              </w:rPr>
            </w:pPr>
            <w:r>
              <w:rPr>
                <w:rFonts w:ascii="Arial" w:cs="Arial" w:eastAsia="Arial" w:hAnsi="Arial"/>
                <w:sz w:val="20"/>
                <w:szCs w:val="20"/>
                <w:color w:val="auto"/>
              </w:rPr>
              <w:t>3.3</w:t>
            </w:r>
          </w:p>
        </w:tc>
        <w:tc>
          <w:tcPr>
            <w:tcW w:w="8460" w:type="dxa"/>
            <w:vAlign w:val="bottom"/>
          </w:tcPr>
          <w:p>
            <w:pPr>
              <w:ind w:left="200"/>
              <w:spacing w:after="0"/>
              <w:rPr>
                <w:sz w:val="20"/>
                <w:szCs w:val="20"/>
                <w:color w:val="auto"/>
              </w:rPr>
            </w:pPr>
            <w:r>
              <w:rPr>
                <w:rFonts w:ascii="Arial" w:cs="Arial" w:eastAsia="Arial" w:hAnsi="Arial"/>
                <w:sz w:val="20"/>
                <w:szCs w:val="20"/>
                <w:color w:val="auto"/>
              </w:rPr>
              <w:t>Perfection and Priority.</w:t>
            </w:r>
          </w:p>
        </w:tc>
        <w:tc>
          <w:tcPr>
            <w:tcW w:w="5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344"/>
        </w:trPr>
        <w:tc>
          <w:tcPr>
            <w:tcW w:w="9340" w:type="dxa"/>
            <w:vAlign w:val="bottom"/>
            <w:gridSpan w:val="2"/>
          </w:tcPr>
          <w:p>
            <w:pPr>
              <w:spacing w:after="0"/>
              <w:rPr>
                <w:sz w:val="20"/>
                <w:szCs w:val="20"/>
                <w:color w:val="auto"/>
              </w:rPr>
            </w:pPr>
            <w:r>
              <w:rPr>
                <w:rFonts w:ascii="Arial" w:cs="Arial" w:eastAsia="Arial" w:hAnsi="Arial"/>
                <w:sz w:val="20"/>
                <w:szCs w:val="20"/>
                <w:color w:val="auto"/>
              </w:rPr>
              <w:t>SECTION 4. REPRESENTATIONS AND WARRANTIES</w:t>
            </w:r>
          </w:p>
        </w:tc>
        <w:tc>
          <w:tcPr>
            <w:tcW w:w="5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4.1</w:t>
            </w:r>
          </w:p>
        </w:tc>
        <w:tc>
          <w:tcPr>
            <w:tcW w:w="8460" w:type="dxa"/>
            <w:vAlign w:val="bottom"/>
          </w:tcPr>
          <w:p>
            <w:pPr>
              <w:ind w:left="200"/>
              <w:spacing w:after="0"/>
              <w:rPr>
                <w:sz w:val="20"/>
                <w:szCs w:val="20"/>
                <w:color w:val="auto"/>
              </w:rPr>
            </w:pPr>
            <w:r>
              <w:rPr>
                <w:rFonts w:ascii="Arial" w:cs="Arial" w:eastAsia="Arial" w:hAnsi="Arial"/>
                <w:sz w:val="20"/>
                <w:szCs w:val="20"/>
                <w:color w:val="auto"/>
              </w:rPr>
              <w:t>Title; No Other Liens</w:t>
            </w:r>
          </w:p>
        </w:tc>
        <w:tc>
          <w:tcPr>
            <w:tcW w:w="5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4.2</w:t>
            </w:r>
          </w:p>
        </w:tc>
        <w:tc>
          <w:tcPr>
            <w:tcW w:w="8460" w:type="dxa"/>
            <w:vAlign w:val="bottom"/>
          </w:tcPr>
          <w:p>
            <w:pPr>
              <w:ind w:left="200"/>
              <w:spacing w:after="0"/>
              <w:rPr>
                <w:sz w:val="20"/>
                <w:szCs w:val="20"/>
                <w:color w:val="auto"/>
              </w:rPr>
            </w:pPr>
            <w:r>
              <w:rPr>
                <w:rFonts w:ascii="Arial" w:cs="Arial" w:eastAsia="Arial" w:hAnsi="Arial"/>
                <w:sz w:val="20"/>
                <w:szCs w:val="20"/>
                <w:color w:val="auto"/>
              </w:rPr>
              <w:t>Perfected Liens</w:t>
            </w:r>
          </w:p>
        </w:tc>
        <w:tc>
          <w:tcPr>
            <w:tcW w:w="5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4.3</w:t>
            </w:r>
          </w:p>
        </w:tc>
        <w:tc>
          <w:tcPr>
            <w:tcW w:w="8460" w:type="dxa"/>
            <w:vAlign w:val="bottom"/>
          </w:tcPr>
          <w:p>
            <w:pPr>
              <w:ind w:left="200"/>
              <w:spacing w:after="0"/>
              <w:rPr>
                <w:sz w:val="20"/>
                <w:szCs w:val="20"/>
                <w:color w:val="auto"/>
              </w:rPr>
            </w:pPr>
            <w:r>
              <w:rPr>
                <w:rFonts w:ascii="Arial" w:cs="Arial" w:eastAsia="Arial" w:hAnsi="Arial"/>
                <w:sz w:val="20"/>
                <w:szCs w:val="20"/>
                <w:color w:val="auto"/>
              </w:rPr>
              <w:t>Jurisdiction of Organization; Chief Executive Office and Locations of Books</w:t>
            </w:r>
          </w:p>
        </w:tc>
        <w:tc>
          <w:tcPr>
            <w:tcW w:w="5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4.4</w:t>
            </w:r>
          </w:p>
        </w:tc>
        <w:tc>
          <w:tcPr>
            <w:tcW w:w="8460" w:type="dxa"/>
            <w:vAlign w:val="bottom"/>
          </w:tcPr>
          <w:p>
            <w:pPr>
              <w:ind w:left="200"/>
              <w:spacing w:after="0"/>
              <w:rPr>
                <w:sz w:val="20"/>
                <w:szCs w:val="20"/>
                <w:color w:val="auto"/>
              </w:rPr>
            </w:pPr>
            <w:r>
              <w:rPr>
                <w:rFonts w:ascii="Arial" w:cs="Arial" w:eastAsia="Arial" w:hAnsi="Arial"/>
                <w:sz w:val="20"/>
                <w:szCs w:val="20"/>
                <w:color w:val="auto"/>
              </w:rPr>
              <w:t>Inventory and Equipment</w:t>
            </w:r>
          </w:p>
        </w:tc>
        <w:tc>
          <w:tcPr>
            <w:tcW w:w="5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4.5</w:t>
            </w:r>
          </w:p>
        </w:tc>
        <w:tc>
          <w:tcPr>
            <w:tcW w:w="8460" w:type="dxa"/>
            <w:vAlign w:val="bottom"/>
          </w:tcPr>
          <w:p>
            <w:pPr>
              <w:ind w:left="200"/>
              <w:spacing w:after="0"/>
              <w:rPr>
                <w:sz w:val="20"/>
                <w:szCs w:val="20"/>
                <w:color w:val="auto"/>
              </w:rPr>
            </w:pPr>
            <w:r>
              <w:rPr>
                <w:rFonts w:ascii="Arial" w:cs="Arial" w:eastAsia="Arial" w:hAnsi="Arial"/>
                <w:sz w:val="20"/>
                <w:szCs w:val="20"/>
                <w:color w:val="auto"/>
              </w:rPr>
              <w:t>Farm Products</w:t>
            </w:r>
          </w:p>
        </w:tc>
        <w:tc>
          <w:tcPr>
            <w:tcW w:w="5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4.6</w:t>
            </w:r>
          </w:p>
        </w:tc>
        <w:tc>
          <w:tcPr>
            <w:tcW w:w="8460" w:type="dxa"/>
            <w:vAlign w:val="bottom"/>
          </w:tcPr>
          <w:p>
            <w:pPr>
              <w:ind w:left="200"/>
              <w:spacing w:after="0"/>
              <w:rPr>
                <w:sz w:val="20"/>
                <w:szCs w:val="20"/>
                <w:color w:val="auto"/>
              </w:rPr>
            </w:pPr>
            <w:r>
              <w:rPr>
                <w:rFonts w:ascii="Arial" w:cs="Arial" w:eastAsia="Arial" w:hAnsi="Arial"/>
                <w:sz w:val="20"/>
                <w:szCs w:val="20"/>
                <w:color w:val="auto"/>
              </w:rPr>
              <w:t>Pledged Collateral</w:t>
            </w:r>
          </w:p>
        </w:tc>
        <w:tc>
          <w:tcPr>
            <w:tcW w:w="5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4.7</w:t>
            </w:r>
          </w:p>
        </w:tc>
        <w:tc>
          <w:tcPr>
            <w:tcW w:w="8460" w:type="dxa"/>
            <w:vAlign w:val="bottom"/>
          </w:tcPr>
          <w:p>
            <w:pPr>
              <w:ind w:left="200"/>
              <w:spacing w:after="0"/>
              <w:rPr>
                <w:sz w:val="20"/>
                <w:szCs w:val="20"/>
                <w:color w:val="auto"/>
              </w:rPr>
            </w:pPr>
            <w:r>
              <w:rPr>
                <w:rFonts w:ascii="Arial" w:cs="Arial" w:eastAsia="Arial" w:hAnsi="Arial"/>
                <w:sz w:val="20"/>
                <w:szCs w:val="20"/>
                <w:color w:val="auto"/>
              </w:rPr>
              <w:t>Investment Accounts</w:t>
            </w:r>
          </w:p>
        </w:tc>
        <w:tc>
          <w:tcPr>
            <w:tcW w:w="5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4.8</w:t>
            </w:r>
          </w:p>
        </w:tc>
        <w:tc>
          <w:tcPr>
            <w:tcW w:w="8460" w:type="dxa"/>
            <w:vAlign w:val="bottom"/>
          </w:tcPr>
          <w:p>
            <w:pPr>
              <w:ind w:left="200"/>
              <w:spacing w:after="0"/>
              <w:rPr>
                <w:sz w:val="20"/>
                <w:szCs w:val="20"/>
                <w:color w:val="auto"/>
              </w:rPr>
            </w:pPr>
            <w:r>
              <w:rPr>
                <w:rFonts w:ascii="Arial" w:cs="Arial" w:eastAsia="Arial" w:hAnsi="Arial"/>
                <w:sz w:val="20"/>
                <w:szCs w:val="20"/>
                <w:color w:val="auto"/>
              </w:rPr>
              <w:t>Receivables</w:t>
            </w:r>
          </w:p>
        </w:tc>
        <w:tc>
          <w:tcPr>
            <w:tcW w:w="5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4.9</w:t>
            </w:r>
          </w:p>
        </w:tc>
        <w:tc>
          <w:tcPr>
            <w:tcW w:w="8460" w:type="dxa"/>
            <w:vAlign w:val="bottom"/>
          </w:tcPr>
          <w:p>
            <w:pPr>
              <w:ind w:left="200"/>
              <w:spacing w:after="0"/>
              <w:rPr>
                <w:sz w:val="20"/>
                <w:szCs w:val="20"/>
                <w:color w:val="auto"/>
              </w:rPr>
            </w:pPr>
            <w:r>
              <w:rPr>
                <w:rFonts w:ascii="Arial" w:cs="Arial" w:eastAsia="Arial" w:hAnsi="Arial"/>
                <w:sz w:val="20"/>
                <w:szCs w:val="20"/>
                <w:color w:val="auto"/>
              </w:rPr>
              <w:t>Intellectual Property</w:t>
            </w:r>
          </w:p>
        </w:tc>
        <w:tc>
          <w:tcPr>
            <w:tcW w:w="5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4.10</w:t>
            </w:r>
          </w:p>
        </w:tc>
        <w:tc>
          <w:tcPr>
            <w:tcW w:w="8460" w:type="dxa"/>
            <w:vAlign w:val="bottom"/>
          </w:tcPr>
          <w:p>
            <w:pPr>
              <w:ind w:left="200"/>
              <w:spacing w:after="0"/>
              <w:rPr>
                <w:sz w:val="20"/>
                <w:szCs w:val="20"/>
                <w:color w:val="auto"/>
              </w:rPr>
            </w:pPr>
            <w:r>
              <w:rPr>
                <w:rFonts w:ascii="Arial" w:cs="Arial" w:eastAsia="Arial" w:hAnsi="Arial"/>
                <w:sz w:val="20"/>
                <w:szCs w:val="20"/>
                <w:color w:val="auto"/>
              </w:rPr>
              <w:t>Instruments</w:t>
            </w:r>
          </w:p>
        </w:tc>
        <w:tc>
          <w:tcPr>
            <w:tcW w:w="5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4.11</w:t>
            </w:r>
          </w:p>
        </w:tc>
        <w:tc>
          <w:tcPr>
            <w:tcW w:w="8460" w:type="dxa"/>
            <w:vAlign w:val="bottom"/>
          </w:tcPr>
          <w:p>
            <w:pPr>
              <w:ind w:left="200"/>
              <w:spacing w:after="0"/>
              <w:rPr>
                <w:sz w:val="20"/>
                <w:szCs w:val="20"/>
                <w:color w:val="auto"/>
              </w:rPr>
            </w:pPr>
            <w:r>
              <w:rPr>
                <w:rFonts w:ascii="Arial" w:cs="Arial" w:eastAsia="Arial" w:hAnsi="Arial"/>
                <w:sz w:val="20"/>
                <w:szCs w:val="20"/>
                <w:color w:val="auto"/>
              </w:rPr>
              <w:t>Letter of Credit Rights</w:t>
            </w:r>
          </w:p>
        </w:tc>
        <w:tc>
          <w:tcPr>
            <w:tcW w:w="5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50"/>
        </w:trPr>
        <w:tc>
          <w:tcPr>
            <w:tcW w:w="880" w:type="dxa"/>
            <w:vAlign w:val="bottom"/>
          </w:tcPr>
          <w:p>
            <w:pPr>
              <w:ind w:left="340"/>
              <w:spacing w:after="0"/>
              <w:rPr>
                <w:sz w:val="20"/>
                <w:szCs w:val="20"/>
                <w:color w:val="auto"/>
              </w:rPr>
            </w:pPr>
            <w:r>
              <w:rPr>
                <w:rFonts w:ascii="Arial" w:cs="Arial" w:eastAsia="Arial" w:hAnsi="Arial"/>
                <w:sz w:val="20"/>
                <w:szCs w:val="20"/>
                <w:color w:val="auto"/>
              </w:rPr>
              <w:t>4.12</w:t>
            </w:r>
          </w:p>
        </w:tc>
        <w:tc>
          <w:tcPr>
            <w:tcW w:w="8460" w:type="dxa"/>
            <w:vAlign w:val="bottom"/>
          </w:tcPr>
          <w:p>
            <w:pPr>
              <w:ind w:left="200"/>
              <w:spacing w:after="0"/>
              <w:rPr>
                <w:sz w:val="20"/>
                <w:szCs w:val="20"/>
                <w:color w:val="auto"/>
              </w:rPr>
            </w:pPr>
            <w:r>
              <w:rPr>
                <w:rFonts w:ascii="Arial" w:cs="Arial" w:eastAsia="Arial" w:hAnsi="Arial"/>
                <w:sz w:val="20"/>
                <w:szCs w:val="20"/>
                <w:color w:val="auto"/>
              </w:rPr>
              <w:t>Commercial Tort Claims</w:t>
            </w:r>
          </w:p>
        </w:tc>
        <w:tc>
          <w:tcPr>
            <w:tcW w:w="5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344"/>
        </w:trPr>
        <w:tc>
          <w:tcPr>
            <w:tcW w:w="9340" w:type="dxa"/>
            <w:vAlign w:val="bottom"/>
            <w:gridSpan w:val="2"/>
          </w:tcPr>
          <w:p>
            <w:pPr>
              <w:spacing w:after="0"/>
              <w:rPr>
                <w:sz w:val="20"/>
                <w:szCs w:val="20"/>
                <w:color w:val="auto"/>
              </w:rPr>
            </w:pPr>
            <w:r>
              <w:rPr>
                <w:rFonts w:ascii="Arial" w:cs="Arial" w:eastAsia="Arial" w:hAnsi="Arial"/>
                <w:sz w:val="20"/>
                <w:szCs w:val="20"/>
                <w:color w:val="auto"/>
              </w:rPr>
              <w:t>SECTION 5. COVENANTS</w:t>
            </w:r>
          </w:p>
        </w:tc>
        <w:tc>
          <w:tcPr>
            <w:tcW w:w="5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5.1</w:t>
            </w:r>
          </w:p>
        </w:tc>
        <w:tc>
          <w:tcPr>
            <w:tcW w:w="8460" w:type="dxa"/>
            <w:vAlign w:val="bottom"/>
          </w:tcPr>
          <w:p>
            <w:pPr>
              <w:ind w:left="200"/>
              <w:spacing w:after="0"/>
              <w:rPr>
                <w:sz w:val="20"/>
                <w:szCs w:val="20"/>
                <w:color w:val="auto"/>
              </w:rPr>
            </w:pPr>
            <w:r>
              <w:rPr>
                <w:rFonts w:ascii="Arial" w:cs="Arial" w:eastAsia="Arial" w:hAnsi="Arial"/>
                <w:sz w:val="20"/>
                <w:szCs w:val="20"/>
                <w:color w:val="auto"/>
              </w:rPr>
              <w:t>Delivery of Instruments, Certificated Securities and Chattel Paper</w:t>
            </w:r>
          </w:p>
        </w:tc>
        <w:tc>
          <w:tcPr>
            <w:tcW w:w="5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5.2</w:t>
            </w:r>
          </w:p>
        </w:tc>
        <w:tc>
          <w:tcPr>
            <w:tcW w:w="8460" w:type="dxa"/>
            <w:vAlign w:val="bottom"/>
          </w:tcPr>
          <w:p>
            <w:pPr>
              <w:ind w:left="200"/>
              <w:spacing w:after="0"/>
              <w:rPr>
                <w:sz w:val="20"/>
                <w:szCs w:val="20"/>
                <w:color w:val="auto"/>
              </w:rPr>
            </w:pPr>
            <w:r>
              <w:rPr>
                <w:rFonts w:ascii="Arial" w:cs="Arial" w:eastAsia="Arial" w:hAnsi="Arial"/>
                <w:sz w:val="20"/>
                <w:szCs w:val="20"/>
                <w:color w:val="auto"/>
              </w:rPr>
              <w:t>Maintenance of Insurance</w:t>
            </w:r>
          </w:p>
        </w:tc>
        <w:tc>
          <w:tcPr>
            <w:tcW w:w="5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5.3</w:t>
            </w:r>
          </w:p>
        </w:tc>
        <w:tc>
          <w:tcPr>
            <w:tcW w:w="8460" w:type="dxa"/>
            <w:vAlign w:val="bottom"/>
          </w:tcPr>
          <w:p>
            <w:pPr>
              <w:ind w:left="200"/>
              <w:spacing w:after="0"/>
              <w:rPr>
                <w:sz w:val="20"/>
                <w:szCs w:val="20"/>
                <w:color w:val="auto"/>
              </w:rPr>
            </w:pPr>
            <w:r>
              <w:rPr>
                <w:rFonts w:ascii="Arial" w:cs="Arial" w:eastAsia="Arial" w:hAnsi="Arial"/>
                <w:sz w:val="20"/>
                <w:szCs w:val="20"/>
                <w:color w:val="auto"/>
              </w:rPr>
              <w:t>Maintenance of Perfected Security Interest; Further Documentation</w:t>
            </w:r>
          </w:p>
        </w:tc>
        <w:tc>
          <w:tcPr>
            <w:tcW w:w="5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5.4</w:t>
            </w:r>
          </w:p>
        </w:tc>
        <w:tc>
          <w:tcPr>
            <w:tcW w:w="8460" w:type="dxa"/>
            <w:vAlign w:val="bottom"/>
          </w:tcPr>
          <w:p>
            <w:pPr>
              <w:ind w:left="200"/>
              <w:spacing w:after="0"/>
              <w:rPr>
                <w:sz w:val="20"/>
                <w:szCs w:val="20"/>
                <w:color w:val="auto"/>
              </w:rPr>
            </w:pPr>
            <w:r>
              <w:rPr>
                <w:rFonts w:ascii="Arial" w:cs="Arial" w:eastAsia="Arial" w:hAnsi="Arial"/>
                <w:sz w:val="20"/>
                <w:szCs w:val="20"/>
                <w:color w:val="auto"/>
              </w:rPr>
              <w:t>Changes in Locations, Name, Etc</w:t>
            </w:r>
          </w:p>
        </w:tc>
        <w:tc>
          <w:tcPr>
            <w:tcW w:w="5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5.5</w:t>
            </w:r>
          </w:p>
        </w:tc>
        <w:tc>
          <w:tcPr>
            <w:tcW w:w="8460" w:type="dxa"/>
            <w:vAlign w:val="bottom"/>
          </w:tcPr>
          <w:p>
            <w:pPr>
              <w:ind w:left="200"/>
              <w:spacing w:after="0"/>
              <w:rPr>
                <w:sz w:val="20"/>
                <w:szCs w:val="20"/>
                <w:color w:val="auto"/>
              </w:rPr>
            </w:pPr>
            <w:r>
              <w:rPr>
                <w:rFonts w:ascii="Arial" w:cs="Arial" w:eastAsia="Arial" w:hAnsi="Arial"/>
                <w:sz w:val="20"/>
                <w:szCs w:val="20"/>
                <w:color w:val="auto"/>
              </w:rPr>
              <w:t>[Reserved]</w:t>
            </w:r>
          </w:p>
        </w:tc>
        <w:tc>
          <w:tcPr>
            <w:tcW w:w="5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5.6</w:t>
            </w:r>
          </w:p>
        </w:tc>
        <w:tc>
          <w:tcPr>
            <w:tcW w:w="8460" w:type="dxa"/>
            <w:vAlign w:val="bottom"/>
          </w:tcPr>
          <w:p>
            <w:pPr>
              <w:ind w:left="200"/>
              <w:spacing w:after="0"/>
              <w:rPr>
                <w:sz w:val="20"/>
                <w:szCs w:val="20"/>
                <w:color w:val="auto"/>
              </w:rPr>
            </w:pPr>
            <w:r>
              <w:rPr>
                <w:rFonts w:ascii="Arial" w:cs="Arial" w:eastAsia="Arial" w:hAnsi="Arial"/>
                <w:sz w:val="20"/>
                <w:szCs w:val="20"/>
                <w:color w:val="auto"/>
              </w:rPr>
              <w:t>Instruments; Investment Property</w:t>
            </w:r>
          </w:p>
        </w:tc>
        <w:tc>
          <w:tcPr>
            <w:tcW w:w="5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5.7</w:t>
            </w:r>
          </w:p>
        </w:tc>
        <w:tc>
          <w:tcPr>
            <w:tcW w:w="8460" w:type="dxa"/>
            <w:vAlign w:val="bottom"/>
          </w:tcPr>
          <w:p>
            <w:pPr>
              <w:ind w:left="200"/>
              <w:spacing w:after="0"/>
              <w:rPr>
                <w:sz w:val="20"/>
                <w:szCs w:val="20"/>
                <w:color w:val="auto"/>
              </w:rPr>
            </w:pPr>
            <w:r>
              <w:rPr>
                <w:rFonts w:ascii="Arial" w:cs="Arial" w:eastAsia="Arial" w:hAnsi="Arial"/>
                <w:sz w:val="20"/>
                <w:szCs w:val="20"/>
                <w:color w:val="auto"/>
              </w:rPr>
              <w:t>Securities Accounts; Deposit Accounts</w:t>
            </w:r>
          </w:p>
        </w:tc>
        <w:tc>
          <w:tcPr>
            <w:tcW w:w="5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5.8</w:t>
            </w:r>
          </w:p>
        </w:tc>
        <w:tc>
          <w:tcPr>
            <w:tcW w:w="8460" w:type="dxa"/>
            <w:vAlign w:val="bottom"/>
          </w:tcPr>
          <w:p>
            <w:pPr>
              <w:ind w:left="200"/>
              <w:spacing w:after="0"/>
              <w:rPr>
                <w:sz w:val="20"/>
                <w:szCs w:val="20"/>
                <w:color w:val="auto"/>
              </w:rPr>
            </w:pPr>
            <w:r>
              <w:rPr>
                <w:rFonts w:ascii="Arial" w:cs="Arial" w:eastAsia="Arial" w:hAnsi="Arial"/>
                <w:sz w:val="20"/>
                <w:szCs w:val="20"/>
                <w:color w:val="auto"/>
              </w:rPr>
              <w:t>Intellectual Property</w:t>
            </w:r>
          </w:p>
        </w:tc>
        <w:tc>
          <w:tcPr>
            <w:tcW w:w="5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5.9</w:t>
            </w:r>
          </w:p>
        </w:tc>
        <w:tc>
          <w:tcPr>
            <w:tcW w:w="8460" w:type="dxa"/>
            <w:vAlign w:val="bottom"/>
          </w:tcPr>
          <w:p>
            <w:pPr>
              <w:ind w:left="200"/>
              <w:spacing w:after="0"/>
              <w:rPr>
                <w:sz w:val="20"/>
                <w:szCs w:val="20"/>
                <w:color w:val="auto"/>
              </w:rPr>
            </w:pPr>
            <w:r>
              <w:rPr>
                <w:rFonts w:ascii="Arial" w:cs="Arial" w:eastAsia="Arial" w:hAnsi="Arial"/>
                <w:sz w:val="20"/>
                <w:szCs w:val="20"/>
                <w:color w:val="auto"/>
              </w:rPr>
              <w:t>[Reserved]</w:t>
            </w:r>
          </w:p>
        </w:tc>
        <w:tc>
          <w:tcPr>
            <w:tcW w:w="5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5.10</w:t>
            </w:r>
          </w:p>
        </w:tc>
        <w:tc>
          <w:tcPr>
            <w:tcW w:w="8460" w:type="dxa"/>
            <w:vAlign w:val="bottom"/>
          </w:tcPr>
          <w:p>
            <w:pPr>
              <w:ind w:left="200"/>
              <w:spacing w:after="0"/>
              <w:rPr>
                <w:sz w:val="20"/>
                <w:szCs w:val="20"/>
                <w:color w:val="auto"/>
              </w:rPr>
            </w:pPr>
            <w:r>
              <w:rPr>
                <w:rFonts w:ascii="Arial" w:cs="Arial" w:eastAsia="Arial" w:hAnsi="Arial"/>
                <w:sz w:val="20"/>
                <w:szCs w:val="20"/>
                <w:color w:val="auto"/>
              </w:rPr>
              <w:t>Defense of Collateral</w:t>
            </w:r>
          </w:p>
        </w:tc>
        <w:tc>
          <w:tcPr>
            <w:tcW w:w="5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5.11</w:t>
            </w:r>
          </w:p>
        </w:tc>
        <w:tc>
          <w:tcPr>
            <w:tcW w:w="8460" w:type="dxa"/>
            <w:vAlign w:val="bottom"/>
          </w:tcPr>
          <w:p>
            <w:pPr>
              <w:ind w:left="200"/>
              <w:spacing w:after="0"/>
              <w:rPr>
                <w:sz w:val="20"/>
                <w:szCs w:val="20"/>
                <w:color w:val="auto"/>
              </w:rPr>
            </w:pPr>
            <w:r>
              <w:rPr>
                <w:rFonts w:ascii="Arial" w:cs="Arial" w:eastAsia="Arial" w:hAnsi="Arial"/>
                <w:sz w:val="20"/>
                <w:szCs w:val="20"/>
                <w:color w:val="auto"/>
              </w:rPr>
              <w:t>Preservation of Collateral</w:t>
            </w:r>
          </w:p>
        </w:tc>
        <w:tc>
          <w:tcPr>
            <w:tcW w:w="5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5.12</w:t>
            </w:r>
          </w:p>
        </w:tc>
        <w:tc>
          <w:tcPr>
            <w:tcW w:w="8460" w:type="dxa"/>
            <w:vAlign w:val="bottom"/>
          </w:tcPr>
          <w:p>
            <w:pPr>
              <w:ind w:left="200"/>
              <w:spacing w:after="0"/>
              <w:rPr>
                <w:sz w:val="20"/>
                <w:szCs w:val="20"/>
                <w:color w:val="auto"/>
              </w:rPr>
            </w:pPr>
            <w:r>
              <w:rPr>
                <w:rFonts w:ascii="Arial" w:cs="Arial" w:eastAsia="Arial" w:hAnsi="Arial"/>
                <w:sz w:val="20"/>
                <w:szCs w:val="20"/>
                <w:color w:val="auto"/>
              </w:rPr>
              <w:t>Compliance with Laws, Etc</w:t>
            </w:r>
          </w:p>
        </w:tc>
        <w:tc>
          <w:tcPr>
            <w:tcW w:w="5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5.13</w:t>
            </w:r>
          </w:p>
        </w:tc>
        <w:tc>
          <w:tcPr>
            <w:tcW w:w="8460" w:type="dxa"/>
            <w:vAlign w:val="bottom"/>
          </w:tcPr>
          <w:p>
            <w:pPr>
              <w:ind w:left="200"/>
              <w:spacing w:after="0"/>
              <w:rPr>
                <w:sz w:val="20"/>
                <w:szCs w:val="20"/>
                <w:color w:val="auto"/>
              </w:rPr>
            </w:pPr>
            <w:r>
              <w:rPr>
                <w:rFonts w:ascii="Arial" w:cs="Arial" w:eastAsia="Arial" w:hAnsi="Arial"/>
                <w:sz w:val="20"/>
                <w:szCs w:val="20"/>
                <w:color w:val="auto"/>
              </w:rPr>
              <w:t>Location of Books and Chief Executive Office</w:t>
            </w:r>
          </w:p>
        </w:tc>
        <w:tc>
          <w:tcPr>
            <w:tcW w:w="5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50"/>
        </w:trPr>
        <w:tc>
          <w:tcPr>
            <w:tcW w:w="880" w:type="dxa"/>
            <w:vAlign w:val="bottom"/>
          </w:tcPr>
          <w:p>
            <w:pPr>
              <w:ind w:left="340"/>
              <w:spacing w:after="0"/>
              <w:rPr>
                <w:sz w:val="20"/>
                <w:szCs w:val="20"/>
                <w:color w:val="auto"/>
              </w:rPr>
            </w:pPr>
            <w:r>
              <w:rPr>
                <w:rFonts w:ascii="Arial" w:cs="Arial" w:eastAsia="Arial" w:hAnsi="Arial"/>
                <w:sz w:val="20"/>
                <w:szCs w:val="20"/>
                <w:color w:val="auto"/>
              </w:rPr>
              <w:t>5.14</w:t>
            </w:r>
          </w:p>
        </w:tc>
        <w:tc>
          <w:tcPr>
            <w:tcW w:w="8460" w:type="dxa"/>
            <w:vAlign w:val="bottom"/>
          </w:tcPr>
          <w:p>
            <w:pPr>
              <w:ind w:left="200"/>
              <w:spacing w:after="0"/>
              <w:rPr>
                <w:sz w:val="20"/>
                <w:szCs w:val="20"/>
                <w:color w:val="auto"/>
              </w:rPr>
            </w:pPr>
            <w:r>
              <w:rPr>
                <w:rFonts w:ascii="Arial" w:cs="Arial" w:eastAsia="Arial" w:hAnsi="Arial"/>
                <w:sz w:val="20"/>
                <w:szCs w:val="20"/>
                <w:color w:val="auto"/>
              </w:rPr>
              <w:t>Location of Collateral</w:t>
            </w:r>
          </w:p>
        </w:tc>
        <w:tc>
          <w:tcPr>
            <w:tcW w:w="580" w:type="dxa"/>
            <w:vAlign w:val="bottom"/>
          </w:tcPr>
          <w:p>
            <w:pPr>
              <w:jc w:val="right"/>
              <w:spacing w:after="0"/>
              <w:rPr>
                <w:sz w:val="20"/>
                <w:szCs w:val="20"/>
                <w:color w:val="auto"/>
              </w:rPr>
            </w:pPr>
            <w:r>
              <w:rPr>
                <w:rFonts w:ascii="Arial" w:cs="Arial" w:eastAsia="Arial" w:hAnsi="Arial"/>
                <w:sz w:val="20"/>
                <w:szCs w:val="20"/>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69" w:name="page170"/>
    <w:bookmarkEnd w:id="169"/>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0" w:type="dxa"/>
            <w:vAlign w:val="bottom"/>
          </w:tcPr>
          <w:p>
            <w:pPr>
              <w:spacing w:after="0"/>
              <w:rPr>
                <w:sz w:val="21"/>
                <w:szCs w:val="21"/>
                <w:color w:val="auto"/>
              </w:rPr>
            </w:pPr>
          </w:p>
        </w:tc>
        <w:tc>
          <w:tcPr>
            <w:tcW w:w="8460" w:type="dxa"/>
            <w:vAlign w:val="bottom"/>
          </w:tcPr>
          <w:p>
            <w:pPr>
              <w:spacing w:after="0"/>
              <w:rPr>
                <w:sz w:val="21"/>
                <w:szCs w:val="21"/>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98"/>
              </w:rPr>
              <w:t>Page</w:t>
            </w:r>
          </w:p>
        </w:tc>
      </w:tr>
      <w:tr>
        <w:trPr>
          <w:trHeight w:val="341"/>
        </w:trPr>
        <w:tc>
          <w:tcPr>
            <w:tcW w:w="880" w:type="dxa"/>
            <w:vAlign w:val="bottom"/>
          </w:tcPr>
          <w:p>
            <w:pPr>
              <w:ind w:left="340"/>
              <w:spacing w:after="0"/>
              <w:rPr>
                <w:sz w:val="20"/>
                <w:szCs w:val="20"/>
                <w:color w:val="auto"/>
              </w:rPr>
            </w:pPr>
            <w:r>
              <w:rPr>
                <w:rFonts w:ascii="Arial" w:cs="Arial" w:eastAsia="Arial" w:hAnsi="Arial"/>
                <w:sz w:val="20"/>
                <w:szCs w:val="20"/>
                <w:color w:val="auto"/>
              </w:rPr>
              <w:t>5.15</w:t>
            </w:r>
          </w:p>
        </w:tc>
        <w:tc>
          <w:tcPr>
            <w:tcW w:w="8460" w:type="dxa"/>
            <w:vAlign w:val="bottom"/>
          </w:tcPr>
          <w:p>
            <w:pPr>
              <w:ind w:left="200"/>
              <w:spacing w:after="0"/>
              <w:rPr>
                <w:sz w:val="20"/>
                <w:szCs w:val="20"/>
                <w:color w:val="auto"/>
              </w:rPr>
            </w:pPr>
            <w:r>
              <w:rPr>
                <w:rFonts w:ascii="Arial" w:cs="Arial" w:eastAsia="Arial" w:hAnsi="Arial"/>
                <w:sz w:val="20"/>
                <w:szCs w:val="20"/>
                <w:color w:val="auto"/>
              </w:rPr>
              <w:t>Maintenance of Records</w:t>
            </w:r>
          </w:p>
        </w:tc>
        <w:tc>
          <w:tcPr>
            <w:tcW w:w="5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5.16</w:t>
            </w:r>
          </w:p>
        </w:tc>
        <w:tc>
          <w:tcPr>
            <w:tcW w:w="8460" w:type="dxa"/>
            <w:vAlign w:val="bottom"/>
          </w:tcPr>
          <w:p>
            <w:pPr>
              <w:ind w:left="200"/>
              <w:spacing w:after="0"/>
              <w:rPr>
                <w:sz w:val="20"/>
                <w:szCs w:val="20"/>
                <w:color w:val="auto"/>
              </w:rPr>
            </w:pPr>
            <w:r>
              <w:rPr>
                <w:rFonts w:ascii="Arial" w:cs="Arial" w:eastAsia="Arial" w:hAnsi="Arial"/>
                <w:sz w:val="20"/>
                <w:szCs w:val="20"/>
                <w:color w:val="auto"/>
              </w:rPr>
              <w:t>[Reserved].</w:t>
            </w:r>
          </w:p>
        </w:tc>
        <w:tc>
          <w:tcPr>
            <w:tcW w:w="5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5.17</w:t>
            </w:r>
          </w:p>
        </w:tc>
        <w:tc>
          <w:tcPr>
            <w:tcW w:w="8460" w:type="dxa"/>
            <w:vAlign w:val="bottom"/>
          </w:tcPr>
          <w:p>
            <w:pPr>
              <w:ind w:left="200"/>
              <w:spacing w:after="0"/>
              <w:rPr>
                <w:sz w:val="20"/>
                <w:szCs w:val="20"/>
                <w:color w:val="auto"/>
              </w:rPr>
            </w:pPr>
            <w:r>
              <w:rPr>
                <w:rFonts w:ascii="Arial" w:cs="Arial" w:eastAsia="Arial" w:hAnsi="Arial"/>
                <w:sz w:val="20"/>
                <w:szCs w:val="20"/>
                <w:color w:val="auto"/>
              </w:rPr>
              <w:t>[Reserved].</w:t>
            </w:r>
          </w:p>
        </w:tc>
        <w:tc>
          <w:tcPr>
            <w:tcW w:w="5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5.18</w:t>
            </w:r>
          </w:p>
        </w:tc>
        <w:tc>
          <w:tcPr>
            <w:tcW w:w="8460" w:type="dxa"/>
            <w:vAlign w:val="bottom"/>
          </w:tcPr>
          <w:p>
            <w:pPr>
              <w:ind w:left="200"/>
              <w:spacing w:after="0"/>
              <w:rPr>
                <w:sz w:val="20"/>
                <w:szCs w:val="20"/>
                <w:color w:val="auto"/>
              </w:rPr>
            </w:pPr>
            <w:r>
              <w:rPr>
                <w:rFonts w:ascii="Arial" w:cs="Arial" w:eastAsia="Arial" w:hAnsi="Arial"/>
                <w:sz w:val="20"/>
                <w:szCs w:val="20"/>
                <w:color w:val="auto"/>
              </w:rPr>
              <w:t>Expenses</w:t>
            </w:r>
          </w:p>
        </w:tc>
        <w:tc>
          <w:tcPr>
            <w:tcW w:w="5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5.19</w:t>
            </w:r>
          </w:p>
        </w:tc>
        <w:tc>
          <w:tcPr>
            <w:tcW w:w="8460" w:type="dxa"/>
            <w:vAlign w:val="bottom"/>
          </w:tcPr>
          <w:p>
            <w:pPr>
              <w:ind w:left="200"/>
              <w:spacing w:after="0"/>
              <w:rPr>
                <w:sz w:val="20"/>
                <w:szCs w:val="20"/>
                <w:color w:val="auto"/>
              </w:rPr>
            </w:pPr>
            <w:r>
              <w:rPr>
                <w:rFonts w:ascii="Arial" w:cs="Arial" w:eastAsia="Arial" w:hAnsi="Arial"/>
                <w:sz w:val="20"/>
                <w:szCs w:val="20"/>
                <w:color w:val="auto"/>
              </w:rPr>
              <w:t>[Reserved]</w:t>
            </w:r>
          </w:p>
        </w:tc>
        <w:tc>
          <w:tcPr>
            <w:tcW w:w="5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5.20</w:t>
            </w:r>
          </w:p>
        </w:tc>
        <w:tc>
          <w:tcPr>
            <w:tcW w:w="8460" w:type="dxa"/>
            <w:vAlign w:val="bottom"/>
          </w:tcPr>
          <w:p>
            <w:pPr>
              <w:ind w:left="200"/>
              <w:spacing w:after="0"/>
              <w:rPr>
                <w:sz w:val="20"/>
                <w:szCs w:val="20"/>
                <w:color w:val="auto"/>
              </w:rPr>
            </w:pPr>
            <w:r>
              <w:rPr>
                <w:rFonts w:ascii="Arial" w:cs="Arial" w:eastAsia="Arial" w:hAnsi="Arial"/>
                <w:sz w:val="20"/>
                <w:szCs w:val="20"/>
                <w:color w:val="auto"/>
              </w:rPr>
              <w:t>Chattel Paper</w:t>
            </w:r>
          </w:p>
        </w:tc>
        <w:tc>
          <w:tcPr>
            <w:tcW w:w="5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5.21</w:t>
            </w:r>
          </w:p>
        </w:tc>
        <w:tc>
          <w:tcPr>
            <w:tcW w:w="8460" w:type="dxa"/>
            <w:vAlign w:val="bottom"/>
          </w:tcPr>
          <w:p>
            <w:pPr>
              <w:ind w:left="200"/>
              <w:spacing w:after="0"/>
              <w:rPr>
                <w:sz w:val="20"/>
                <w:szCs w:val="20"/>
                <w:color w:val="auto"/>
              </w:rPr>
            </w:pPr>
            <w:r>
              <w:rPr>
                <w:rFonts w:ascii="Arial" w:cs="Arial" w:eastAsia="Arial" w:hAnsi="Arial"/>
                <w:sz w:val="20"/>
                <w:szCs w:val="20"/>
                <w:color w:val="auto"/>
              </w:rPr>
              <w:t>Commercial Tort Claims</w:t>
            </w:r>
          </w:p>
        </w:tc>
        <w:tc>
          <w:tcPr>
            <w:tcW w:w="5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5.22</w:t>
            </w:r>
          </w:p>
        </w:tc>
        <w:tc>
          <w:tcPr>
            <w:tcW w:w="8460" w:type="dxa"/>
            <w:vAlign w:val="bottom"/>
          </w:tcPr>
          <w:p>
            <w:pPr>
              <w:ind w:left="200"/>
              <w:spacing w:after="0"/>
              <w:rPr>
                <w:sz w:val="20"/>
                <w:szCs w:val="20"/>
                <w:color w:val="auto"/>
              </w:rPr>
            </w:pPr>
            <w:r>
              <w:rPr>
                <w:rFonts w:ascii="Arial" w:cs="Arial" w:eastAsia="Arial" w:hAnsi="Arial"/>
                <w:sz w:val="20"/>
                <w:szCs w:val="20"/>
                <w:color w:val="auto"/>
              </w:rPr>
              <w:t>Letter-of-Credit Rights</w:t>
            </w:r>
          </w:p>
        </w:tc>
        <w:tc>
          <w:tcPr>
            <w:tcW w:w="5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5.23</w:t>
            </w:r>
          </w:p>
        </w:tc>
        <w:tc>
          <w:tcPr>
            <w:tcW w:w="8460" w:type="dxa"/>
            <w:vAlign w:val="bottom"/>
          </w:tcPr>
          <w:p>
            <w:pPr>
              <w:ind w:left="200"/>
              <w:spacing w:after="0"/>
              <w:rPr>
                <w:sz w:val="20"/>
                <w:szCs w:val="20"/>
                <w:color w:val="auto"/>
              </w:rPr>
            </w:pPr>
            <w:r>
              <w:rPr>
                <w:rFonts w:ascii="Arial" w:cs="Arial" w:eastAsia="Arial" w:hAnsi="Arial"/>
                <w:sz w:val="20"/>
                <w:szCs w:val="20"/>
                <w:color w:val="auto"/>
              </w:rPr>
              <w:t>Shareholder Agreements and Other Agreements</w:t>
            </w:r>
          </w:p>
        </w:tc>
        <w:tc>
          <w:tcPr>
            <w:tcW w:w="5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50"/>
        </w:trPr>
        <w:tc>
          <w:tcPr>
            <w:tcW w:w="880" w:type="dxa"/>
            <w:vAlign w:val="bottom"/>
          </w:tcPr>
          <w:p>
            <w:pPr>
              <w:ind w:left="340"/>
              <w:spacing w:after="0"/>
              <w:rPr>
                <w:sz w:val="20"/>
                <w:szCs w:val="20"/>
                <w:color w:val="auto"/>
              </w:rPr>
            </w:pPr>
            <w:r>
              <w:rPr>
                <w:rFonts w:ascii="Arial" w:cs="Arial" w:eastAsia="Arial" w:hAnsi="Arial"/>
                <w:sz w:val="20"/>
                <w:szCs w:val="20"/>
                <w:color w:val="auto"/>
              </w:rPr>
              <w:t>5.24</w:t>
            </w:r>
          </w:p>
        </w:tc>
        <w:tc>
          <w:tcPr>
            <w:tcW w:w="8460" w:type="dxa"/>
            <w:vAlign w:val="bottom"/>
          </w:tcPr>
          <w:p>
            <w:pPr>
              <w:ind w:left="200"/>
              <w:spacing w:after="0"/>
              <w:rPr>
                <w:sz w:val="20"/>
                <w:szCs w:val="20"/>
                <w:color w:val="auto"/>
              </w:rPr>
            </w:pPr>
            <w:r>
              <w:rPr>
                <w:rFonts w:ascii="Arial" w:cs="Arial" w:eastAsia="Arial" w:hAnsi="Arial"/>
                <w:sz w:val="20"/>
                <w:szCs w:val="20"/>
                <w:color w:val="auto"/>
              </w:rPr>
              <w:t>Government Receivables</w:t>
            </w:r>
          </w:p>
        </w:tc>
        <w:tc>
          <w:tcPr>
            <w:tcW w:w="5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438"/>
        </w:trPr>
        <w:tc>
          <w:tcPr>
            <w:tcW w:w="9340" w:type="dxa"/>
            <w:vAlign w:val="bottom"/>
            <w:gridSpan w:val="2"/>
          </w:tcPr>
          <w:p>
            <w:pPr>
              <w:spacing w:after="0"/>
              <w:rPr>
                <w:sz w:val="20"/>
                <w:szCs w:val="20"/>
                <w:color w:val="auto"/>
              </w:rPr>
            </w:pPr>
            <w:r>
              <w:rPr>
                <w:rFonts w:ascii="Arial" w:cs="Arial" w:eastAsia="Arial" w:hAnsi="Arial"/>
                <w:sz w:val="20"/>
                <w:szCs w:val="20"/>
                <w:color w:val="auto"/>
              </w:rPr>
              <w:t>SECTION 6. REMEDIAL PROVISIONS</w:t>
            </w:r>
          </w:p>
        </w:tc>
        <w:tc>
          <w:tcPr>
            <w:tcW w:w="5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6.1</w:t>
            </w:r>
          </w:p>
        </w:tc>
        <w:tc>
          <w:tcPr>
            <w:tcW w:w="8460" w:type="dxa"/>
            <w:vAlign w:val="bottom"/>
          </w:tcPr>
          <w:p>
            <w:pPr>
              <w:ind w:left="200"/>
              <w:spacing w:after="0"/>
              <w:rPr>
                <w:sz w:val="20"/>
                <w:szCs w:val="20"/>
                <w:color w:val="auto"/>
              </w:rPr>
            </w:pPr>
            <w:r>
              <w:rPr>
                <w:rFonts w:ascii="Arial" w:cs="Arial" w:eastAsia="Arial" w:hAnsi="Arial"/>
                <w:sz w:val="20"/>
                <w:szCs w:val="20"/>
                <w:color w:val="auto"/>
              </w:rPr>
              <w:t>Certain Matters Relating to Receivables</w:t>
            </w:r>
          </w:p>
        </w:tc>
        <w:tc>
          <w:tcPr>
            <w:tcW w:w="5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6.2</w:t>
            </w:r>
          </w:p>
        </w:tc>
        <w:tc>
          <w:tcPr>
            <w:tcW w:w="8460" w:type="dxa"/>
            <w:vAlign w:val="bottom"/>
          </w:tcPr>
          <w:p>
            <w:pPr>
              <w:ind w:left="200"/>
              <w:spacing w:after="0"/>
              <w:rPr>
                <w:sz w:val="20"/>
                <w:szCs w:val="20"/>
                <w:color w:val="auto"/>
              </w:rPr>
            </w:pPr>
            <w:r>
              <w:rPr>
                <w:rFonts w:ascii="Arial" w:cs="Arial" w:eastAsia="Arial" w:hAnsi="Arial"/>
                <w:sz w:val="20"/>
                <w:szCs w:val="20"/>
                <w:color w:val="auto"/>
              </w:rPr>
              <w:t>Communications with Obligors; Grantors Remain Liable</w:t>
            </w:r>
          </w:p>
        </w:tc>
        <w:tc>
          <w:tcPr>
            <w:tcW w:w="5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6.3</w:t>
            </w:r>
          </w:p>
        </w:tc>
        <w:tc>
          <w:tcPr>
            <w:tcW w:w="8460" w:type="dxa"/>
            <w:vAlign w:val="bottom"/>
          </w:tcPr>
          <w:p>
            <w:pPr>
              <w:ind w:left="200"/>
              <w:spacing w:after="0"/>
              <w:rPr>
                <w:sz w:val="20"/>
                <w:szCs w:val="20"/>
                <w:color w:val="auto"/>
              </w:rPr>
            </w:pPr>
            <w:r>
              <w:rPr>
                <w:rFonts w:ascii="Arial" w:cs="Arial" w:eastAsia="Arial" w:hAnsi="Arial"/>
                <w:sz w:val="20"/>
                <w:szCs w:val="20"/>
                <w:color w:val="auto"/>
              </w:rPr>
              <w:t>Investment Property</w:t>
            </w:r>
          </w:p>
        </w:tc>
        <w:tc>
          <w:tcPr>
            <w:tcW w:w="5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6.4</w:t>
            </w:r>
          </w:p>
        </w:tc>
        <w:tc>
          <w:tcPr>
            <w:tcW w:w="8460" w:type="dxa"/>
            <w:vAlign w:val="bottom"/>
          </w:tcPr>
          <w:p>
            <w:pPr>
              <w:ind w:left="200"/>
              <w:spacing w:after="0"/>
              <w:rPr>
                <w:sz w:val="20"/>
                <w:szCs w:val="20"/>
                <w:color w:val="auto"/>
              </w:rPr>
            </w:pPr>
            <w:r>
              <w:rPr>
                <w:rFonts w:ascii="Arial" w:cs="Arial" w:eastAsia="Arial" w:hAnsi="Arial"/>
                <w:sz w:val="20"/>
                <w:szCs w:val="20"/>
                <w:color w:val="auto"/>
              </w:rPr>
              <w:t>Proceeds to be Turned Over To Administrative Agent</w:t>
            </w:r>
          </w:p>
        </w:tc>
        <w:tc>
          <w:tcPr>
            <w:tcW w:w="5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6.5</w:t>
            </w:r>
          </w:p>
        </w:tc>
        <w:tc>
          <w:tcPr>
            <w:tcW w:w="8460" w:type="dxa"/>
            <w:vAlign w:val="bottom"/>
          </w:tcPr>
          <w:p>
            <w:pPr>
              <w:ind w:left="200"/>
              <w:spacing w:after="0"/>
              <w:rPr>
                <w:sz w:val="20"/>
                <w:szCs w:val="20"/>
                <w:color w:val="auto"/>
              </w:rPr>
            </w:pPr>
            <w:r>
              <w:rPr>
                <w:rFonts w:ascii="Arial" w:cs="Arial" w:eastAsia="Arial" w:hAnsi="Arial"/>
                <w:sz w:val="20"/>
                <w:szCs w:val="20"/>
                <w:color w:val="auto"/>
              </w:rPr>
              <w:t>Application of Proceeds</w:t>
            </w:r>
          </w:p>
        </w:tc>
        <w:tc>
          <w:tcPr>
            <w:tcW w:w="5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6.6</w:t>
            </w:r>
          </w:p>
        </w:tc>
        <w:tc>
          <w:tcPr>
            <w:tcW w:w="8460" w:type="dxa"/>
            <w:vAlign w:val="bottom"/>
          </w:tcPr>
          <w:p>
            <w:pPr>
              <w:ind w:left="200"/>
              <w:spacing w:after="0"/>
              <w:rPr>
                <w:sz w:val="20"/>
                <w:szCs w:val="20"/>
                <w:color w:val="auto"/>
              </w:rPr>
            </w:pPr>
            <w:r>
              <w:rPr>
                <w:rFonts w:ascii="Arial" w:cs="Arial" w:eastAsia="Arial" w:hAnsi="Arial"/>
                <w:sz w:val="20"/>
                <w:szCs w:val="20"/>
                <w:color w:val="auto"/>
              </w:rPr>
              <w:t>Code and Other Remedies</w:t>
            </w:r>
          </w:p>
        </w:tc>
        <w:tc>
          <w:tcPr>
            <w:tcW w:w="5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6.7</w:t>
            </w:r>
          </w:p>
        </w:tc>
        <w:tc>
          <w:tcPr>
            <w:tcW w:w="8460" w:type="dxa"/>
            <w:vAlign w:val="bottom"/>
          </w:tcPr>
          <w:p>
            <w:pPr>
              <w:ind w:left="200"/>
              <w:spacing w:after="0"/>
              <w:rPr>
                <w:sz w:val="20"/>
                <w:szCs w:val="20"/>
                <w:color w:val="auto"/>
              </w:rPr>
            </w:pPr>
            <w:r>
              <w:rPr>
                <w:rFonts w:ascii="Arial" w:cs="Arial" w:eastAsia="Arial" w:hAnsi="Arial"/>
                <w:sz w:val="20"/>
                <w:szCs w:val="20"/>
                <w:color w:val="auto"/>
              </w:rPr>
              <w:t>Certain Matters Relating to “Evaluation Systems”</w:t>
            </w:r>
          </w:p>
        </w:tc>
        <w:tc>
          <w:tcPr>
            <w:tcW w:w="5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6.8</w:t>
            </w:r>
          </w:p>
        </w:tc>
        <w:tc>
          <w:tcPr>
            <w:tcW w:w="8460" w:type="dxa"/>
            <w:vAlign w:val="bottom"/>
          </w:tcPr>
          <w:p>
            <w:pPr>
              <w:ind w:left="200"/>
              <w:spacing w:after="0"/>
              <w:rPr>
                <w:sz w:val="20"/>
                <w:szCs w:val="20"/>
                <w:color w:val="auto"/>
              </w:rPr>
            </w:pPr>
            <w:r>
              <w:rPr>
                <w:rFonts w:ascii="Arial" w:cs="Arial" w:eastAsia="Arial" w:hAnsi="Arial"/>
                <w:sz w:val="20"/>
                <w:szCs w:val="20"/>
                <w:color w:val="auto"/>
              </w:rPr>
              <w:t>Intellectual Property License</w:t>
            </w:r>
          </w:p>
        </w:tc>
        <w:tc>
          <w:tcPr>
            <w:tcW w:w="5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50"/>
        </w:trPr>
        <w:tc>
          <w:tcPr>
            <w:tcW w:w="880" w:type="dxa"/>
            <w:vAlign w:val="bottom"/>
          </w:tcPr>
          <w:p>
            <w:pPr>
              <w:ind w:left="340"/>
              <w:spacing w:after="0"/>
              <w:rPr>
                <w:sz w:val="20"/>
                <w:szCs w:val="20"/>
                <w:color w:val="auto"/>
              </w:rPr>
            </w:pPr>
            <w:r>
              <w:rPr>
                <w:rFonts w:ascii="Arial" w:cs="Arial" w:eastAsia="Arial" w:hAnsi="Arial"/>
                <w:sz w:val="20"/>
                <w:szCs w:val="20"/>
                <w:color w:val="auto"/>
              </w:rPr>
              <w:t>6.9</w:t>
            </w:r>
          </w:p>
        </w:tc>
        <w:tc>
          <w:tcPr>
            <w:tcW w:w="8460" w:type="dxa"/>
            <w:vAlign w:val="bottom"/>
          </w:tcPr>
          <w:p>
            <w:pPr>
              <w:ind w:left="200"/>
              <w:spacing w:after="0"/>
              <w:rPr>
                <w:sz w:val="20"/>
                <w:szCs w:val="20"/>
                <w:color w:val="auto"/>
              </w:rPr>
            </w:pPr>
            <w:r>
              <w:rPr>
                <w:rFonts w:ascii="Arial" w:cs="Arial" w:eastAsia="Arial" w:hAnsi="Arial"/>
                <w:sz w:val="20"/>
                <w:szCs w:val="20"/>
                <w:color w:val="auto"/>
              </w:rPr>
              <w:t>Deficiency</w:t>
            </w:r>
          </w:p>
        </w:tc>
        <w:tc>
          <w:tcPr>
            <w:tcW w:w="58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438"/>
        </w:trPr>
        <w:tc>
          <w:tcPr>
            <w:tcW w:w="9340" w:type="dxa"/>
            <w:vAlign w:val="bottom"/>
            <w:gridSpan w:val="2"/>
          </w:tcPr>
          <w:p>
            <w:pPr>
              <w:spacing w:after="0"/>
              <w:rPr>
                <w:sz w:val="20"/>
                <w:szCs w:val="20"/>
                <w:color w:val="auto"/>
              </w:rPr>
            </w:pPr>
            <w:r>
              <w:rPr>
                <w:rFonts w:ascii="Arial" w:cs="Arial" w:eastAsia="Arial" w:hAnsi="Arial"/>
                <w:sz w:val="20"/>
                <w:szCs w:val="20"/>
                <w:color w:val="auto"/>
              </w:rPr>
              <w:t>SECTION 7. THE ADMINISTRATIVE AGENT</w:t>
            </w:r>
          </w:p>
        </w:tc>
        <w:tc>
          <w:tcPr>
            <w:tcW w:w="58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7.1</w:t>
            </w:r>
          </w:p>
        </w:tc>
        <w:tc>
          <w:tcPr>
            <w:tcW w:w="8460" w:type="dxa"/>
            <w:vAlign w:val="bottom"/>
          </w:tcPr>
          <w:p>
            <w:pPr>
              <w:ind w:left="200"/>
              <w:spacing w:after="0"/>
              <w:rPr>
                <w:sz w:val="20"/>
                <w:szCs w:val="20"/>
                <w:color w:val="auto"/>
              </w:rPr>
            </w:pPr>
            <w:r>
              <w:rPr>
                <w:rFonts w:ascii="Arial" w:cs="Arial" w:eastAsia="Arial" w:hAnsi="Arial"/>
                <w:sz w:val="20"/>
                <w:szCs w:val="20"/>
                <w:color w:val="auto"/>
              </w:rPr>
              <w:t>Administrative Agent’s Appointment as Attorney-in-Fact, etc.</w:t>
            </w:r>
          </w:p>
        </w:tc>
        <w:tc>
          <w:tcPr>
            <w:tcW w:w="58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7.2</w:t>
            </w:r>
          </w:p>
        </w:tc>
        <w:tc>
          <w:tcPr>
            <w:tcW w:w="8460" w:type="dxa"/>
            <w:vAlign w:val="bottom"/>
          </w:tcPr>
          <w:p>
            <w:pPr>
              <w:ind w:left="200"/>
              <w:spacing w:after="0"/>
              <w:rPr>
                <w:sz w:val="20"/>
                <w:szCs w:val="20"/>
                <w:color w:val="auto"/>
              </w:rPr>
            </w:pPr>
            <w:r>
              <w:rPr>
                <w:rFonts w:ascii="Arial" w:cs="Arial" w:eastAsia="Arial" w:hAnsi="Arial"/>
                <w:sz w:val="20"/>
                <w:szCs w:val="20"/>
                <w:color w:val="auto"/>
              </w:rPr>
              <w:t>Duty of Administrative Agent</w:t>
            </w:r>
          </w:p>
        </w:tc>
        <w:tc>
          <w:tcPr>
            <w:tcW w:w="5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50"/>
        </w:trPr>
        <w:tc>
          <w:tcPr>
            <w:tcW w:w="880" w:type="dxa"/>
            <w:vAlign w:val="bottom"/>
          </w:tcPr>
          <w:p>
            <w:pPr>
              <w:ind w:left="340"/>
              <w:spacing w:after="0"/>
              <w:rPr>
                <w:sz w:val="20"/>
                <w:szCs w:val="20"/>
                <w:color w:val="auto"/>
              </w:rPr>
            </w:pPr>
            <w:r>
              <w:rPr>
                <w:rFonts w:ascii="Arial" w:cs="Arial" w:eastAsia="Arial" w:hAnsi="Arial"/>
                <w:sz w:val="20"/>
                <w:szCs w:val="20"/>
                <w:color w:val="auto"/>
              </w:rPr>
              <w:t>7.3</w:t>
            </w:r>
          </w:p>
        </w:tc>
        <w:tc>
          <w:tcPr>
            <w:tcW w:w="8460" w:type="dxa"/>
            <w:vAlign w:val="bottom"/>
          </w:tcPr>
          <w:p>
            <w:pPr>
              <w:ind w:left="200"/>
              <w:spacing w:after="0"/>
              <w:rPr>
                <w:sz w:val="20"/>
                <w:szCs w:val="20"/>
                <w:color w:val="auto"/>
              </w:rPr>
            </w:pPr>
            <w:r>
              <w:rPr>
                <w:rFonts w:ascii="Arial" w:cs="Arial" w:eastAsia="Arial" w:hAnsi="Arial"/>
                <w:sz w:val="20"/>
                <w:szCs w:val="20"/>
                <w:color w:val="auto"/>
              </w:rPr>
              <w:t>Authority of Administrative Agent</w:t>
            </w:r>
          </w:p>
        </w:tc>
        <w:tc>
          <w:tcPr>
            <w:tcW w:w="5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438"/>
        </w:trPr>
        <w:tc>
          <w:tcPr>
            <w:tcW w:w="9340" w:type="dxa"/>
            <w:vAlign w:val="bottom"/>
            <w:gridSpan w:val="2"/>
          </w:tcPr>
          <w:p>
            <w:pPr>
              <w:spacing w:after="0"/>
              <w:rPr>
                <w:sz w:val="20"/>
                <w:szCs w:val="20"/>
                <w:color w:val="auto"/>
              </w:rPr>
            </w:pPr>
            <w:r>
              <w:rPr>
                <w:rFonts w:ascii="Arial" w:cs="Arial" w:eastAsia="Arial" w:hAnsi="Arial"/>
                <w:sz w:val="20"/>
                <w:szCs w:val="20"/>
                <w:color w:val="auto"/>
              </w:rPr>
              <w:t>SECTION 8. MISCELLANEOUS</w:t>
            </w:r>
          </w:p>
        </w:tc>
        <w:tc>
          <w:tcPr>
            <w:tcW w:w="5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8.1</w:t>
            </w:r>
          </w:p>
        </w:tc>
        <w:tc>
          <w:tcPr>
            <w:tcW w:w="8460" w:type="dxa"/>
            <w:vAlign w:val="bottom"/>
          </w:tcPr>
          <w:p>
            <w:pPr>
              <w:ind w:left="200"/>
              <w:spacing w:after="0"/>
              <w:rPr>
                <w:sz w:val="20"/>
                <w:szCs w:val="20"/>
                <w:color w:val="auto"/>
              </w:rPr>
            </w:pPr>
            <w:r>
              <w:rPr>
                <w:rFonts w:ascii="Arial" w:cs="Arial" w:eastAsia="Arial" w:hAnsi="Arial"/>
                <w:sz w:val="20"/>
                <w:szCs w:val="20"/>
                <w:color w:val="auto"/>
              </w:rPr>
              <w:t>Amendments in Writing</w:t>
            </w:r>
          </w:p>
        </w:tc>
        <w:tc>
          <w:tcPr>
            <w:tcW w:w="5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8.2</w:t>
            </w:r>
          </w:p>
        </w:tc>
        <w:tc>
          <w:tcPr>
            <w:tcW w:w="8460" w:type="dxa"/>
            <w:vAlign w:val="bottom"/>
          </w:tcPr>
          <w:p>
            <w:pPr>
              <w:ind w:left="200"/>
              <w:spacing w:after="0"/>
              <w:rPr>
                <w:sz w:val="20"/>
                <w:szCs w:val="20"/>
                <w:color w:val="auto"/>
              </w:rPr>
            </w:pPr>
            <w:r>
              <w:rPr>
                <w:rFonts w:ascii="Arial" w:cs="Arial" w:eastAsia="Arial" w:hAnsi="Arial"/>
                <w:sz w:val="20"/>
                <w:szCs w:val="20"/>
                <w:color w:val="auto"/>
              </w:rPr>
              <w:t>Notices</w:t>
            </w:r>
          </w:p>
        </w:tc>
        <w:tc>
          <w:tcPr>
            <w:tcW w:w="5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8.3</w:t>
            </w:r>
          </w:p>
        </w:tc>
        <w:tc>
          <w:tcPr>
            <w:tcW w:w="8460" w:type="dxa"/>
            <w:vAlign w:val="bottom"/>
          </w:tcPr>
          <w:p>
            <w:pPr>
              <w:ind w:left="200"/>
              <w:spacing w:after="0"/>
              <w:rPr>
                <w:sz w:val="20"/>
                <w:szCs w:val="20"/>
                <w:color w:val="auto"/>
              </w:rPr>
            </w:pPr>
            <w:r>
              <w:rPr>
                <w:rFonts w:ascii="Arial" w:cs="Arial" w:eastAsia="Arial" w:hAnsi="Arial"/>
                <w:sz w:val="20"/>
                <w:szCs w:val="20"/>
                <w:color w:val="auto"/>
              </w:rPr>
              <w:t>No Waiver by Course of Conduct; Cumulative Remedies</w:t>
            </w:r>
          </w:p>
        </w:tc>
        <w:tc>
          <w:tcPr>
            <w:tcW w:w="5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8.4</w:t>
            </w:r>
          </w:p>
        </w:tc>
        <w:tc>
          <w:tcPr>
            <w:tcW w:w="8460" w:type="dxa"/>
            <w:vAlign w:val="bottom"/>
          </w:tcPr>
          <w:p>
            <w:pPr>
              <w:ind w:left="200"/>
              <w:spacing w:after="0"/>
              <w:rPr>
                <w:sz w:val="20"/>
                <w:szCs w:val="20"/>
                <w:color w:val="auto"/>
              </w:rPr>
            </w:pPr>
            <w:r>
              <w:rPr>
                <w:rFonts w:ascii="Arial" w:cs="Arial" w:eastAsia="Arial" w:hAnsi="Arial"/>
                <w:sz w:val="20"/>
                <w:szCs w:val="20"/>
                <w:color w:val="auto"/>
              </w:rPr>
              <w:t>Enforcement Expenses; Indemnification.</w:t>
            </w:r>
          </w:p>
        </w:tc>
        <w:tc>
          <w:tcPr>
            <w:tcW w:w="5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8.5</w:t>
            </w:r>
          </w:p>
        </w:tc>
        <w:tc>
          <w:tcPr>
            <w:tcW w:w="8460" w:type="dxa"/>
            <w:vAlign w:val="bottom"/>
          </w:tcPr>
          <w:p>
            <w:pPr>
              <w:ind w:left="200"/>
              <w:spacing w:after="0"/>
              <w:rPr>
                <w:sz w:val="20"/>
                <w:szCs w:val="20"/>
                <w:color w:val="auto"/>
              </w:rPr>
            </w:pPr>
            <w:r>
              <w:rPr>
                <w:rFonts w:ascii="Arial" w:cs="Arial" w:eastAsia="Arial" w:hAnsi="Arial"/>
                <w:sz w:val="20"/>
                <w:szCs w:val="20"/>
                <w:color w:val="auto"/>
              </w:rPr>
              <w:t>Successors and Assigns</w:t>
            </w:r>
          </w:p>
        </w:tc>
        <w:tc>
          <w:tcPr>
            <w:tcW w:w="5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8.6</w:t>
            </w:r>
          </w:p>
        </w:tc>
        <w:tc>
          <w:tcPr>
            <w:tcW w:w="8460" w:type="dxa"/>
            <w:vAlign w:val="bottom"/>
          </w:tcPr>
          <w:p>
            <w:pPr>
              <w:ind w:left="200"/>
              <w:spacing w:after="0"/>
              <w:rPr>
                <w:sz w:val="20"/>
                <w:szCs w:val="20"/>
                <w:color w:val="auto"/>
              </w:rPr>
            </w:pPr>
            <w:r>
              <w:rPr>
                <w:rFonts w:ascii="Arial" w:cs="Arial" w:eastAsia="Arial" w:hAnsi="Arial"/>
                <w:sz w:val="20"/>
                <w:szCs w:val="20"/>
                <w:color w:val="auto"/>
              </w:rPr>
              <w:t>Set Off</w:t>
            </w:r>
          </w:p>
        </w:tc>
        <w:tc>
          <w:tcPr>
            <w:tcW w:w="5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8.7</w:t>
            </w:r>
          </w:p>
        </w:tc>
        <w:tc>
          <w:tcPr>
            <w:tcW w:w="8460" w:type="dxa"/>
            <w:vAlign w:val="bottom"/>
          </w:tcPr>
          <w:p>
            <w:pPr>
              <w:ind w:left="200"/>
              <w:spacing w:after="0"/>
              <w:rPr>
                <w:sz w:val="20"/>
                <w:szCs w:val="20"/>
                <w:color w:val="auto"/>
              </w:rPr>
            </w:pPr>
            <w:r>
              <w:rPr>
                <w:rFonts w:ascii="Arial" w:cs="Arial" w:eastAsia="Arial" w:hAnsi="Arial"/>
                <w:sz w:val="20"/>
                <w:szCs w:val="20"/>
                <w:color w:val="auto"/>
              </w:rPr>
              <w:t>Counterparts</w:t>
            </w:r>
          </w:p>
        </w:tc>
        <w:tc>
          <w:tcPr>
            <w:tcW w:w="5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8.8</w:t>
            </w:r>
          </w:p>
        </w:tc>
        <w:tc>
          <w:tcPr>
            <w:tcW w:w="8460" w:type="dxa"/>
            <w:vAlign w:val="bottom"/>
          </w:tcPr>
          <w:p>
            <w:pPr>
              <w:ind w:left="200"/>
              <w:spacing w:after="0"/>
              <w:rPr>
                <w:sz w:val="20"/>
                <w:szCs w:val="20"/>
                <w:color w:val="auto"/>
              </w:rPr>
            </w:pPr>
            <w:r>
              <w:rPr>
                <w:rFonts w:ascii="Arial" w:cs="Arial" w:eastAsia="Arial" w:hAnsi="Arial"/>
                <w:sz w:val="20"/>
                <w:szCs w:val="20"/>
                <w:color w:val="auto"/>
              </w:rPr>
              <w:t>Severability</w:t>
            </w:r>
          </w:p>
        </w:tc>
        <w:tc>
          <w:tcPr>
            <w:tcW w:w="5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8.9</w:t>
            </w:r>
          </w:p>
        </w:tc>
        <w:tc>
          <w:tcPr>
            <w:tcW w:w="8460" w:type="dxa"/>
            <w:vAlign w:val="bottom"/>
          </w:tcPr>
          <w:p>
            <w:pPr>
              <w:ind w:left="200"/>
              <w:spacing w:after="0"/>
              <w:rPr>
                <w:sz w:val="20"/>
                <w:szCs w:val="20"/>
                <w:color w:val="auto"/>
              </w:rPr>
            </w:pPr>
            <w:r>
              <w:rPr>
                <w:rFonts w:ascii="Arial" w:cs="Arial" w:eastAsia="Arial" w:hAnsi="Arial"/>
                <w:sz w:val="20"/>
                <w:szCs w:val="20"/>
                <w:color w:val="auto"/>
              </w:rPr>
              <w:t>Section Headings</w:t>
            </w:r>
          </w:p>
        </w:tc>
        <w:tc>
          <w:tcPr>
            <w:tcW w:w="5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23"/>
        </w:trPr>
        <w:tc>
          <w:tcPr>
            <w:tcW w:w="880" w:type="dxa"/>
            <w:vAlign w:val="bottom"/>
          </w:tcPr>
          <w:p>
            <w:pPr>
              <w:ind w:left="340"/>
              <w:spacing w:after="0" w:line="224" w:lineRule="exact"/>
              <w:rPr>
                <w:sz w:val="20"/>
                <w:szCs w:val="20"/>
                <w:color w:val="auto"/>
              </w:rPr>
            </w:pPr>
            <w:r>
              <w:rPr>
                <w:rFonts w:ascii="Arial" w:cs="Arial" w:eastAsia="Arial" w:hAnsi="Arial"/>
                <w:sz w:val="20"/>
                <w:szCs w:val="20"/>
                <w:color w:val="auto"/>
              </w:rPr>
              <w:t>8.10</w:t>
            </w:r>
          </w:p>
        </w:tc>
        <w:tc>
          <w:tcPr>
            <w:tcW w:w="8460" w:type="dxa"/>
            <w:vAlign w:val="bottom"/>
          </w:tcPr>
          <w:p>
            <w:pPr>
              <w:ind w:left="200"/>
              <w:spacing w:after="0" w:line="224" w:lineRule="exact"/>
              <w:rPr>
                <w:sz w:val="20"/>
                <w:szCs w:val="20"/>
                <w:color w:val="auto"/>
              </w:rPr>
            </w:pPr>
            <w:r>
              <w:rPr>
                <w:rFonts w:ascii="Arial" w:cs="Arial" w:eastAsia="Arial" w:hAnsi="Arial"/>
                <w:sz w:val="20"/>
                <w:szCs w:val="20"/>
                <w:color w:val="auto"/>
              </w:rPr>
              <w:t>Integration</w:t>
            </w:r>
          </w:p>
        </w:tc>
        <w:tc>
          <w:tcPr>
            <w:tcW w:w="580" w:type="dxa"/>
            <w:vAlign w:val="bottom"/>
          </w:tcPr>
          <w:p>
            <w:pPr>
              <w:jc w:val="right"/>
              <w:spacing w:after="0" w:line="224" w:lineRule="exact"/>
              <w:rPr>
                <w:sz w:val="20"/>
                <w:szCs w:val="20"/>
                <w:color w:val="auto"/>
              </w:rPr>
            </w:pPr>
            <w:r>
              <w:rPr>
                <w:rFonts w:ascii="Arial" w:cs="Arial" w:eastAsia="Arial" w:hAnsi="Arial"/>
                <w:sz w:val="20"/>
                <w:szCs w:val="20"/>
                <w:color w:val="auto"/>
              </w:rPr>
              <w:t>29</w:t>
            </w:r>
          </w:p>
        </w:tc>
      </w:tr>
      <w:tr>
        <w:trPr>
          <w:trHeight w:val="236"/>
        </w:trPr>
        <w:tc>
          <w:tcPr>
            <w:tcW w:w="880" w:type="dxa"/>
            <w:vAlign w:val="bottom"/>
          </w:tcPr>
          <w:p>
            <w:pPr>
              <w:ind w:left="340"/>
              <w:spacing w:after="0"/>
              <w:rPr>
                <w:sz w:val="20"/>
                <w:szCs w:val="20"/>
                <w:color w:val="auto"/>
              </w:rPr>
            </w:pPr>
            <w:r>
              <w:rPr>
                <w:rFonts w:ascii="Arial" w:cs="Arial" w:eastAsia="Arial" w:hAnsi="Arial"/>
                <w:sz w:val="20"/>
                <w:szCs w:val="20"/>
                <w:color w:val="auto"/>
              </w:rPr>
              <w:t>8.11</w:t>
            </w:r>
          </w:p>
        </w:tc>
        <w:tc>
          <w:tcPr>
            <w:tcW w:w="8460" w:type="dxa"/>
            <w:vAlign w:val="bottom"/>
          </w:tcPr>
          <w:p>
            <w:pPr>
              <w:ind w:left="200"/>
              <w:spacing w:after="0"/>
              <w:rPr>
                <w:sz w:val="20"/>
                <w:szCs w:val="20"/>
                <w:color w:val="auto"/>
              </w:rPr>
            </w:pPr>
            <w:r>
              <w:rPr>
                <w:rFonts w:ascii="Arial" w:cs="Arial" w:eastAsia="Arial" w:hAnsi="Arial"/>
                <w:sz w:val="20"/>
                <w:szCs w:val="20"/>
                <w:b w:val="1"/>
                <w:bCs w:val="1"/>
                <w:color w:val="auto"/>
              </w:rPr>
              <w:t>GOVERNING LAW</w:t>
            </w:r>
          </w:p>
        </w:tc>
        <w:tc>
          <w:tcPr>
            <w:tcW w:w="5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8.12</w:t>
            </w:r>
          </w:p>
        </w:tc>
        <w:tc>
          <w:tcPr>
            <w:tcW w:w="8460" w:type="dxa"/>
            <w:vAlign w:val="bottom"/>
          </w:tcPr>
          <w:p>
            <w:pPr>
              <w:ind w:left="200"/>
              <w:spacing w:after="0"/>
              <w:rPr>
                <w:sz w:val="20"/>
                <w:szCs w:val="20"/>
                <w:color w:val="auto"/>
              </w:rPr>
            </w:pPr>
            <w:r>
              <w:rPr>
                <w:rFonts w:ascii="Arial" w:cs="Arial" w:eastAsia="Arial" w:hAnsi="Arial"/>
                <w:sz w:val="20"/>
                <w:szCs w:val="20"/>
                <w:color w:val="auto"/>
              </w:rPr>
              <w:t>Submission to Jurisdiction; Waivers</w:t>
            </w:r>
          </w:p>
        </w:tc>
        <w:tc>
          <w:tcPr>
            <w:tcW w:w="5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880" w:type="dxa"/>
            <w:vAlign w:val="bottom"/>
          </w:tcPr>
          <w:p>
            <w:pPr>
              <w:ind w:left="340"/>
              <w:spacing w:after="0"/>
              <w:rPr>
                <w:sz w:val="20"/>
                <w:szCs w:val="20"/>
                <w:color w:val="auto"/>
              </w:rPr>
            </w:pPr>
            <w:r>
              <w:rPr>
                <w:rFonts w:ascii="Arial" w:cs="Arial" w:eastAsia="Arial" w:hAnsi="Arial"/>
                <w:sz w:val="20"/>
                <w:szCs w:val="20"/>
                <w:color w:val="auto"/>
              </w:rPr>
              <w:t>8.13</w:t>
            </w:r>
          </w:p>
        </w:tc>
        <w:tc>
          <w:tcPr>
            <w:tcW w:w="8460" w:type="dxa"/>
            <w:vAlign w:val="bottom"/>
          </w:tcPr>
          <w:p>
            <w:pPr>
              <w:ind w:left="200"/>
              <w:spacing w:after="0"/>
              <w:rPr>
                <w:sz w:val="20"/>
                <w:szCs w:val="20"/>
                <w:color w:val="auto"/>
              </w:rPr>
            </w:pPr>
            <w:r>
              <w:rPr>
                <w:rFonts w:ascii="Arial" w:cs="Arial" w:eastAsia="Arial" w:hAnsi="Arial"/>
                <w:sz w:val="20"/>
                <w:szCs w:val="20"/>
                <w:color w:val="auto"/>
              </w:rPr>
              <w:t>Acknowledgements</w:t>
            </w:r>
          </w:p>
        </w:tc>
        <w:tc>
          <w:tcPr>
            <w:tcW w:w="5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29"/>
        </w:trPr>
        <w:tc>
          <w:tcPr>
            <w:tcW w:w="880" w:type="dxa"/>
            <w:vAlign w:val="bottom"/>
          </w:tcPr>
          <w:p>
            <w:pPr>
              <w:ind w:left="340"/>
              <w:spacing w:after="0"/>
              <w:rPr>
                <w:sz w:val="20"/>
                <w:szCs w:val="20"/>
                <w:color w:val="auto"/>
              </w:rPr>
            </w:pPr>
            <w:r>
              <w:rPr>
                <w:rFonts w:ascii="Arial" w:cs="Arial" w:eastAsia="Arial" w:hAnsi="Arial"/>
                <w:sz w:val="20"/>
                <w:szCs w:val="20"/>
                <w:color w:val="auto"/>
              </w:rPr>
              <w:t>8.14</w:t>
            </w:r>
          </w:p>
        </w:tc>
        <w:tc>
          <w:tcPr>
            <w:tcW w:w="8460" w:type="dxa"/>
            <w:vAlign w:val="bottom"/>
          </w:tcPr>
          <w:p>
            <w:pPr>
              <w:ind w:left="200"/>
              <w:spacing w:after="0"/>
              <w:rPr>
                <w:sz w:val="20"/>
                <w:szCs w:val="20"/>
                <w:color w:val="auto"/>
              </w:rPr>
            </w:pPr>
            <w:r>
              <w:rPr>
                <w:rFonts w:ascii="Arial" w:cs="Arial" w:eastAsia="Arial" w:hAnsi="Arial"/>
                <w:sz w:val="20"/>
                <w:szCs w:val="20"/>
                <w:color w:val="auto"/>
              </w:rPr>
              <w:t>Additional Grantors</w:t>
            </w:r>
          </w:p>
        </w:tc>
        <w:tc>
          <w:tcPr>
            <w:tcW w:w="5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23"/>
        </w:trPr>
        <w:tc>
          <w:tcPr>
            <w:tcW w:w="880" w:type="dxa"/>
            <w:vAlign w:val="bottom"/>
          </w:tcPr>
          <w:p>
            <w:pPr>
              <w:ind w:left="340"/>
              <w:spacing w:after="0" w:line="224" w:lineRule="exact"/>
              <w:rPr>
                <w:sz w:val="20"/>
                <w:szCs w:val="20"/>
                <w:color w:val="auto"/>
              </w:rPr>
            </w:pPr>
            <w:r>
              <w:rPr>
                <w:rFonts w:ascii="Arial" w:cs="Arial" w:eastAsia="Arial" w:hAnsi="Arial"/>
                <w:sz w:val="20"/>
                <w:szCs w:val="20"/>
                <w:color w:val="auto"/>
              </w:rPr>
              <w:t>8.15</w:t>
            </w:r>
          </w:p>
        </w:tc>
        <w:tc>
          <w:tcPr>
            <w:tcW w:w="8460" w:type="dxa"/>
            <w:vAlign w:val="bottom"/>
          </w:tcPr>
          <w:p>
            <w:pPr>
              <w:ind w:left="200"/>
              <w:spacing w:after="0" w:line="224" w:lineRule="exact"/>
              <w:rPr>
                <w:sz w:val="20"/>
                <w:szCs w:val="20"/>
                <w:color w:val="auto"/>
              </w:rPr>
            </w:pPr>
            <w:r>
              <w:rPr>
                <w:rFonts w:ascii="Arial" w:cs="Arial" w:eastAsia="Arial" w:hAnsi="Arial"/>
                <w:sz w:val="20"/>
                <w:szCs w:val="20"/>
                <w:color w:val="auto"/>
              </w:rPr>
              <w:t>Releases.</w:t>
            </w:r>
          </w:p>
        </w:tc>
        <w:tc>
          <w:tcPr>
            <w:tcW w:w="580" w:type="dxa"/>
            <w:vAlign w:val="bottom"/>
          </w:tcPr>
          <w:p>
            <w:pPr>
              <w:jc w:val="right"/>
              <w:spacing w:after="0" w:line="224" w:lineRule="exact"/>
              <w:rPr>
                <w:sz w:val="20"/>
                <w:szCs w:val="20"/>
                <w:color w:val="auto"/>
              </w:rPr>
            </w:pPr>
            <w:r>
              <w:rPr>
                <w:rFonts w:ascii="Arial" w:cs="Arial" w:eastAsia="Arial" w:hAnsi="Arial"/>
                <w:sz w:val="20"/>
                <w:szCs w:val="20"/>
                <w:color w:val="auto"/>
              </w:rPr>
              <w:t>30</w:t>
            </w:r>
          </w:p>
        </w:tc>
      </w:tr>
      <w:tr>
        <w:trPr>
          <w:trHeight w:val="236"/>
        </w:trPr>
        <w:tc>
          <w:tcPr>
            <w:tcW w:w="880" w:type="dxa"/>
            <w:vAlign w:val="bottom"/>
          </w:tcPr>
          <w:p>
            <w:pPr>
              <w:ind w:left="340"/>
              <w:spacing w:after="0"/>
              <w:rPr>
                <w:sz w:val="20"/>
                <w:szCs w:val="20"/>
                <w:color w:val="auto"/>
              </w:rPr>
            </w:pPr>
            <w:r>
              <w:rPr>
                <w:rFonts w:ascii="Arial" w:cs="Arial" w:eastAsia="Arial" w:hAnsi="Arial"/>
                <w:sz w:val="20"/>
                <w:szCs w:val="20"/>
                <w:color w:val="auto"/>
              </w:rPr>
              <w:t>8.16</w:t>
            </w:r>
          </w:p>
        </w:tc>
        <w:tc>
          <w:tcPr>
            <w:tcW w:w="8460" w:type="dxa"/>
            <w:vAlign w:val="bottom"/>
          </w:tcPr>
          <w:p>
            <w:pPr>
              <w:ind w:left="200"/>
              <w:spacing w:after="0"/>
              <w:rPr>
                <w:sz w:val="20"/>
                <w:szCs w:val="20"/>
                <w:color w:val="auto"/>
              </w:rPr>
            </w:pPr>
            <w:r>
              <w:rPr>
                <w:rFonts w:ascii="Arial" w:cs="Arial" w:eastAsia="Arial" w:hAnsi="Arial"/>
                <w:sz w:val="20"/>
                <w:szCs w:val="20"/>
                <w:b w:val="1"/>
                <w:bCs w:val="1"/>
                <w:color w:val="auto"/>
              </w:rPr>
              <w:t>WAIVER OF JURY TRIAL</w:t>
            </w:r>
          </w:p>
        </w:tc>
        <w:tc>
          <w:tcPr>
            <w:tcW w:w="5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50"/>
        </w:trPr>
        <w:tc>
          <w:tcPr>
            <w:tcW w:w="880" w:type="dxa"/>
            <w:vAlign w:val="bottom"/>
          </w:tcPr>
          <w:p>
            <w:pPr>
              <w:ind w:left="340"/>
              <w:spacing w:after="0"/>
              <w:rPr>
                <w:sz w:val="20"/>
                <w:szCs w:val="20"/>
                <w:color w:val="auto"/>
              </w:rPr>
            </w:pPr>
            <w:r>
              <w:rPr>
                <w:rFonts w:ascii="Arial" w:cs="Arial" w:eastAsia="Arial" w:hAnsi="Arial"/>
                <w:sz w:val="20"/>
                <w:szCs w:val="20"/>
                <w:color w:val="auto"/>
              </w:rPr>
              <w:t>8.17</w:t>
            </w:r>
          </w:p>
        </w:tc>
        <w:tc>
          <w:tcPr>
            <w:tcW w:w="8460" w:type="dxa"/>
            <w:vAlign w:val="bottom"/>
          </w:tcPr>
          <w:p>
            <w:pPr>
              <w:ind w:left="200"/>
              <w:spacing w:after="0"/>
              <w:rPr>
                <w:sz w:val="20"/>
                <w:szCs w:val="20"/>
                <w:color w:val="auto"/>
              </w:rPr>
            </w:pPr>
            <w:r>
              <w:rPr>
                <w:rFonts w:ascii="Arial" w:cs="Arial" w:eastAsia="Arial" w:hAnsi="Arial"/>
                <w:sz w:val="20"/>
                <w:szCs w:val="20"/>
                <w:color w:val="auto"/>
              </w:rPr>
              <w:t>Patriot Act</w:t>
            </w:r>
          </w:p>
        </w:tc>
        <w:tc>
          <w:tcPr>
            <w:tcW w:w="580" w:type="dxa"/>
            <w:vAlign w:val="bottom"/>
          </w:tcPr>
          <w:p>
            <w:pPr>
              <w:jc w:val="right"/>
              <w:spacing w:after="0"/>
              <w:rPr>
                <w:sz w:val="20"/>
                <w:szCs w:val="20"/>
                <w:color w:val="auto"/>
              </w:rPr>
            </w:pPr>
            <w:r>
              <w:rPr>
                <w:rFonts w:ascii="Arial" w:cs="Arial" w:eastAsia="Arial" w:hAnsi="Arial"/>
                <w:sz w:val="20"/>
                <w:szCs w:val="20"/>
                <w:color w:val="auto"/>
              </w:rPr>
              <w:t>31</w:t>
            </w:r>
          </w:p>
        </w:tc>
      </w:tr>
    </w:tbl>
    <w:p>
      <w:pPr>
        <w:spacing w:after="0" w:line="200" w:lineRule="exact"/>
        <w:rPr>
          <w:sz w:val="20"/>
          <w:szCs w:val="20"/>
          <w:color w:val="auto"/>
        </w:rPr>
      </w:pPr>
    </w:p>
    <w:p>
      <w:pPr>
        <w:sectPr>
          <w:pgSz w:w="11900" w:h="16838" w:orient="portrait"/>
          <w:cols w:equalWidth="0" w:num="1">
            <w:col w:w="9920"/>
          </w:cols>
          <w:pgMar w:left="980" w:top="65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type w:val="continuous"/>
        </w:sectPr>
      </w:pPr>
    </w:p>
    <w:bookmarkStart w:id="170" w:name="page171"/>
    <w:bookmarkEnd w:id="170"/>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19"/>
                <w:szCs w:val="19"/>
                <w:color w:val="auto"/>
              </w:rPr>
            </w:pPr>
          </w:p>
        </w:tc>
        <w:tc>
          <w:tcPr>
            <w:tcW w:w="8600" w:type="dxa"/>
            <w:vAlign w:val="bottom"/>
          </w:tcPr>
          <w:p>
            <w:pPr>
              <w:jc w:val="center"/>
              <w:ind w:right="1221"/>
              <w:spacing w:after="0"/>
              <w:rPr>
                <w:sz w:val="20"/>
                <w:szCs w:val="20"/>
                <w:color w:val="auto"/>
              </w:rPr>
            </w:pPr>
            <w:r>
              <w:rPr>
                <w:rFonts w:ascii="Arial" w:cs="Arial" w:eastAsia="Arial" w:hAnsi="Arial"/>
                <w:sz w:val="20"/>
                <w:szCs w:val="20"/>
                <w:b w:val="1"/>
                <w:bCs w:val="1"/>
                <w:color w:val="auto"/>
                <w:w w:val="98"/>
              </w:rPr>
              <w:t>TABLE OF CONTENTS</w:t>
            </w:r>
          </w:p>
        </w:tc>
      </w:tr>
      <w:tr>
        <w:trPr>
          <w:trHeight w:val="256"/>
        </w:trPr>
        <w:tc>
          <w:tcPr>
            <w:tcW w:w="1320" w:type="dxa"/>
            <w:vAlign w:val="bottom"/>
          </w:tcPr>
          <w:p>
            <w:pPr>
              <w:spacing w:after="0"/>
              <w:rPr>
                <w:sz w:val="22"/>
                <w:szCs w:val="22"/>
                <w:color w:val="auto"/>
              </w:rPr>
            </w:pPr>
          </w:p>
        </w:tc>
        <w:tc>
          <w:tcPr>
            <w:tcW w:w="8600" w:type="dxa"/>
            <w:vAlign w:val="bottom"/>
          </w:tcPr>
          <w:p>
            <w:pPr>
              <w:jc w:val="center"/>
              <w:ind w:right="1221"/>
              <w:spacing w:after="0"/>
              <w:rPr>
                <w:sz w:val="20"/>
                <w:szCs w:val="20"/>
                <w:color w:val="auto"/>
              </w:rPr>
            </w:pPr>
            <w:r>
              <w:rPr>
                <w:rFonts w:ascii="Arial" w:cs="Arial" w:eastAsia="Arial" w:hAnsi="Arial"/>
                <w:sz w:val="20"/>
                <w:szCs w:val="20"/>
                <w:b w:val="1"/>
                <w:bCs w:val="1"/>
                <w:color w:val="auto"/>
                <w:w w:val="88"/>
              </w:rPr>
              <w:t>(continued)</w:t>
            </w:r>
          </w:p>
        </w:tc>
      </w:tr>
      <w:tr>
        <w:trPr>
          <w:trHeight w:val="999"/>
        </w:trPr>
        <w:tc>
          <w:tcPr>
            <w:tcW w:w="1320" w:type="dxa"/>
            <w:vAlign w:val="bottom"/>
          </w:tcPr>
          <w:p>
            <w:pPr>
              <w:spacing w:after="0"/>
              <w:rPr>
                <w:sz w:val="20"/>
                <w:szCs w:val="20"/>
                <w:color w:val="auto"/>
              </w:rPr>
            </w:pPr>
            <w:r>
              <w:rPr>
                <w:rFonts w:ascii="Arial" w:cs="Arial" w:eastAsia="Arial" w:hAnsi="Arial"/>
                <w:sz w:val="20"/>
                <w:szCs w:val="20"/>
                <w:color w:val="auto"/>
              </w:rPr>
              <w:t>SCHEDULES</w:t>
            </w:r>
          </w:p>
        </w:tc>
        <w:tc>
          <w:tcPr>
            <w:tcW w:w="8600" w:type="dxa"/>
            <w:vAlign w:val="bottom"/>
          </w:tcPr>
          <w:p>
            <w:pPr>
              <w:spacing w:after="0"/>
              <w:rPr>
                <w:sz w:val="24"/>
                <w:szCs w:val="24"/>
                <w:color w:val="auto"/>
              </w:rPr>
            </w:pPr>
          </w:p>
        </w:tc>
      </w:tr>
      <w:tr>
        <w:trPr>
          <w:trHeight w:val="425"/>
        </w:trPr>
        <w:tc>
          <w:tcPr>
            <w:tcW w:w="1320" w:type="dxa"/>
            <w:vAlign w:val="bottom"/>
          </w:tcPr>
          <w:p>
            <w:pPr>
              <w:spacing w:after="0"/>
              <w:rPr>
                <w:sz w:val="20"/>
                <w:szCs w:val="20"/>
                <w:color w:val="auto"/>
              </w:rPr>
            </w:pPr>
            <w:r>
              <w:rPr>
                <w:rFonts w:ascii="Arial" w:cs="Arial" w:eastAsia="Arial" w:hAnsi="Arial"/>
                <w:sz w:val="20"/>
                <w:szCs w:val="20"/>
                <w:color w:val="auto"/>
              </w:rPr>
              <w:t>Schedule 1</w:t>
            </w:r>
          </w:p>
        </w:tc>
        <w:tc>
          <w:tcPr>
            <w:tcW w:w="8600" w:type="dxa"/>
            <w:vAlign w:val="bottom"/>
          </w:tcPr>
          <w:p>
            <w:pPr>
              <w:ind w:left="180"/>
              <w:spacing w:after="0"/>
              <w:rPr>
                <w:sz w:val="20"/>
                <w:szCs w:val="20"/>
                <w:color w:val="auto"/>
              </w:rPr>
            </w:pPr>
            <w:r>
              <w:rPr>
                <w:rFonts w:ascii="Arial" w:cs="Arial" w:eastAsia="Arial" w:hAnsi="Arial"/>
                <w:sz w:val="20"/>
                <w:szCs w:val="20"/>
                <w:color w:val="auto"/>
              </w:rPr>
              <w:t>[Reserved]</w:t>
            </w:r>
          </w:p>
        </w:tc>
      </w:tr>
      <w:tr>
        <w:trPr>
          <w:trHeight w:val="230"/>
        </w:trPr>
        <w:tc>
          <w:tcPr>
            <w:tcW w:w="1320" w:type="dxa"/>
            <w:vAlign w:val="bottom"/>
          </w:tcPr>
          <w:p>
            <w:pPr>
              <w:spacing w:after="0"/>
              <w:rPr>
                <w:sz w:val="20"/>
                <w:szCs w:val="20"/>
                <w:color w:val="auto"/>
              </w:rPr>
            </w:pPr>
            <w:r>
              <w:rPr>
                <w:rFonts w:ascii="Arial" w:cs="Arial" w:eastAsia="Arial" w:hAnsi="Arial"/>
                <w:sz w:val="20"/>
                <w:szCs w:val="20"/>
                <w:color w:val="auto"/>
              </w:rPr>
              <w:t>Schedule 2</w:t>
            </w:r>
          </w:p>
        </w:tc>
        <w:tc>
          <w:tcPr>
            <w:tcW w:w="8600" w:type="dxa"/>
            <w:vAlign w:val="bottom"/>
          </w:tcPr>
          <w:p>
            <w:pPr>
              <w:ind w:left="180"/>
              <w:spacing w:after="0"/>
              <w:rPr>
                <w:sz w:val="20"/>
                <w:szCs w:val="20"/>
                <w:color w:val="auto"/>
              </w:rPr>
            </w:pPr>
            <w:r>
              <w:rPr>
                <w:rFonts w:ascii="Arial" w:cs="Arial" w:eastAsia="Arial" w:hAnsi="Arial"/>
                <w:sz w:val="20"/>
                <w:szCs w:val="20"/>
                <w:color w:val="auto"/>
              </w:rPr>
              <w:t>Investment Property</w:t>
            </w:r>
          </w:p>
        </w:tc>
      </w:tr>
      <w:tr>
        <w:trPr>
          <w:trHeight w:val="229"/>
        </w:trPr>
        <w:tc>
          <w:tcPr>
            <w:tcW w:w="1320" w:type="dxa"/>
            <w:vAlign w:val="bottom"/>
          </w:tcPr>
          <w:p>
            <w:pPr>
              <w:spacing w:after="0"/>
              <w:rPr>
                <w:sz w:val="20"/>
                <w:szCs w:val="20"/>
                <w:color w:val="auto"/>
              </w:rPr>
            </w:pPr>
            <w:r>
              <w:rPr>
                <w:rFonts w:ascii="Arial" w:cs="Arial" w:eastAsia="Arial" w:hAnsi="Arial"/>
                <w:sz w:val="20"/>
                <w:szCs w:val="20"/>
                <w:color w:val="auto"/>
              </w:rPr>
              <w:t>Schedule 3</w:t>
            </w:r>
          </w:p>
        </w:tc>
        <w:tc>
          <w:tcPr>
            <w:tcW w:w="8600" w:type="dxa"/>
            <w:vAlign w:val="bottom"/>
          </w:tcPr>
          <w:p>
            <w:pPr>
              <w:ind w:left="180"/>
              <w:spacing w:after="0"/>
              <w:rPr>
                <w:sz w:val="20"/>
                <w:szCs w:val="20"/>
                <w:color w:val="auto"/>
              </w:rPr>
            </w:pPr>
            <w:r>
              <w:rPr>
                <w:rFonts w:ascii="Arial" w:cs="Arial" w:eastAsia="Arial" w:hAnsi="Arial"/>
                <w:sz w:val="20"/>
                <w:szCs w:val="20"/>
                <w:color w:val="auto"/>
              </w:rPr>
              <w:t>Perfection Matters</w:t>
            </w:r>
          </w:p>
        </w:tc>
      </w:tr>
      <w:tr>
        <w:trPr>
          <w:trHeight w:val="229"/>
        </w:trPr>
        <w:tc>
          <w:tcPr>
            <w:tcW w:w="1320" w:type="dxa"/>
            <w:vAlign w:val="bottom"/>
          </w:tcPr>
          <w:p>
            <w:pPr>
              <w:spacing w:after="0"/>
              <w:rPr>
                <w:sz w:val="20"/>
                <w:szCs w:val="20"/>
                <w:color w:val="auto"/>
              </w:rPr>
            </w:pPr>
            <w:r>
              <w:rPr>
                <w:rFonts w:ascii="Arial" w:cs="Arial" w:eastAsia="Arial" w:hAnsi="Arial"/>
                <w:sz w:val="20"/>
                <w:szCs w:val="20"/>
                <w:color w:val="auto"/>
              </w:rPr>
              <w:t>Schedule 4</w:t>
            </w:r>
          </w:p>
        </w:tc>
        <w:tc>
          <w:tcPr>
            <w:tcW w:w="8600" w:type="dxa"/>
            <w:vAlign w:val="bottom"/>
          </w:tcPr>
          <w:p>
            <w:pPr>
              <w:ind w:left="180"/>
              <w:spacing w:after="0"/>
              <w:rPr>
                <w:sz w:val="20"/>
                <w:szCs w:val="20"/>
                <w:color w:val="auto"/>
              </w:rPr>
            </w:pPr>
            <w:r>
              <w:rPr>
                <w:rFonts w:ascii="Arial" w:cs="Arial" w:eastAsia="Arial" w:hAnsi="Arial"/>
                <w:sz w:val="20"/>
                <w:szCs w:val="20"/>
                <w:color w:val="auto"/>
              </w:rPr>
              <w:t>Jurisdictions of Organization and Chief Executive Offices, etc.</w:t>
            </w:r>
          </w:p>
        </w:tc>
      </w:tr>
      <w:tr>
        <w:trPr>
          <w:trHeight w:val="230"/>
        </w:trPr>
        <w:tc>
          <w:tcPr>
            <w:tcW w:w="1320" w:type="dxa"/>
            <w:vAlign w:val="bottom"/>
          </w:tcPr>
          <w:p>
            <w:pPr>
              <w:spacing w:after="0"/>
              <w:rPr>
                <w:sz w:val="20"/>
                <w:szCs w:val="20"/>
                <w:color w:val="auto"/>
              </w:rPr>
            </w:pPr>
            <w:r>
              <w:rPr>
                <w:rFonts w:ascii="Arial" w:cs="Arial" w:eastAsia="Arial" w:hAnsi="Arial"/>
                <w:sz w:val="20"/>
                <w:szCs w:val="20"/>
                <w:color w:val="auto"/>
              </w:rPr>
              <w:t>Schedule 5</w:t>
            </w:r>
          </w:p>
        </w:tc>
        <w:tc>
          <w:tcPr>
            <w:tcW w:w="8600" w:type="dxa"/>
            <w:vAlign w:val="bottom"/>
          </w:tcPr>
          <w:p>
            <w:pPr>
              <w:ind w:left="180"/>
              <w:spacing w:after="0"/>
              <w:rPr>
                <w:sz w:val="20"/>
                <w:szCs w:val="20"/>
                <w:color w:val="auto"/>
              </w:rPr>
            </w:pPr>
            <w:r>
              <w:rPr>
                <w:rFonts w:ascii="Arial" w:cs="Arial" w:eastAsia="Arial" w:hAnsi="Arial"/>
                <w:sz w:val="20"/>
                <w:szCs w:val="20"/>
                <w:color w:val="auto"/>
              </w:rPr>
              <w:t>Equipment and Inventory Locations</w:t>
            </w:r>
          </w:p>
        </w:tc>
      </w:tr>
      <w:tr>
        <w:trPr>
          <w:trHeight w:val="229"/>
        </w:trPr>
        <w:tc>
          <w:tcPr>
            <w:tcW w:w="1320" w:type="dxa"/>
            <w:vAlign w:val="bottom"/>
          </w:tcPr>
          <w:p>
            <w:pPr>
              <w:spacing w:after="0"/>
              <w:rPr>
                <w:sz w:val="20"/>
                <w:szCs w:val="20"/>
                <w:color w:val="auto"/>
              </w:rPr>
            </w:pPr>
            <w:r>
              <w:rPr>
                <w:rFonts w:ascii="Arial" w:cs="Arial" w:eastAsia="Arial" w:hAnsi="Arial"/>
                <w:sz w:val="20"/>
                <w:szCs w:val="20"/>
                <w:color w:val="auto"/>
              </w:rPr>
              <w:t>Schedule 6</w:t>
            </w:r>
          </w:p>
        </w:tc>
        <w:tc>
          <w:tcPr>
            <w:tcW w:w="8600" w:type="dxa"/>
            <w:vAlign w:val="bottom"/>
          </w:tcPr>
          <w:p>
            <w:pPr>
              <w:ind w:left="180"/>
              <w:spacing w:after="0"/>
              <w:rPr>
                <w:sz w:val="20"/>
                <w:szCs w:val="20"/>
                <w:color w:val="auto"/>
              </w:rPr>
            </w:pPr>
            <w:r>
              <w:rPr>
                <w:rFonts w:ascii="Arial" w:cs="Arial" w:eastAsia="Arial" w:hAnsi="Arial"/>
                <w:sz w:val="20"/>
                <w:szCs w:val="20"/>
                <w:color w:val="auto"/>
              </w:rPr>
              <w:t>Intellectual Property</w:t>
            </w:r>
          </w:p>
        </w:tc>
      </w:tr>
      <w:tr>
        <w:trPr>
          <w:trHeight w:val="229"/>
        </w:trPr>
        <w:tc>
          <w:tcPr>
            <w:tcW w:w="1320" w:type="dxa"/>
            <w:vAlign w:val="bottom"/>
          </w:tcPr>
          <w:p>
            <w:pPr>
              <w:spacing w:after="0"/>
              <w:rPr>
                <w:sz w:val="20"/>
                <w:szCs w:val="20"/>
                <w:color w:val="auto"/>
              </w:rPr>
            </w:pPr>
            <w:r>
              <w:rPr>
                <w:rFonts w:ascii="Arial" w:cs="Arial" w:eastAsia="Arial" w:hAnsi="Arial"/>
                <w:sz w:val="20"/>
                <w:szCs w:val="20"/>
                <w:color w:val="auto"/>
              </w:rPr>
              <w:t>Schedule 7</w:t>
            </w:r>
          </w:p>
        </w:tc>
        <w:tc>
          <w:tcPr>
            <w:tcW w:w="8600" w:type="dxa"/>
            <w:vAlign w:val="bottom"/>
          </w:tcPr>
          <w:p>
            <w:pPr>
              <w:ind w:left="180"/>
              <w:spacing w:after="0"/>
              <w:rPr>
                <w:sz w:val="20"/>
                <w:szCs w:val="20"/>
                <w:color w:val="auto"/>
              </w:rPr>
            </w:pPr>
            <w:r>
              <w:rPr>
                <w:rFonts w:ascii="Arial" w:cs="Arial" w:eastAsia="Arial" w:hAnsi="Arial"/>
                <w:sz w:val="20"/>
                <w:szCs w:val="20"/>
                <w:color w:val="auto"/>
              </w:rPr>
              <w:t>Letter of Credit Rights</w:t>
            </w:r>
          </w:p>
        </w:tc>
      </w:tr>
      <w:tr>
        <w:trPr>
          <w:trHeight w:val="250"/>
        </w:trPr>
        <w:tc>
          <w:tcPr>
            <w:tcW w:w="1320" w:type="dxa"/>
            <w:vAlign w:val="bottom"/>
          </w:tcPr>
          <w:p>
            <w:pPr>
              <w:spacing w:after="0"/>
              <w:rPr>
                <w:sz w:val="20"/>
                <w:szCs w:val="20"/>
                <w:color w:val="auto"/>
              </w:rPr>
            </w:pPr>
            <w:r>
              <w:rPr>
                <w:rFonts w:ascii="Arial" w:cs="Arial" w:eastAsia="Arial" w:hAnsi="Arial"/>
                <w:sz w:val="20"/>
                <w:szCs w:val="20"/>
                <w:color w:val="auto"/>
              </w:rPr>
              <w:t>Schedule 8</w:t>
            </w:r>
          </w:p>
        </w:tc>
        <w:tc>
          <w:tcPr>
            <w:tcW w:w="8600" w:type="dxa"/>
            <w:vAlign w:val="bottom"/>
          </w:tcPr>
          <w:p>
            <w:pPr>
              <w:ind w:left="180"/>
              <w:spacing w:after="0"/>
              <w:rPr>
                <w:sz w:val="20"/>
                <w:szCs w:val="20"/>
                <w:color w:val="auto"/>
              </w:rPr>
            </w:pPr>
            <w:r>
              <w:rPr>
                <w:rFonts w:ascii="Arial" w:cs="Arial" w:eastAsia="Arial" w:hAnsi="Arial"/>
                <w:sz w:val="20"/>
                <w:szCs w:val="20"/>
                <w:color w:val="auto"/>
              </w:rPr>
              <w:t>Commercial Tort Claims</w:t>
            </w:r>
          </w:p>
        </w:tc>
      </w:tr>
      <w:tr>
        <w:trPr>
          <w:trHeight w:val="689"/>
        </w:trPr>
        <w:tc>
          <w:tcPr>
            <w:tcW w:w="1320" w:type="dxa"/>
            <w:vAlign w:val="bottom"/>
          </w:tcPr>
          <w:p>
            <w:pPr>
              <w:spacing w:after="0"/>
              <w:rPr>
                <w:sz w:val="20"/>
                <w:szCs w:val="20"/>
                <w:color w:val="auto"/>
              </w:rPr>
            </w:pPr>
            <w:r>
              <w:rPr>
                <w:rFonts w:ascii="Arial" w:cs="Arial" w:eastAsia="Arial" w:hAnsi="Arial"/>
                <w:sz w:val="20"/>
                <w:szCs w:val="20"/>
                <w:color w:val="auto"/>
              </w:rPr>
              <w:t>ANNEXES</w:t>
            </w:r>
          </w:p>
        </w:tc>
        <w:tc>
          <w:tcPr>
            <w:tcW w:w="8600" w:type="dxa"/>
            <w:vAlign w:val="bottom"/>
          </w:tcPr>
          <w:p>
            <w:pPr>
              <w:spacing w:after="0"/>
              <w:rPr>
                <w:sz w:val="24"/>
                <w:szCs w:val="24"/>
                <w:color w:val="auto"/>
              </w:rPr>
            </w:pPr>
          </w:p>
        </w:tc>
      </w:tr>
      <w:tr>
        <w:trPr>
          <w:trHeight w:val="438"/>
        </w:trPr>
        <w:tc>
          <w:tcPr>
            <w:tcW w:w="1320" w:type="dxa"/>
            <w:vAlign w:val="bottom"/>
          </w:tcPr>
          <w:p>
            <w:pPr>
              <w:spacing w:after="0"/>
              <w:rPr>
                <w:sz w:val="20"/>
                <w:szCs w:val="20"/>
                <w:color w:val="auto"/>
              </w:rPr>
            </w:pPr>
            <w:r>
              <w:rPr>
                <w:rFonts w:ascii="Arial" w:cs="Arial" w:eastAsia="Arial" w:hAnsi="Arial"/>
                <w:sz w:val="20"/>
                <w:szCs w:val="20"/>
                <w:color w:val="auto"/>
              </w:rPr>
              <w:t>Annex 1</w:t>
            </w:r>
          </w:p>
        </w:tc>
        <w:tc>
          <w:tcPr>
            <w:tcW w:w="8600" w:type="dxa"/>
            <w:vAlign w:val="bottom"/>
          </w:tcPr>
          <w:p>
            <w:pPr>
              <w:ind w:left="180"/>
              <w:spacing w:after="0"/>
              <w:rPr>
                <w:sz w:val="20"/>
                <w:szCs w:val="20"/>
                <w:color w:val="auto"/>
              </w:rPr>
            </w:pPr>
            <w:r>
              <w:rPr>
                <w:rFonts w:ascii="Arial" w:cs="Arial" w:eastAsia="Arial" w:hAnsi="Arial"/>
                <w:sz w:val="20"/>
                <w:szCs w:val="20"/>
                <w:color w:val="auto"/>
              </w:rPr>
              <w:t>Form of Assumption Agreement</w:t>
            </w:r>
          </w:p>
        </w:tc>
      </w:tr>
      <w:tr>
        <w:trPr>
          <w:trHeight w:val="250"/>
        </w:trPr>
        <w:tc>
          <w:tcPr>
            <w:tcW w:w="1320" w:type="dxa"/>
            <w:vAlign w:val="bottom"/>
          </w:tcPr>
          <w:p>
            <w:pPr>
              <w:spacing w:after="0"/>
              <w:rPr>
                <w:sz w:val="20"/>
                <w:szCs w:val="20"/>
                <w:color w:val="auto"/>
              </w:rPr>
            </w:pPr>
            <w:r>
              <w:rPr>
                <w:rFonts w:ascii="Arial" w:cs="Arial" w:eastAsia="Arial" w:hAnsi="Arial"/>
                <w:sz w:val="20"/>
                <w:szCs w:val="20"/>
                <w:color w:val="auto"/>
              </w:rPr>
              <w:t>Annex 2</w:t>
            </w:r>
          </w:p>
        </w:tc>
        <w:tc>
          <w:tcPr>
            <w:tcW w:w="8600" w:type="dxa"/>
            <w:vAlign w:val="bottom"/>
          </w:tcPr>
          <w:p>
            <w:pPr>
              <w:ind w:left="180"/>
              <w:spacing w:after="0"/>
              <w:rPr>
                <w:sz w:val="20"/>
                <w:szCs w:val="20"/>
                <w:color w:val="auto"/>
              </w:rPr>
            </w:pPr>
            <w:r>
              <w:rPr>
                <w:rFonts w:ascii="Arial" w:cs="Arial" w:eastAsia="Arial" w:hAnsi="Arial"/>
                <w:sz w:val="20"/>
                <w:szCs w:val="20"/>
                <w:color w:val="auto"/>
              </w:rPr>
              <w:t>Form of Pledge Supplement</w:t>
            </w:r>
          </w:p>
        </w:tc>
      </w:tr>
      <w:tr>
        <w:trPr>
          <w:trHeight w:val="891"/>
        </w:trPr>
        <w:tc>
          <w:tcPr>
            <w:tcW w:w="1320" w:type="dxa"/>
            <w:vAlign w:val="bottom"/>
          </w:tcPr>
          <w:p>
            <w:pPr>
              <w:spacing w:after="0"/>
              <w:rPr>
                <w:sz w:val="24"/>
                <w:szCs w:val="24"/>
                <w:color w:val="auto"/>
              </w:rPr>
            </w:pPr>
          </w:p>
        </w:tc>
        <w:tc>
          <w:tcPr>
            <w:tcW w:w="8600" w:type="dxa"/>
            <w:vAlign w:val="bottom"/>
          </w:tcPr>
          <w:p>
            <w:pPr>
              <w:jc w:val="center"/>
              <w:ind w:right="1221"/>
              <w:spacing w:after="0"/>
              <w:rPr>
                <w:sz w:val="20"/>
                <w:szCs w:val="20"/>
                <w:color w:val="auto"/>
              </w:rPr>
            </w:pPr>
            <w:r>
              <w:rPr>
                <w:rFonts w:ascii="Arial" w:cs="Arial" w:eastAsia="Arial" w:hAnsi="Arial"/>
                <w:sz w:val="20"/>
                <w:szCs w:val="20"/>
                <w:color w:val="auto"/>
              </w:rPr>
              <w:t>iii</w:t>
            </w:r>
          </w:p>
        </w:tc>
      </w:tr>
      <w:tr>
        <w:trPr>
          <w:trHeight w:val="556"/>
        </w:trPr>
        <w:tc>
          <w:tcPr>
            <w:tcW w:w="132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56" w:right="999" w:bottom="1440" w:gutter="0" w:footer="0" w:header="0"/>
        </w:sectPr>
      </w:pPr>
    </w:p>
    <w:bookmarkStart w:id="171" w:name="page172"/>
    <w:bookmarkEnd w:id="171"/>
    <w:p>
      <w:pPr>
        <w:jc w:val="center"/>
        <w:spacing w:after="0"/>
        <w:rPr>
          <w:sz w:val="20"/>
          <w:szCs w:val="20"/>
          <w:color w:val="auto"/>
        </w:rPr>
      </w:pPr>
      <w:r>
        <w:rPr>
          <w:rFonts w:ascii="Arial" w:cs="Arial" w:eastAsia="Arial" w:hAnsi="Arial"/>
          <w:sz w:val="20"/>
          <w:szCs w:val="20"/>
          <w:b w:val="1"/>
          <w:bCs w:val="1"/>
          <w:color w:val="auto"/>
        </w:rPr>
        <w:t>GUARANTEE AND COLLATERAL AGREEMENT</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This GUARANTEE AND COLLATERAL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July 31, 2020, is made by the signatory hereto (together with any other entity that may become a party hereto as provided herein, each a “</w:t>
      </w:r>
      <w:r>
        <w:rPr>
          <w:rFonts w:ascii="Arial" w:cs="Arial" w:eastAsia="Arial" w:hAnsi="Arial"/>
          <w:sz w:val="18"/>
          <w:szCs w:val="18"/>
          <w:b w:val="1"/>
          <w:bCs w:val="1"/>
          <w:i w:val="1"/>
          <w:iCs w:val="1"/>
          <w:color w:val="auto"/>
        </w:rPr>
        <w:t>Grantor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Grantors</w:t>
      </w:r>
      <w:r>
        <w:rPr>
          <w:rFonts w:ascii="Arial" w:cs="Arial" w:eastAsia="Arial" w:hAnsi="Arial"/>
          <w:sz w:val="18"/>
          <w:szCs w:val="18"/>
          <w:color w:val="auto"/>
        </w:rPr>
        <w:t>”), in favor of SILICON VALLEY BANK, as administrative agent and collateral agent (together with its successors, in such capacities,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 for the banks and other financial institutions or entities (each a “</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from time to time parties to that certain Credit Agreement, dated as of the date hereof (as amended, amended and restated, supplemented, restructured or otherwise modified, renewed or replaced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among AXCELIS TECHNOLOGIES, INC., a Delaware corporation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the Lenders party thereto and the Administrative Agent.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INTRODUCTORY STATEMENTS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proceeds of the extensions of credit under the Credit Agreement will be used in part to enable the Borrower to make valuable transfers to one or more of the other Grantors in connection with the operation of their respective business;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certain of the Qualified Counterparties may enter into Specified Swap Agreements with the Grantors;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Cash Management Banks may enter into Cash Management Agreements with the Grantors;</w:t>
      </w:r>
    </w:p>
    <w:p>
      <w:pPr>
        <w:spacing w:after="0" w:line="22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WHEREAS, each Grantor derives substantial direct and indirect benefit from the extensions of credit under the Credit Agreement, the Cash Management Agreements, and from the Specified Swap Agreements; and</w:t>
      </w:r>
    </w:p>
    <w:p>
      <w:pPr>
        <w:spacing w:after="0" w:line="15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it is a condition precedent to the Closing Date that the Grantors shall have executed and delivered this Agreement in favor of the Administrative Agent for the ratable benefit of the Secured Parties.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in consideration of the above premises, the parties hereto hereby agree as follows:</w:t>
      </w:r>
    </w:p>
    <w:p>
      <w:pPr>
        <w:spacing w:after="0" w:line="21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6"/>
          <w:szCs w:val="16"/>
          <w:b w:val="1"/>
          <w:bCs w:val="1"/>
          <w:color w:val="auto"/>
        </w:rPr>
        <w:t>Defined Terms.</w:t>
      </w:r>
    </w:p>
    <w:p>
      <w:pPr>
        <w:spacing w:after="0" w:line="2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16" w:lineRule="exact"/>
        <w:rPr>
          <w:sz w:val="20"/>
          <w:szCs w:val="20"/>
          <w:color w:val="auto"/>
        </w:rPr>
      </w:pPr>
    </w:p>
    <w:p>
      <w:pPr>
        <w:jc w:val="both"/>
        <w:ind w:firstLine="1304"/>
        <w:spacing w:after="0" w:line="244" w:lineRule="auto"/>
        <w:tabs>
          <w:tab w:leader="none" w:pos="2008" w:val="left"/>
        </w:tabs>
        <w:numPr>
          <w:ilvl w:val="0"/>
          <w:numId w:val="173"/>
        </w:numPr>
        <w:rPr>
          <w:rFonts w:ascii="Arial" w:cs="Arial" w:eastAsia="Arial" w:hAnsi="Arial"/>
          <w:sz w:val="20"/>
          <w:szCs w:val="20"/>
          <w:color w:val="auto"/>
        </w:rPr>
      </w:pPr>
      <w:r>
        <w:rPr>
          <w:rFonts w:ascii="Arial" w:cs="Arial" w:eastAsia="Arial" w:hAnsi="Arial"/>
          <w:sz w:val="20"/>
          <w:szCs w:val="20"/>
          <w:color w:val="auto"/>
        </w:rPr>
        <w:t>Unless otherwise defined herein, terms defined in the Credit Agreement and used herein shall have the respective meanings given to such terms in the Credit Agreement, and the following terms are used herein as defined in the UCC: Account, Certificated Security, Chattel Paper, Commercial Tort Claim, Commodity Account, Document, Equipment, Farm Products, Fixtures, General Intangible, Goods, Instrument, Inventory, Letter-of-Credit Rights, Money, Securities Account and Supporting Obligation.</w:t>
      </w:r>
    </w:p>
    <w:p>
      <w:pPr>
        <w:spacing w:after="0" w:line="194" w:lineRule="exact"/>
        <w:rPr>
          <w:rFonts w:ascii="Arial" w:cs="Arial" w:eastAsia="Arial" w:hAnsi="Arial"/>
          <w:sz w:val="20"/>
          <w:szCs w:val="20"/>
          <w:color w:val="auto"/>
        </w:rPr>
      </w:pPr>
    </w:p>
    <w:p>
      <w:pPr>
        <w:ind w:left="1980" w:hanging="676"/>
        <w:spacing w:after="0"/>
        <w:tabs>
          <w:tab w:leader="none" w:pos="198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following terms shall have the following meanings: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as defined in the preamble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as defined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72" w:name="page173"/>
    <w:bookmarkEnd w:id="172"/>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Books</w:t>
      </w:r>
      <w:r>
        <w:rPr>
          <w:rFonts w:ascii="Arial" w:cs="Arial" w:eastAsia="Arial" w:hAnsi="Arial"/>
          <w:sz w:val="18"/>
          <w:szCs w:val="18"/>
          <w:color w:val="auto"/>
        </w:rPr>
        <w:t>”: all books, records and other written, electronic or other documentation in whatever form maintained now or hereafter by or for any Grantor in connection with the ownership of its assets or the conduct of its business or evidencing or containing information relating to the Collateral, including: (a) ledgers; (b) records indicating, summarizing, or evidencing such Grantor’s assets (including Inventory and Rights to Payment), business operations or financial condition;</w:t>
      </w:r>
    </w:p>
    <w:p>
      <w:pPr>
        <w:spacing w:after="0" w:line="3" w:lineRule="exact"/>
        <w:rPr>
          <w:sz w:val="20"/>
          <w:szCs w:val="20"/>
          <w:color w:val="auto"/>
        </w:rPr>
      </w:pPr>
    </w:p>
    <w:p>
      <w:pPr>
        <w:jc w:val="both"/>
        <w:ind w:firstLine="8"/>
        <w:spacing w:after="0"/>
        <w:tabs>
          <w:tab w:leader="none" w:pos="298" w:val="left"/>
        </w:tabs>
        <w:numPr>
          <w:ilvl w:val="0"/>
          <w:numId w:val="174"/>
        </w:numPr>
        <w:rPr>
          <w:rFonts w:ascii="Arial" w:cs="Arial" w:eastAsia="Arial" w:hAnsi="Arial"/>
          <w:sz w:val="20"/>
          <w:szCs w:val="20"/>
          <w:color w:val="auto"/>
        </w:rPr>
      </w:pPr>
      <w:r>
        <w:rPr>
          <w:rFonts w:ascii="Arial" w:cs="Arial" w:eastAsia="Arial" w:hAnsi="Arial"/>
          <w:sz w:val="20"/>
          <w:szCs w:val="20"/>
          <w:color w:val="auto"/>
        </w:rPr>
        <w:t>computer programs and software; (d) computer discs, tapes, files, manuals, spreadsheets; (e) computer printouts and output of whatever kind; (f) any other computer prepared or electronically stored, collected or reported information and equipment of any kind; and (g) any and all other rights now or hereafter arising out of any contract or agreement between such Grantor and any service bureau, computer or data processing company or other Person charged with preparing or maintaining any of such Grantor’s books or records or with credit reporting, including with regard to any of such Grantor’s Accounts.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as defined in the preamble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Collateral</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 Account</w:t>
      </w:r>
      <w:r>
        <w:rPr>
          <w:rFonts w:ascii="Arial" w:cs="Arial" w:eastAsia="Arial" w:hAnsi="Arial"/>
          <w:sz w:val="18"/>
          <w:szCs w:val="18"/>
          <w:color w:val="auto"/>
        </w:rPr>
        <w:t xml:space="preserve">”: any collateral account established by the Administrative Agent as provided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6.4</w:t>
      </w:r>
      <w:r>
        <w:rPr>
          <w:rFonts w:ascii="Arial" w:cs="Arial" w:eastAsia="Arial" w:hAnsi="Arial"/>
          <w:sz w:val="20"/>
          <w:szCs w:val="20"/>
          <w:color w:val="auto"/>
        </w:rPr>
        <w:t>.</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Copyright License</w:t>
      </w:r>
      <w:r>
        <w:rPr>
          <w:rFonts w:ascii="Arial" w:cs="Arial" w:eastAsia="Arial" w:hAnsi="Arial"/>
          <w:sz w:val="20"/>
          <w:szCs w:val="20"/>
          <w:color w:val="auto"/>
        </w:rPr>
        <w:t xml:space="preserve">”: any written agreement which (a) names a Grantor as licensor or licensee (including those listed on </w:t>
      </w:r>
      <w:r>
        <w:rPr>
          <w:rFonts w:ascii="Arial" w:cs="Arial" w:eastAsia="Arial" w:hAnsi="Arial"/>
          <w:sz w:val="20"/>
          <w:szCs w:val="20"/>
          <w:u w:val="single" w:color="auto"/>
          <w:color w:val="auto"/>
        </w:rPr>
        <w:t>Schedule 6</w:t>
      </w:r>
      <w:r>
        <w:rPr>
          <w:rFonts w:ascii="Arial" w:cs="Arial" w:eastAsia="Arial" w:hAnsi="Arial"/>
          <w:sz w:val="20"/>
          <w:szCs w:val="20"/>
          <w:color w:val="auto"/>
        </w:rPr>
        <w:t>), or (b) grants any right under any Copyright to a Grantor, including any rights to manufacture, distribute, exploit and sell materials derived from any Copyright.</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Copyrights</w:t>
      </w:r>
      <w:r>
        <w:rPr>
          <w:rFonts w:ascii="Arial" w:cs="Arial" w:eastAsia="Arial" w:hAnsi="Arial"/>
          <w:sz w:val="20"/>
          <w:szCs w:val="20"/>
          <w:color w:val="auto"/>
        </w:rPr>
        <w:t xml:space="preserve">”: (a) all copyrights arising under the laws of the United States, any other country or any political subdivision thereof, together with the underlying works of authorship (including titles), whether registered or unregistered and whether published or unpublished (including those listed on </w:t>
      </w:r>
      <w:r>
        <w:rPr>
          <w:rFonts w:ascii="Arial" w:cs="Arial" w:eastAsia="Arial" w:hAnsi="Arial"/>
          <w:sz w:val="20"/>
          <w:szCs w:val="20"/>
          <w:u w:val="single" w:color="auto"/>
          <w:color w:val="auto"/>
        </w:rPr>
        <w:t>Schedule 6</w:t>
      </w:r>
      <w:r>
        <w:rPr>
          <w:rFonts w:ascii="Arial" w:cs="Arial" w:eastAsia="Arial" w:hAnsi="Arial"/>
          <w:sz w:val="20"/>
          <w:szCs w:val="20"/>
          <w:color w:val="auto"/>
        </w:rPr>
        <w:t>), all computer programs, computer databases, computer program flow diagrams, source codes, object codes and all tangible property embodying or incorporating any copyrights, all registrations and recordings thereof, and all applications in connection therewith, including, without limitation, all registrations, recordings and applications in the United States Copyright Office, and (b) the right to obtain any renewals thereof.</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Deposit Account</w:t>
      </w:r>
      <w:r>
        <w:rPr>
          <w:rFonts w:ascii="Arial" w:cs="Arial" w:eastAsia="Arial" w:hAnsi="Arial"/>
          <w:sz w:val="19"/>
          <w:szCs w:val="19"/>
          <w:color w:val="auto"/>
        </w:rPr>
        <w:t>”: as defined in the Uniform Commercial Code of any applicable jurisdiction and, in any event, including any demand, time, savings, passbook or like account maintained with a depositary institution.</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Excluded Account</w:t>
      </w:r>
      <w:r>
        <w:rPr>
          <w:rFonts w:ascii="Arial" w:cs="Arial" w:eastAsia="Arial" w:hAnsi="Arial"/>
          <w:sz w:val="19"/>
          <w:szCs w:val="19"/>
          <w:color w:val="auto"/>
        </w:rPr>
        <w:t>”: any Deposit Account or Securities Account (a) the sole purpose of which is for funding payroll, workers’ compensation claims, 401(k) benefits, health care benefits, retirement benefits or other employee benefits, or which is a withholding tax or fiduciary account or similar operational disbursement account, (b) the sole purpose of which is for funding escrow arrangements or holding funds owned by persons other than a Group Member, (c) which is a zero-balance account, (d) any account that, when combined with the account balance of all other accounts (other than Deposit Accounts and Securities Accounts described in clauses (a) and (b) above) over which the Administrative Agent does not have “control” (within the meanings of Section 8-106 and 9-106 of the UCC), has a balance of less than $1,000,000 or (e) Deposit Accounts or Securities Accounts, established as security for Indebtedness secured by a Lien permitted under Section 7.3(l)(i) of the Credit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Excluded Assets</w:t>
      </w:r>
      <w:r>
        <w:rPr>
          <w:rFonts w:ascii="Arial" w:cs="Arial" w:eastAsia="Arial" w:hAnsi="Arial"/>
          <w:sz w:val="20"/>
          <w:szCs w:val="20"/>
          <w:color w:val="auto"/>
        </w:rPr>
        <w:t>”: collectively,</w:t>
      </w:r>
    </w:p>
    <w:p>
      <w:pPr>
        <w:spacing w:after="0" w:line="216" w:lineRule="exact"/>
        <w:rPr>
          <w:sz w:val="20"/>
          <w:szCs w:val="20"/>
          <w:color w:val="auto"/>
        </w:rPr>
      </w:pPr>
    </w:p>
    <w:p>
      <w:pPr>
        <w:jc w:val="both"/>
        <w:ind w:firstLine="1304"/>
        <w:spacing w:after="0" w:line="250" w:lineRule="auto"/>
        <w:tabs>
          <w:tab w:leader="none" w:pos="2026" w:val="left"/>
        </w:tabs>
        <w:numPr>
          <w:ilvl w:val="0"/>
          <w:numId w:val="175"/>
        </w:numPr>
        <w:rPr>
          <w:rFonts w:ascii="Arial" w:cs="Arial" w:eastAsia="Arial" w:hAnsi="Arial"/>
          <w:sz w:val="20"/>
          <w:szCs w:val="20"/>
          <w:color w:val="auto"/>
        </w:rPr>
      </w:pPr>
      <w:r>
        <w:rPr>
          <w:rFonts w:ascii="Arial" w:cs="Arial" w:eastAsia="Arial" w:hAnsi="Arial"/>
          <w:sz w:val="20"/>
          <w:szCs w:val="20"/>
          <w:color w:val="auto"/>
        </w:rPr>
        <w:t>Equipment owned by any Grantor on the date hereof or hereafter acquired that is subject to a Lien securing a purchase money obligation or Capital Lease Obligation not prohibited by the terms of the Credit Agreement if the contract or other agreement pursuant to which such Lien is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3" w:name="page174"/>
    <w:bookmarkEnd w:id="173"/>
    <w:p>
      <w:pPr>
        <w:ind w:right="20"/>
        <w:spacing w:after="0" w:line="260" w:lineRule="auto"/>
        <w:rPr>
          <w:sz w:val="20"/>
          <w:szCs w:val="20"/>
          <w:color w:val="auto"/>
        </w:rPr>
      </w:pPr>
      <w:r>
        <w:rPr>
          <w:rFonts w:ascii="Arial" w:cs="Arial" w:eastAsia="Arial" w:hAnsi="Arial"/>
          <w:sz w:val="20"/>
          <w:szCs w:val="20"/>
          <w:color w:val="auto"/>
        </w:rPr>
        <w:t>(or the documentation providing for such purchase money obligation or Capital Lease Obligation) validly prohibits the creation of any other Lien on such Equipment and proceeds of such Equipment;</w:t>
      </w:r>
    </w:p>
    <w:p>
      <w:pPr>
        <w:spacing w:after="0" w:line="177" w:lineRule="exact"/>
        <w:rPr>
          <w:sz w:val="20"/>
          <w:szCs w:val="20"/>
          <w:color w:val="auto"/>
        </w:rPr>
      </w:pPr>
    </w:p>
    <w:p>
      <w:pPr>
        <w:jc w:val="both"/>
        <w:ind w:firstLine="1304"/>
        <w:spacing w:after="0" w:line="250" w:lineRule="auto"/>
        <w:tabs>
          <w:tab w:leader="none" w:pos="2005"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any Collateral with respect to which the Administrative Agent has determined, in consultation with the Borrower, that the costs of obtaining a security interest in such Collateral are excessive in relation to the benefits provided to the Secured Parties by such security interest;</w:t>
      </w:r>
    </w:p>
    <w:p>
      <w:pPr>
        <w:spacing w:after="0" w:line="185" w:lineRule="exact"/>
        <w:rPr>
          <w:rFonts w:ascii="Arial" w:cs="Arial" w:eastAsia="Arial" w:hAnsi="Arial"/>
          <w:sz w:val="20"/>
          <w:szCs w:val="20"/>
          <w:color w:val="auto"/>
        </w:rPr>
      </w:pPr>
    </w:p>
    <w:p>
      <w:pPr>
        <w:ind w:firstLine="1304"/>
        <w:spacing w:after="0" w:line="260" w:lineRule="auto"/>
        <w:tabs>
          <w:tab w:leader="none" w:pos="2027"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any real property leasehold interests of any Grantor and the Borrower’s real property located at 25 Sam Fonzo Drive, Beverly, Massachusetts;</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8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margin stock (within the meaning of Regulation U issued by the Board) to the extent the creation of a security interest therein in favor of the Administrative Agent (for the ratable benefit of the Secured Parties) will result in a violation of Regulation U issued by the Board;</w:t>
      </w:r>
    </w:p>
    <w:p>
      <w:pPr>
        <w:spacing w:after="0" w:line="185" w:lineRule="exact"/>
        <w:rPr>
          <w:rFonts w:ascii="Arial" w:cs="Arial" w:eastAsia="Arial" w:hAnsi="Arial"/>
          <w:sz w:val="20"/>
          <w:szCs w:val="20"/>
          <w:color w:val="auto"/>
        </w:rPr>
      </w:pPr>
    </w:p>
    <w:p>
      <w:pPr>
        <w:jc w:val="both"/>
        <w:ind w:firstLine="1304"/>
        <w:spacing w:after="0" w:line="291" w:lineRule="auto"/>
        <w:tabs>
          <w:tab w:leader="none" w:pos="201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Capital Stock (other than Capital Stock of a Subsidiary) if the granting of a security interest in such Capital Stock is prohibited by the applicable joint venture, shareholder, stock purchase or similar agreement (after giving effect to the UCC or any other applicable law (including the Bankruptcy Code) or principles of equity);</w:t>
      </w:r>
    </w:p>
    <w:p>
      <w:pPr>
        <w:spacing w:after="0" w:line="151" w:lineRule="exact"/>
        <w:rPr>
          <w:rFonts w:ascii="Arial" w:cs="Arial" w:eastAsia="Arial" w:hAnsi="Arial"/>
          <w:sz w:val="18"/>
          <w:szCs w:val="18"/>
          <w:color w:val="auto"/>
        </w:rPr>
      </w:pPr>
    </w:p>
    <w:p>
      <w:pPr>
        <w:ind w:left="1940" w:hanging="636"/>
        <w:spacing w:after="0"/>
        <w:tabs>
          <w:tab w:leader="none" w:pos="194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motor vehicles and other equipment covered by certificates of title;</w:t>
      </w:r>
    </w:p>
    <w:p>
      <w:pPr>
        <w:spacing w:after="0" w:line="215" w:lineRule="exact"/>
        <w:rPr>
          <w:rFonts w:ascii="Arial" w:cs="Arial" w:eastAsia="Arial" w:hAnsi="Arial"/>
          <w:sz w:val="20"/>
          <w:szCs w:val="20"/>
          <w:color w:val="auto"/>
        </w:rPr>
      </w:pPr>
    </w:p>
    <w:p>
      <w:pPr>
        <w:ind w:left="1980" w:hanging="676"/>
        <w:spacing w:after="0"/>
        <w:tabs>
          <w:tab w:leader="none" w:pos="198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Excluded Accounts;</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2118" w:val="left"/>
        </w:tabs>
        <w:numPr>
          <w:ilvl w:val="0"/>
          <w:numId w:val="176"/>
        </w:numPr>
        <w:rPr>
          <w:rFonts w:ascii="Arial" w:cs="Arial" w:eastAsia="Arial" w:hAnsi="Arial"/>
          <w:sz w:val="20"/>
          <w:szCs w:val="20"/>
          <w:color w:val="auto"/>
        </w:rPr>
      </w:pPr>
      <w:r>
        <w:rPr>
          <w:rFonts w:ascii="Arial" w:cs="Arial" w:eastAsia="Arial" w:hAnsi="Arial"/>
          <w:sz w:val="20"/>
          <w:szCs w:val="20"/>
          <w:color w:val="auto"/>
        </w:rPr>
        <w:t>capital stock of any direct Foreign Subsidiary that is not a Loan Party (other than Capital Stock representing up to 66% of the total outstanding voting Capital Stock and 100% of the non-voting Capital Stock of any such Foreign Subsidiary); and</w:t>
      </w:r>
    </w:p>
    <w:p>
      <w:pPr>
        <w:spacing w:after="0" w:line="186" w:lineRule="exact"/>
        <w:rPr>
          <w:sz w:val="20"/>
          <w:szCs w:val="20"/>
          <w:color w:val="auto"/>
        </w:rPr>
      </w:pPr>
    </w:p>
    <w:p>
      <w:pPr>
        <w:jc w:val="both"/>
        <w:ind w:firstLine="1304"/>
        <w:spacing w:after="0" w:line="269" w:lineRule="auto"/>
        <w:tabs>
          <w:tab w:leader="none" w:pos="201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any property to the extent that such grant of a security interest is prohibited by any Requirement of Law of a Governmental Authority or constitutes a breach or default under or results in the termination of or requires any consent not obtained under, any contract, license, agreement, instrument or other document evidencing or giving rise to such property,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(i) to the extent that the terms in such contract, license, instrument or other document providing for such prohibition, breach, default or termination, or requiring such consent are not permitted under the terms and conditions of the Credit Agreement or (ii) to the extent that such Requirement of Law or the term in such contract, license, agreement, instrument or other document providing for such prohibition, breach, default or termination or requiring such consent is ineffective under Section 9-406, 9-407, 9-408 or 9-409 of the UCC (or any successor provision or provisions) of any relevant jurisdiction or any other applicable law (including the Bankruptcy Code) or principles of equity;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security interest in favor of the Administrative Agent shall automatically attach immediately at such time as such Requirement of Law is not effective or applicable, or such prohibition, breach, default or termination is no longer applicable or is waived, and to the extent severable, shall attach immediately to any portion of the Collateral that does not result in such consequences;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United States intent-to-use trademark or service mark application shall be included in the Collateral to the extent that, and solely during the period in which, the grant of a security interest therein would impair the validity or enforceability of such intent-to-use trademark or service mark application under Federal law. After such period, each Grantor acknowledges that such interest in such trademark or service mark application shall be subject to a security interest in favor of the Administrative Agent and shall be included in the Collateral;</w:t>
      </w:r>
    </w:p>
    <w:p>
      <w:pPr>
        <w:spacing w:after="0" w:line="174" w:lineRule="exact"/>
        <w:rPr>
          <w:sz w:val="20"/>
          <w:szCs w:val="20"/>
          <w:color w:val="auto"/>
        </w:rPr>
      </w:pPr>
    </w:p>
    <w:p>
      <w:pPr>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Proceeds, substitutions or replacements of any Excluded Assets shall not be Excluded Assets (unless such Proceeds, substitutions or replacements are otherwise, in and of themselves, Excluded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4" w:name="page175"/>
    <w:bookmarkEnd w:id="174"/>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Fraudulent Transfer Laws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2.1(b)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Grantor</w:t>
      </w:r>
      <w:r>
        <w:rPr>
          <w:rFonts w:ascii="Arial" w:cs="Arial" w:eastAsia="Arial" w:hAnsi="Arial"/>
          <w:sz w:val="20"/>
          <w:szCs w:val="20"/>
          <w:color w:val="auto"/>
        </w:rPr>
        <w:t>”: as defined in the preamble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Guarantor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2.1(a)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Intellectual Property Licenses</w:t>
      </w:r>
      <w:r>
        <w:rPr>
          <w:rFonts w:ascii="Arial" w:cs="Arial" w:eastAsia="Arial" w:hAnsi="Arial"/>
          <w:sz w:val="20"/>
          <w:szCs w:val="20"/>
          <w:color w:val="auto"/>
        </w:rPr>
        <w:t>”: the collective reference to the Copyright Licenses, the Patent Licenses and the Trademark Licenses.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Investment Account</w:t>
      </w:r>
      <w:r>
        <w:rPr>
          <w:rFonts w:ascii="Arial" w:cs="Arial" w:eastAsia="Arial" w:hAnsi="Arial"/>
          <w:sz w:val="20"/>
          <w:szCs w:val="20"/>
          <w:color w:val="auto"/>
        </w:rPr>
        <w:t>”: any of a Securities Account, a Commodity Account or a Deposit Account.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Investment Property</w:t>
      </w:r>
      <w:r>
        <w:rPr>
          <w:rFonts w:ascii="Arial" w:cs="Arial" w:eastAsia="Arial" w:hAnsi="Arial"/>
          <w:sz w:val="20"/>
          <w:szCs w:val="20"/>
          <w:color w:val="auto"/>
        </w:rPr>
        <w:t>”: the collective reference to (a) all “investment property” as such term is defined in Section 9-102(a)(49) of the UCC (other than Excluded Assets), and (b) whether or not constituting “investment property” as so defined, all Pledged Notes and all Pledged Collateral.</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Issuer</w:t>
      </w:r>
      <w:r>
        <w:rPr>
          <w:rFonts w:ascii="Arial" w:cs="Arial" w:eastAsia="Arial" w:hAnsi="Arial"/>
          <w:sz w:val="20"/>
          <w:szCs w:val="20"/>
          <w:color w:val="auto"/>
        </w:rPr>
        <w:t>”: with respect to any Investment Property, the issuer of such Investment Property.</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Patent License</w:t>
      </w:r>
      <w:r>
        <w:rPr>
          <w:rFonts w:ascii="Arial" w:cs="Arial" w:eastAsia="Arial" w:hAnsi="Arial"/>
          <w:sz w:val="20"/>
          <w:szCs w:val="20"/>
          <w:color w:val="auto"/>
        </w:rPr>
        <w:t xml:space="preserve">”: any written agreement which (a) names a Grantor as licensor or licensee and (b) grants to such Grantor any right under a Patent, including the right to manufacture, use or sell any invention covered in whole or in part by such Patent, including any such agreements referred to on </w:t>
      </w:r>
      <w:r>
        <w:rPr>
          <w:rFonts w:ascii="Arial" w:cs="Arial" w:eastAsia="Arial" w:hAnsi="Arial"/>
          <w:sz w:val="20"/>
          <w:szCs w:val="20"/>
          <w:u w:val="single" w:color="auto"/>
          <w:color w:val="auto"/>
        </w:rPr>
        <w:t>Schedule 6</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Patents</w:t>
      </w:r>
      <w:r>
        <w:rPr>
          <w:rFonts w:ascii="Arial" w:cs="Arial" w:eastAsia="Arial" w:hAnsi="Arial"/>
          <w:sz w:val="20"/>
          <w:szCs w:val="20"/>
          <w:color w:val="auto"/>
        </w:rPr>
        <w:t xml:space="preserve">”: (a) all letters patent of the United States, any other country or any political subdivision thereof, all reissues and extensions thereof and all goodwill associated therewith, including, without limitation, any of the foregoing referred to on </w:t>
      </w:r>
      <w:r>
        <w:rPr>
          <w:rFonts w:ascii="Arial" w:cs="Arial" w:eastAsia="Arial" w:hAnsi="Arial"/>
          <w:sz w:val="20"/>
          <w:szCs w:val="20"/>
          <w:u w:val="single" w:color="auto"/>
          <w:color w:val="auto"/>
        </w:rPr>
        <w:t>Schedule 6</w:t>
      </w:r>
      <w:r>
        <w:rPr>
          <w:rFonts w:ascii="Arial" w:cs="Arial" w:eastAsia="Arial" w:hAnsi="Arial"/>
          <w:sz w:val="20"/>
          <w:szCs w:val="20"/>
          <w:color w:val="auto"/>
        </w:rPr>
        <w:t xml:space="preserve">, (b) all applications for letters patent of the United States or any other country and all divisions, continuations and continuations-in-part thereof, including, without limitation, any of the foregoing referred to on </w:t>
      </w:r>
      <w:r>
        <w:rPr>
          <w:rFonts w:ascii="Arial" w:cs="Arial" w:eastAsia="Arial" w:hAnsi="Arial"/>
          <w:sz w:val="20"/>
          <w:szCs w:val="20"/>
          <w:u w:val="single" w:color="auto"/>
          <w:color w:val="auto"/>
        </w:rPr>
        <w:t>Schedule 6</w:t>
      </w:r>
      <w:r>
        <w:rPr>
          <w:rFonts w:ascii="Arial" w:cs="Arial" w:eastAsia="Arial" w:hAnsi="Arial"/>
          <w:sz w:val="20"/>
          <w:szCs w:val="20"/>
          <w:color w:val="auto"/>
        </w:rPr>
        <w:t>, and (c) all rights to obtain any reissues or extensions of the foregoing.</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Pledged Collateral</w:t>
      </w:r>
      <w:r>
        <w:rPr>
          <w:rFonts w:ascii="Arial" w:cs="Arial" w:eastAsia="Arial" w:hAnsi="Arial"/>
          <w:sz w:val="18"/>
          <w:szCs w:val="18"/>
          <w:color w:val="auto"/>
        </w:rPr>
        <w:t>”: (a) any and all Pledged Stock and any and all Pledged Notes; (b) all other Investment Property of any Grantor; (c) all warrants, options or other rights entitling any Grantor to acquire any interest in Capital Stock or other securities of the direct or indirect Subsidiaries of such Grantor or of any other Person; (d) all Instruments; (e) all securities, property, interest, dividends and other payments and distributions issued as an addition to, in redemption of, in renewal or exchange for, in substitution or upon conversion of, or otherwise on account of, any of the foregoing; (f) all certificates and instruments now or hereafter representing or evidencing any of the foregoing; (g) all rights, interests and claims with respect to the foregoing, including under any and all related agreements, instruments and other documents; and</w:t>
      </w:r>
    </w:p>
    <w:p>
      <w:pPr>
        <w:spacing w:after="0" w:line="5" w:lineRule="exact"/>
        <w:rPr>
          <w:sz w:val="20"/>
          <w:szCs w:val="20"/>
          <w:color w:val="auto"/>
        </w:rPr>
      </w:pPr>
    </w:p>
    <w:p>
      <w:pPr>
        <w:jc w:val="both"/>
        <w:ind w:firstLine="8"/>
        <w:spacing w:after="0" w:line="260" w:lineRule="auto"/>
        <w:tabs>
          <w:tab w:leader="none" w:pos="298"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all cash and non-cash proceeds of any of the foregoing, in each case whether presently existing or owned or hereafter arising or acquired and wherever located, and as from time to time received or receivable by, or otherwise paid or distributed to or acquired by, any Grantor; provided that Pledged Collateral shall not include Excluded Assets.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Pledged Collateral Agreements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5.23</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Pledged Notes</w:t>
      </w:r>
      <w:r>
        <w:rPr>
          <w:rFonts w:ascii="Arial" w:cs="Arial" w:eastAsia="Arial" w:hAnsi="Arial"/>
          <w:sz w:val="20"/>
          <w:szCs w:val="20"/>
          <w:color w:val="auto"/>
        </w:rPr>
        <w:t xml:space="preserve">”: all promissory notes listed on </w:t>
      </w:r>
      <w:r>
        <w:rPr>
          <w:rFonts w:ascii="Arial" w:cs="Arial" w:eastAsia="Arial" w:hAnsi="Arial"/>
          <w:sz w:val="20"/>
          <w:szCs w:val="20"/>
          <w:u w:val="single" w:color="auto"/>
          <w:color w:val="auto"/>
        </w:rPr>
        <w:t>Schedule 2</w:t>
      </w:r>
      <w:r>
        <w:rPr>
          <w:rFonts w:ascii="Arial" w:cs="Arial" w:eastAsia="Arial" w:hAnsi="Arial"/>
          <w:sz w:val="20"/>
          <w:szCs w:val="20"/>
          <w:color w:val="auto"/>
        </w:rPr>
        <w:t xml:space="preserve"> and all other promissory notes issued to or held by any Grantor.</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Pledged Stock</w:t>
      </w:r>
      <w:r>
        <w:rPr>
          <w:rFonts w:ascii="Arial" w:cs="Arial" w:eastAsia="Arial" w:hAnsi="Arial"/>
          <w:sz w:val="20"/>
          <w:szCs w:val="20"/>
          <w:color w:val="auto"/>
        </w:rPr>
        <w:t xml:space="preserve">”: all of the issued and outstanding shares of Capital Stock, whether certificated or uncertificated, of any Grantor’s direct Subsidiaries now or hereafter owned by any such Grantor and including the Capital Stock listed on </w:t>
      </w:r>
      <w:r>
        <w:rPr>
          <w:rFonts w:ascii="Arial" w:cs="Arial" w:eastAsia="Arial" w:hAnsi="Arial"/>
          <w:sz w:val="20"/>
          <w:szCs w:val="20"/>
          <w:u w:val="single" w:color="auto"/>
          <w:color w:val="auto"/>
        </w:rPr>
        <w:t>Schedule 2</w:t>
      </w:r>
      <w:r>
        <w:rPr>
          <w:rFonts w:ascii="Arial" w:cs="Arial" w:eastAsia="Arial" w:hAnsi="Arial"/>
          <w:sz w:val="20"/>
          <w:szCs w:val="20"/>
          <w:color w:val="auto"/>
        </w:rPr>
        <w:t xml:space="preserve"> (as amended or supplemented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Pledged Stock include any Excluded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5" w:name="page176"/>
    <w:bookmarkEnd w:id="175"/>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Proceeds</w:t>
      </w:r>
      <w:r>
        <w:rPr>
          <w:rFonts w:ascii="Arial" w:cs="Arial" w:eastAsia="Arial" w:hAnsi="Arial"/>
          <w:sz w:val="20"/>
          <w:szCs w:val="20"/>
          <w:color w:val="auto"/>
        </w:rPr>
        <w:t>”: all “proceeds” as such term is defined in Section 9-102(a)(64) of the UCC and, in any event, shall include, without limitation, all dividends or other income from any Investment Property constituting Collateral and all collections thereon or distributions or payments with respect thereto.</w:t>
      </w:r>
    </w:p>
    <w:p>
      <w:pPr>
        <w:spacing w:after="0" w:line="186" w:lineRule="exact"/>
        <w:rPr>
          <w:sz w:val="20"/>
          <w:szCs w:val="20"/>
          <w:color w:val="auto"/>
        </w:rPr>
      </w:pPr>
    </w:p>
    <w:p>
      <w:pPr>
        <w:jc w:val="both"/>
        <w:ind w:right="20"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Receivable</w:t>
      </w:r>
      <w:r>
        <w:rPr>
          <w:rFonts w:ascii="Arial" w:cs="Arial" w:eastAsia="Arial" w:hAnsi="Arial"/>
          <w:sz w:val="16"/>
          <w:szCs w:val="16"/>
          <w:color w:val="auto"/>
        </w:rPr>
        <w:t>”: any right to payment for goods sold or leased or for services rendered, whether or not such right is evidenced by an Instrument or Chattel Paper and whether or not it has been earned by performance (including any Account).</w:t>
      </w:r>
    </w:p>
    <w:p>
      <w:pPr>
        <w:spacing w:after="0" w:line="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Rights to Payment</w:t>
      </w:r>
      <w:r>
        <w:rPr>
          <w:rFonts w:ascii="Arial" w:cs="Arial" w:eastAsia="Arial" w:hAnsi="Arial"/>
          <w:sz w:val="20"/>
          <w:szCs w:val="20"/>
          <w:color w:val="auto"/>
        </w:rPr>
        <w:t>”: any and all of any Grantor’s Accounts and any and all of any Grantor’s rights and claims to the payment or receipt of money or other forms of consideration of any kind in, to and under or with respect to its Chattel Paper, Documents, General Intangibles, Instruments, Investment Property, Letter-of-Credit Rights, Proceeds and Supporting Obligations.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Secured Obligations</w:t>
      </w:r>
      <w:r>
        <w:rPr>
          <w:rFonts w:ascii="Arial" w:cs="Arial" w:eastAsia="Arial" w:hAnsi="Arial"/>
          <w:sz w:val="20"/>
          <w:szCs w:val="20"/>
          <w:color w:val="auto"/>
        </w:rPr>
        <w:t>”: collectively, the “Obligations”, as such term is defined in the Credit Agreement.</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Trademark License</w:t>
      </w:r>
      <w:r>
        <w:rPr>
          <w:rFonts w:ascii="Arial" w:cs="Arial" w:eastAsia="Arial" w:hAnsi="Arial"/>
          <w:sz w:val="19"/>
          <w:szCs w:val="19"/>
          <w:color w:val="auto"/>
        </w:rPr>
        <w:t xml:space="preserve">”: any written agreement which (a) names a Grantor as licensor or licensee and (b) grants to such Grantor any right to use any Trademark, including any such agreement referred to on </w:t>
      </w:r>
      <w:r>
        <w:rPr>
          <w:rFonts w:ascii="Arial" w:cs="Arial" w:eastAsia="Arial" w:hAnsi="Arial"/>
          <w:sz w:val="19"/>
          <w:szCs w:val="19"/>
          <w:u w:val="single" w:color="auto"/>
          <w:color w:val="auto"/>
        </w:rPr>
        <w:t>Schedule 6</w:t>
      </w:r>
      <w:r>
        <w:rPr>
          <w:rFonts w:ascii="Arial" w:cs="Arial" w:eastAsia="Arial" w:hAnsi="Arial"/>
          <w:sz w:val="19"/>
          <w:szCs w:val="19"/>
          <w:color w:val="auto"/>
        </w:rPr>
        <w:t>.</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Trademarks</w:t>
      </w:r>
      <w:r>
        <w:rPr>
          <w:rFonts w:ascii="Arial" w:cs="Arial" w:eastAsia="Arial" w:hAnsi="Arial"/>
          <w:sz w:val="19"/>
          <w:szCs w:val="19"/>
          <w:color w:val="auto"/>
        </w:rPr>
        <w:t xml:space="preserve">”: (a) all trademarks, trade names, corporate names, company names, business names, fictitious business names, trade styles, service marks, logos, Internet domain names and other source or business identifiers, and all goodwill associated therewith, now existing or hereafter adopted or acquired, all registrations and recordings thereof, and all applications in connection therewith, whether in the United States Patent and Trademark Office or in any similar office or agency of the United States, any State thereof or any other country or any political subdivision thereof, or otherwise, and all common-law rights related thereto, including, without limitation, any of the foregoing referred to on </w:t>
      </w:r>
      <w:r>
        <w:rPr>
          <w:rFonts w:ascii="Arial" w:cs="Arial" w:eastAsia="Arial" w:hAnsi="Arial"/>
          <w:sz w:val="19"/>
          <w:szCs w:val="19"/>
          <w:u w:val="single" w:color="auto"/>
          <w:color w:val="auto"/>
        </w:rPr>
        <w:t>Schedule 6</w:t>
      </w:r>
      <w:r>
        <w:rPr>
          <w:rFonts w:ascii="Arial" w:cs="Arial" w:eastAsia="Arial" w:hAnsi="Arial"/>
          <w:sz w:val="19"/>
          <w:szCs w:val="19"/>
          <w:color w:val="auto"/>
        </w:rPr>
        <w:t>, and (b) the right to obtain all renewals thereof.</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Other Definitional Provisions</w:t>
      </w:r>
      <w:r>
        <w:rPr>
          <w:rFonts w:ascii="Arial" w:cs="Arial" w:eastAsia="Arial" w:hAnsi="Arial"/>
          <w:sz w:val="20"/>
          <w:szCs w:val="20"/>
          <w:color w:val="auto"/>
        </w:rPr>
        <w:t xml:space="preserve">. The rules of interpretation set forth in Section 1.2 of the Credit Agreement are by this reference incorporated herein, </w:t>
      </w:r>
      <w:r>
        <w:rPr>
          <w:rFonts w:ascii="Arial" w:cs="Arial" w:eastAsia="Arial" w:hAnsi="Arial"/>
          <w:sz w:val="20"/>
          <w:szCs w:val="20"/>
          <w:i w:val="1"/>
          <w:iCs w:val="1"/>
          <w:color w:val="auto"/>
        </w:rPr>
        <w:t>mutatis mutandis</w:t>
      </w:r>
      <w:r>
        <w:rPr>
          <w:rFonts w:ascii="Arial" w:cs="Arial" w:eastAsia="Arial" w:hAnsi="Arial"/>
          <w:sz w:val="20"/>
          <w:szCs w:val="20"/>
          <w:color w:val="auto"/>
        </w:rPr>
        <w:t>, as if set forth herein in full.</w:t>
      </w:r>
    </w:p>
    <w:p>
      <w:pPr>
        <w:spacing w:after="0" w:line="17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8"/>
          <w:szCs w:val="18"/>
          <w:b w:val="1"/>
          <w:bCs w:val="1"/>
          <w:color w:val="auto"/>
        </w:rPr>
        <w:t>Guarantee.</w:t>
      </w:r>
    </w:p>
    <w:p>
      <w:pPr>
        <w:spacing w:after="0" w:line="2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u w:val="single" w:color="auto"/>
          <w:color w:val="auto"/>
        </w:rPr>
        <w:t>Guarantee</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74" w:lineRule="auto"/>
        <w:tabs>
          <w:tab w:leader="none" w:pos="198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Each Grantor who has executed this Agreement as of the date hereof, together with each Subsidiary of any Grantor who accedes to this Agreement as a Grantor after the date hereof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of the Credit Agreement or otherwise (each a “</w:t>
      </w:r>
      <w:r>
        <w:rPr>
          <w:rFonts w:ascii="Arial" w:cs="Arial" w:eastAsia="Arial" w:hAnsi="Arial"/>
          <w:sz w:val="18"/>
          <w:szCs w:val="18"/>
          <w:b w:val="1"/>
          <w:bCs w:val="1"/>
          <w:i w:val="1"/>
          <w:iCs w:val="1"/>
          <w:color w:val="auto"/>
        </w:rPr>
        <w:t>Guarantor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Guarantors</w:t>
      </w:r>
      <w:r>
        <w:rPr>
          <w:rFonts w:ascii="Arial" w:cs="Arial" w:eastAsia="Arial" w:hAnsi="Arial"/>
          <w:sz w:val="18"/>
          <w:szCs w:val="18"/>
          <w:color w:val="auto"/>
        </w:rPr>
        <w:t>”), hereby, jointly and severally, unconditionally and irrevocably, guarantees to the Administrative Agent, for the ratable benefit of the Secured Parties and their respective successors, indorsees, transferees and assigns, the prompt and complete payment and performance by the Borrower and the other Loan Parties when due (whether at the stated maturity, by acceleration or otherwise) of the Secured Obligations. In furtherance of the foregoing, and without limiting the generality thereof, each Guarantor agrees as follows:</w:t>
      </w:r>
    </w:p>
    <w:p>
      <w:pPr>
        <w:spacing w:after="0" w:line="168" w:lineRule="exact"/>
        <w:rPr>
          <w:rFonts w:ascii="Arial" w:cs="Arial" w:eastAsia="Arial" w:hAnsi="Arial"/>
          <w:sz w:val="18"/>
          <w:szCs w:val="18"/>
          <w:color w:val="auto"/>
        </w:rPr>
      </w:pPr>
    </w:p>
    <w:p>
      <w:pPr>
        <w:jc w:val="both"/>
        <w:ind w:firstLine="1952"/>
        <w:spacing w:after="0" w:line="246" w:lineRule="auto"/>
        <w:tabs>
          <w:tab w:leader="none" w:pos="2683" w:val="left"/>
        </w:tabs>
        <w:numPr>
          <w:ilvl w:val="1"/>
          <w:numId w:val="179"/>
        </w:numPr>
        <w:rPr>
          <w:rFonts w:ascii="Arial" w:cs="Arial" w:eastAsia="Arial" w:hAnsi="Arial"/>
          <w:sz w:val="20"/>
          <w:szCs w:val="20"/>
          <w:color w:val="auto"/>
        </w:rPr>
      </w:pPr>
      <w:r>
        <w:rPr>
          <w:rFonts w:ascii="Arial" w:cs="Arial" w:eastAsia="Arial" w:hAnsi="Arial"/>
          <w:sz w:val="20"/>
          <w:szCs w:val="20"/>
          <w:color w:val="auto"/>
        </w:rPr>
        <w:t>each Guarantor’s liability hereunder shall be the immediate, direct, and primary obligation of such Guarantor and shall not be contingent upon the Administrative Agent’s or any Secured Party’s exercise or enforcement of any remedy it or they may have against the Borrower, any Guarantor, any other Person, or all or any portion of the Collateral;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6" w:name="page177"/>
    <w:bookmarkEnd w:id="176"/>
    <w:p>
      <w:pPr>
        <w:jc w:val="both"/>
        <w:ind w:firstLine="1952"/>
        <w:spacing w:after="0" w:line="250" w:lineRule="auto"/>
        <w:tabs>
          <w:tab w:leader="none" w:pos="2689" w:val="left"/>
        </w:tabs>
        <w:numPr>
          <w:ilvl w:val="1"/>
          <w:numId w:val="180"/>
        </w:numPr>
        <w:rPr>
          <w:rFonts w:ascii="Arial" w:cs="Arial" w:eastAsia="Arial" w:hAnsi="Arial"/>
          <w:sz w:val="20"/>
          <w:szCs w:val="20"/>
          <w:color w:val="auto"/>
        </w:rPr>
      </w:pPr>
      <w:r>
        <w:rPr>
          <w:rFonts w:ascii="Arial" w:cs="Arial" w:eastAsia="Arial" w:hAnsi="Arial"/>
          <w:sz w:val="20"/>
          <w:szCs w:val="20"/>
          <w:color w:val="auto"/>
        </w:rPr>
        <w:t>the Administrative Agent may enforce this guaranty notwithstanding the existence of any dispute between any of the Secured Parties and the Borrower or any other Guarantor with respect to the existence of any Event of Default.</w:t>
      </w:r>
    </w:p>
    <w:p>
      <w:pPr>
        <w:spacing w:after="0" w:line="185" w:lineRule="exact"/>
        <w:rPr>
          <w:rFonts w:ascii="Arial" w:cs="Arial" w:eastAsia="Arial" w:hAnsi="Arial"/>
          <w:sz w:val="20"/>
          <w:szCs w:val="20"/>
          <w:color w:val="auto"/>
        </w:rPr>
      </w:pPr>
    </w:p>
    <w:p>
      <w:pPr>
        <w:jc w:val="both"/>
        <w:ind w:firstLine="1304"/>
        <w:spacing w:after="0" w:line="272" w:lineRule="auto"/>
        <w:tabs>
          <w:tab w:leader="none" w:pos="241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term or provision of this Agreement or any other Loan Document to the contrary notwithstanding, the maximum aggregate amount for which any Guarantor shall be liable hereunder shall not exceed the maximum amount for which such Guarantor can be liable without rendering this Agreement or any other Loan Document, as it relates to such Guarantor, subject to avoidance under requirements of Applicable Law relating to fraudulent conveyance or fraudulent transfer (including the Uniform Fraudulent Conveyance Act, the Uniform Fraudulent Transfer Act and the Bankruptcy Code or any applicable provisions of comparable requirements of Applicable Law) (collectively, “</w:t>
      </w:r>
      <w:r>
        <w:rPr>
          <w:rFonts w:ascii="Arial" w:cs="Arial" w:eastAsia="Arial" w:hAnsi="Arial"/>
          <w:sz w:val="18"/>
          <w:szCs w:val="18"/>
          <w:u w:val="single" w:color="auto"/>
          <w:color w:val="auto"/>
        </w:rPr>
        <w:t>Fraudulent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Laws</w:t>
      </w:r>
      <w:r>
        <w:rPr>
          <w:rFonts w:ascii="Arial" w:cs="Arial" w:eastAsia="Arial" w:hAnsi="Arial"/>
          <w:sz w:val="18"/>
          <w:szCs w:val="18"/>
          <w:color w:val="auto"/>
        </w:rPr>
        <w:t xml:space="preserve">”). Any analysis of the provisions of this Agreement for purposes of Fraudulent Transfer Laws shall take into account the right of contribution established in </w:t>
      </w:r>
      <w:r>
        <w:rPr>
          <w:rFonts w:ascii="Arial" w:cs="Arial" w:eastAsia="Arial" w:hAnsi="Arial"/>
          <w:sz w:val="18"/>
          <w:szCs w:val="18"/>
          <w:u w:val="single" w:color="auto"/>
          <w:color w:val="auto"/>
        </w:rPr>
        <w:t>Section 2.2</w:t>
      </w:r>
      <w:r>
        <w:rPr>
          <w:rFonts w:ascii="Arial" w:cs="Arial" w:eastAsia="Arial" w:hAnsi="Arial"/>
          <w:sz w:val="18"/>
          <w:szCs w:val="18"/>
          <w:color w:val="auto"/>
        </w:rPr>
        <w:t>, and, for purposes of such analysis, give effect to any discharge of intercompany debt as a result of any payment made under this Agreement.</w:t>
      </w:r>
    </w:p>
    <w:p>
      <w:pPr>
        <w:spacing w:after="0" w:line="170" w:lineRule="exact"/>
        <w:rPr>
          <w:rFonts w:ascii="Arial" w:cs="Arial" w:eastAsia="Arial" w:hAnsi="Arial"/>
          <w:sz w:val="18"/>
          <w:szCs w:val="18"/>
          <w:color w:val="auto"/>
        </w:rPr>
      </w:pPr>
    </w:p>
    <w:p>
      <w:pPr>
        <w:jc w:val="both"/>
        <w:ind w:right="20" w:firstLine="1304"/>
        <w:spacing w:after="0" w:line="269" w:lineRule="auto"/>
        <w:tabs>
          <w:tab w:leader="none" w:pos="2014"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Each Guarantor agrees that the Secured Obligations may at any time and from time to time exceed the amount of the liability of such Guarantor hereunder without impairing the guarantee contained in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or affecting the rights and remedies of the Administrative Agent or any other Secured Party hereunder.</w:t>
      </w:r>
    </w:p>
    <w:p>
      <w:pPr>
        <w:spacing w:after="0" w:line="169" w:lineRule="exact"/>
        <w:rPr>
          <w:rFonts w:ascii="Arial" w:cs="Arial" w:eastAsia="Arial" w:hAnsi="Arial"/>
          <w:sz w:val="19"/>
          <w:szCs w:val="19"/>
          <w:color w:val="auto"/>
        </w:rPr>
      </w:pPr>
    </w:p>
    <w:p>
      <w:pPr>
        <w:jc w:val="both"/>
        <w:ind w:firstLine="1304"/>
        <w:spacing w:after="0" w:line="250" w:lineRule="auto"/>
        <w:tabs>
          <w:tab w:leader="none" w:pos="1986"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The guarantee contained in this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shall remain in full force and effect until the Discharge of Obligations, notwithstanding that from time to time during the term of the Credit Agreement the outstanding amount of the Secured Obligations may be zero.</w:t>
      </w:r>
    </w:p>
    <w:p>
      <w:pPr>
        <w:spacing w:after="0" w:line="185" w:lineRule="exact"/>
        <w:rPr>
          <w:rFonts w:ascii="Arial" w:cs="Arial" w:eastAsia="Arial" w:hAnsi="Arial"/>
          <w:sz w:val="20"/>
          <w:szCs w:val="20"/>
          <w:color w:val="auto"/>
        </w:rPr>
      </w:pPr>
    </w:p>
    <w:p>
      <w:pPr>
        <w:ind w:right="120" w:firstLine="1304"/>
        <w:spacing w:after="0" w:line="257" w:lineRule="auto"/>
        <w:tabs>
          <w:tab w:leader="none" w:pos="1961" w:val="left"/>
        </w:tabs>
        <w:numPr>
          <w:ilvl w:val="0"/>
          <w:numId w:val="181"/>
        </w:numPr>
        <w:rPr>
          <w:rFonts w:ascii="Arial" w:cs="Arial" w:eastAsia="Arial" w:hAnsi="Arial"/>
          <w:sz w:val="19"/>
          <w:szCs w:val="19"/>
          <w:color w:val="auto"/>
        </w:rPr>
      </w:pPr>
      <w:r>
        <w:rPr>
          <w:rFonts w:ascii="Arial" w:cs="Arial" w:eastAsia="Arial" w:hAnsi="Arial"/>
          <w:sz w:val="19"/>
          <w:szCs w:val="19"/>
          <w:color w:val="auto"/>
        </w:rPr>
        <w:t>No payment made by the Borrower, any Guarantor, any other guarantor or any other Person or received or collected by the Administrative Agent or any other Secured Party from the Borrower, any Guarantor, any other guarantor or any other Person by virtue of any action or proceeding or any setoff or appropriation or application at any time or from time to time in reduction of or in payment of the Secured Obligations shall be deemed to modify, reduce, release or otherwise affect the liability of any Guarantor hereunder which shall, notwithstanding any such payment (other than any payment made by such Guarantor in respect of the Secured Obligations or any payment received or collected from such Guarantor in respect of the Secured Obligations), remain liable for the Secured Obligations up to the maximum liability of such Guarantor hereunder until the Discharge of Obligations.</w:t>
      </w:r>
    </w:p>
    <w:p>
      <w:pPr>
        <w:spacing w:after="0" w:line="180"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Right of Contribution</w:t>
      </w:r>
      <w:r>
        <w:rPr>
          <w:rFonts w:ascii="Arial" w:cs="Arial" w:eastAsia="Arial" w:hAnsi="Arial"/>
          <w:sz w:val="16"/>
          <w:szCs w:val="16"/>
          <w:color w:val="auto"/>
        </w:rPr>
        <w:t xml:space="preserve">. If in connection with any payment made by any Guarantor hereunder any rights of contribution arise in favor of such Guarantor against one or more other Guarantors, such rights of contribution shall be subject to the terms and conditions of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in no respect limit the obligations and liabilities of any Guarantor to the Administrative Agent and the other Secured Parties, and each Guarantor shall remain liable to the Administrative Agent and the other Secured Parties for the full amount guaranteed by such Guarantor hereunder.</w:t>
      </w:r>
    </w:p>
    <w:p>
      <w:pPr>
        <w:spacing w:after="0" w:line="1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Subrogation</w:t>
      </w:r>
      <w:r>
        <w:rPr>
          <w:rFonts w:ascii="Arial" w:cs="Arial" w:eastAsia="Arial" w:hAnsi="Arial"/>
          <w:sz w:val="18"/>
          <w:szCs w:val="18"/>
          <w:color w:val="auto"/>
        </w:rPr>
        <w:t>. Notwithstanding any payment made by any Guarantor hereunder or any setoff or application of funds of any Guarantor by the Administrative Agent or any other Secured Party, no Guarantor shall be entitled to be subrogated to any of the rights of the Administrative Agent or any other Secured Party against the Borrower or any other Guarantor or any Collateral or guarantee or right of offset held by the Administrative Agent or any other Secured Party for the payment of the Secured Obligations, nor shall any Guarantor seek or be entitled to seek any contribution or reimbursement from the Borrower or any other Guarantor in respect of payments made by such Guarantor hereunder, in each case, until the Discharge of Obligations. If any amount shall be paid to any Guarantor on account of such subrogation rights at any time prior to the Discharge of Obligations, such amount shall be held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7" w:name="page178"/>
    <w:bookmarkEnd w:id="177"/>
    <w:p>
      <w:pPr>
        <w:jc w:val="both"/>
        <w:spacing w:after="0" w:line="282" w:lineRule="auto"/>
        <w:rPr>
          <w:sz w:val="20"/>
          <w:szCs w:val="20"/>
          <w:color w:val="auto"/>
        </w:rPr>
      </w:pPr>
      <w:r>
        <w:rPr>
          <w:rFonts w:ascii="Arial" w:cs="Arial" w:eastAsia="Arial" w:hAnsi="Arial"/>
          <w:sz w:val="18"/>
          <w:szCs w:val="18"/>
          <w:color w:val="auto"/>
        </w:rPr>
        <w:t xml:space="preserve">Guarantor in trust for the Administrative Agent and the other Secured Parties, shall be segregated from other funds of such Guarantor, and shall, forthwith upon receipt by such Guarantor, be turned over to the Administrative Agent in the exact form received by such Guarantor (duly indorsed by such Guarantor to the Administrative Agent, if required), to be applied in such order as set forth in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hereof irrespective of the occurrence or the continuance of any Event of Default.</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Amendments, etc. with respect to the Secured Obligations</w:t>
      </w:r>
      <w:r>
        <w:rPr>
          <w:rFonts w:ascii="Arial" w:cs="Arial" w:eastAsia="Arial" w:hAnsi="Arial"/>
          <w:sz w:val="18"/>
          <w:szCs w:val="18"/>
          <w:color w:val="auto"/>
        </w:rPr>
        <w:t xml:space="preserve">. Each Guarantor shall remain obligated hereunder notwithstanding that, without any reservation of rights against any Guarantor and without notice to or further assent by any Guarantor, any demand for payment of any of the Secured Obligations made by the Administrative Agent or any other Secured Party may be rescinded by the Administrative Agent or such Secured Party and any of the Secured Obligations continued, and the Secured Obligations, or the liability of any other Person upon or for any part thereof, or any collateral security or guarantee therefor or right of offset with respect thereto, may, from time to time, in whole or in part, be renewed, increased, extended, amended, modified, accelerated, compromised, waived, surrendered or released by the Administrative Agent or any other Secured Party, and the Credit Agreement, the other Loan Documents, the Specified Swap Agreements, the Cash Management Agreements and any other documents executed and delivered in connection therewith may be amended, modified, supplemented or terminated, in whole or in part, as the Administrative Agent (or the Required Lenders or all of the Lenders, as the case may be) may deem advisable from time to time, and any collateral security, guarantee or right of offset at any time held by the Administrative Agent or any other Secured Party for the payment of the Secured Obligations may be sold, exchanged, waived, surrendered or released. Neither the Administrative Agent nor any other Secured Party shall have any obligation to protect, secure, perfect or insure any Lien at any time held by it as security for the Secured Obligations or for 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any property subject thereto.</w:t>
      </w:r>
    </w:p>
    <w:p>
      <w:pPr>
        <w:spacing w:after="0" w:line="17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Guarantee Absolute and Unconditional; Guarantor Waivers; Guarantor Consents</w:t>
      </w:r>
      <w:r>
        <w:rPr>
          <w:rFonts w:ascii="Arial" w:cs="Arial" w:eastAsia="Arial" w:hAnsi="Arial"/>
          <w:sz w:val="16"/>
          <w:szCs w:val="16"/>
          <w:color w:val="auto"/>
        </w:rPr>
        <w:t xml:space="preserve">. Each Guarantor waives any and all notice of the creation, renewal, extension or accrual of any of the Secured Obligations and notice of or proof of reliance by the Administrative Agent or any other Secured Party upon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acceptance of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the Secured Obligations, and any of them, shall conclusively be deemed to have been created, contracted or incurred, or renewed, increased, extended, amended or waived, in reliance upon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and all dealings between the Borrower and any of the Guarantors on the one hand, and the Administrative Agent and the other Secured Parties, on the other hand, likewise shall be conclusively presumed to have been had or consummated in reliance upon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Each Guarantor further waives:</w:t>
      </w:r>
    </w:p>
    <w:p>
      <w:pPr>
        <w:spacing w:after="0" w:line="145" w:lineRule="exact"/>
        <w:rPr>
          <w:sz w:val="20"/>
          <w:szCs w:val="20"/>
          <w:color w:val="auto"/>
        </w:rPr>
      </w:pPr>
    </w:p>
    <w:p>
      <w:pPr>
        <w:ind w:firstLine="1304"/>
        <w:spacing w:after="0" w:line="260" w:lineRule="auto"/>
        <w:tabs>
          <w:tab w:leader="none" w:pos="1961" w:val="left"/>
        </w:tabs>
        <w:numPr>
          <w:ilvl w:val="0"/>
          <w:numId w:val="182"/>
        </w:numPr>
        <w:rPr>
          <w:rFonts w:ascii="Arial" w:cs="Arial" w:eastAsia="Arial" w:hAnsi="Arial"/>
          <w:sz w:val="20"/>
          <w:szCs w:val="20"/>
          <w:color w:val="auto"/>
        </w:rPr>
      </w:pPr>
      <w:r>
        <w:rPr>
          <w:rFonts w:ascii="Arial" w:cs="Arial" w:eastAsia="Arial" w:hAnsi="Arial"/>
          <w:sz w:val="20"/>
          <w:szCs w:val="20"/>
          <w:color w:val="auto"/>
        </w:rPr>
        <w:t>diligence, presentment, protest, demand for payment and notice of default or nonpayment to or upon the Borrower or any of the other Guarantors with respect to the Secured Obligations;</w:t>
      </w:r>
    </w:p>
    <w:p>
      <w:pPr>
        <w:spacing w:after="0" w:line="176" w:lineRule="exact"/>
        <w:rPr>
          <w:rFonts w:ascii="Arial" w:cs="Arial" w:eastAsia="Arial" w:hAnsi="Arial"/>
          <w:sz w:val="20"/>
          <w:szCs w:val="20"/>
          <w:color w:val="auto"/>
        </w:rPr>
      </w:pPr>
    </w:p>
    <w:p>
      <w:pPr>
        <w:jc w:val="both"/>
        <w:ind w:firstLine="1304"/>
        <w:spacing w:after="0" w:line="259" w:lineRule="auto"/>
        <w:tabs>
          <w:tab w:leader="none" w:pos="2045" w:val="left"/>
        </w:tabs>
        <w:numPr>
          <w:ilvl w:val="0"/>
          <w:numId w:val="182"/>
        </w:numPr>
        <w:rPr>
          <w:rFonts w:ascii="Arial" w:cs="Arial" w:eastAsia="Arial" w:hAnsi="Arial"/>
          <w:sz w:val="19"/>
          <w:szCs w:val="19"/>
          <w:color w:val="auto"/>
        </w:rPr>
      </w:pPr>
      <w:r>
        <w:rPr>
          <w:rFonts w:ascii="Arial" w:cs="Arial" w:eastAsia="Arial" w:hAnsi="Arial"/>
          <w:sz w:val="19"/>
          <w:szCs w:val="19"/>
          <w:color w:val="auto"/>
        </w:rPr>
        <w:t>any right to require any Secured Party to marshal assets in favor of the Borrower, such Guarantor, any other Guarantor or any other Person, to proceed against the Borrower, any other Guarantor or any other Person, to proceed against or exhaust any of the Collateral, to give notice of the terms, time and place of any public or private sale of personal property security constituting the Collateral or other collateral for the Secured Obligations or to comply with any other provisions of Section 9-611 of the UCC (or any equivalent provision of any other applicable law) or to pursue any other right, remedy, power or privilege of any Secured Party whatsoever;</w:t>
      </w:r>
    </w:p>
    <w:p>
      <w:pPr>
        <w:spacing w:after="0" w:line="178" w:lineRule="exact"/>
        <w:rPr>
          <w:rFonts w:ascii="Arial" w:cs="Arial" w:eastAsia="Arial" w:hAnsi="Arial"/>
          <w:sz w:val="19"/>
          <w:szCs w:val="19"/>
          <w:color w:val="auto"/>
        </w:rPr>
      </w:pPr>
    </w:p>
    <w:p>
      <w:pPr>
        <w:ind w:firstLine="1304"/>
        <w:spacing w:after="0" w:line="260" w:lineRule="auto"/>
        <w:tabs>
          <w:tab w:leader="none" w:pos="199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defense of the statute of limitations in any action hereunder or for the collection or performance of the Secured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8" w:name="page179"/>
    <w:bookmarkEnd w:id="178"/>
    <w:p>
      <w:pPr>
        <w:ind w:firstLine="1304"/>
        <w:spacing w:after="0" w:line="260" w:lineRule="auto"/>
        <w:tabs>
          <w:tab w:leader="none" w:pos="199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any defense arising by reason of any lack of corporate or other authority or any other defense of the Borrower, such Guarantor or any other Person;</w:t>
      </w:r>
    </w:p>
    <w:p>
      <w:pPr>
        <w:spacing w:after="0" w:line="176" w:lineRule="exact"/>
        <w:rPr>
          <w:rFonts w:ascii="Arial" w:cs="Arial" w:eastAsia="Arial" w:hAnsi="Arial"/>
          <w:sz w:val="20"/>
          <w:szCs w:val="20"/>
          <w:color w:val="auto"/>
        </w:rPr>
      </w:pPr>
    </w:p>
    <w:p>
      <w:pPr>
        <w:ind w:right="20" w:firstLine="1304"/>
        <w:spacing w:after="0" w:line="260" w:lineRule="auto"/>
        <w:tabs>
          <w:tab w:leader="none" w:pos="2061" w:val="left"/>
        </w:tabs>
        <w:numPr>
          <w:ilvl w:val="0"/>
          <w:numId w:val="183"/>
        </w:numPr>
        <w:rPr>
          <w:rFonts w:ascii="Arial" w:cs="Arial" w:eastAsia="Arial" w:hAnsi="Arial"/>
          <w:sz w:val="20"/>
          <w:szCs w:val="20"/>
          <w:color w:val="auto"/>
        </w:rPr>
      </w:pPr>
      <w:r>
        <w:rPr>
          <w:rFonts w:ascii="Arial" w:cs="Arial" w:eastAsia="Arial" w:hAnsi="Arial"/>
          <w:sz w:val="20"/>
          <w:szCs w:val="20"/>
          <w:color w:val="auto"/>
        </w:rPr>
        <w:t>any defense based upon the Administrative Agent’s or any Secured Party’s errors or omissions in the administration of the Secured Obligations;</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any rights to set-offs and counterclaims; and</w:t>
      </w:r>
    </w:p>
    <w:p>
      <w:pPr>
        <w:spacing w:after="0" w:line="215" w:lineRule="exact"/>
        <w:rPr>
          <w:rFonts w:ascii="Arial" w:cs="Arial" w:eastAsia="Arial" w:hAnsi="Arial"/>
          <w:sz w:val="20"/>
          <w:szCs w:val="20"/>
          <w:color w:val="auto"/>
        </w:rPr>
      </w:pPr>
    </w:p>
    <w:p>
      <w:pPr>
        <w:jc w:val="both"/>
        <w:ind w:firstLine="1304"/>
        <w:spacing w:after="0" w:line="272" w:lineRule="auto"/>
        <w:tabs>
          <w:tab w:leader="none" w:pos="200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without limiting the generality of the foregoing, to the fullest extent permitted by law, any defenses or benefits that may be derived from or afforded by applicable law that limit the liability of or exonerate guarantors or sureties, or which may conflict with the terms of this Agreement, including all rights and defenses (i) arising out of an election of remedies by any Secured Party, even though that election of remedies, such as a nonjudicial foreclosure with respect to security for a guaranteed obligation, has destroyed such Guarantor’s rights of subrogation and reimbursement against any applicable Loan Party by the operation of Section 580 or 726 of the California Code of Civil Procedure or otherwise, and (ii) relating to any suretyship defenses available to it under the California UCC or any other applicable law, including any rights and defenses which are or may become available to such Guarantor by reason of California Civil Code Sections 1432, 2787 through 2855, 2899, and 3433 or California Code of Civil Procedure Sections 580 or 726.</w:t>
      </w:r>
    </w:p>
    <w:p>
      <w:pPr>
        <w:spacing w:after="0" w:line="170"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 xml:space="preserve">Each Guarantor understands and agrees that 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construed as a continuing, absolute and unconditional guarantee of payment and performance without regard to (1) the validity or enforceability of the Credit Agreement or any other Loan Document, any of the Secured Obligations or any other collateral security therefor or guarantee or right of offset with respect thereto at any time or from time to time held by the Administrative Agent or any other Secured Party, (2) any defense, setoff or counterclaim (other than a defense of payment or performance) which may at any time be available to or be asserted by the Borrower or any other Person against the Administrative Agent or any other Secured Party, (3) any other circumstance whatsoever (with or without notice to or knowledge of the Borrower or such Guarantor) which constitutes, or might be construed to constitute, an equitable or legal discharge of the Borrower and the Guarantors for the Secured Obligations, or of such Guarantor under 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in bankruptcy or in any other instance, (4) any Insolvency Proceeding with respect to the Borrower, any Guarantor or any other Person, (5) any merger, acquisition, consolidation or change in structure of the Borrower, any Guarantor or any other Person, or any sale, lease, transfer or other disposition of any or all of the assets or Capital Stock of the Borrower, any Guarantor or any other Person, (6) any assignment or other transfer, in whole or in part, of any Secured Party’s interests in and rights under this Agreement or the other Loan Documents, including any Secured Party’s right to receive payment of the Secured Obligations, or any assignment or other transfer, in whole or in part, of any Secured Party’s interests in and to any of the Collateral, (7) any Secured Party’s vote, claim, distribution, election, acceptance, action or inaction in any Insolvency Proceeding related to any of the Secured Obligations, and (8) any other guaranty, whether by such Guarantor or any other Person, of all or any part of the Secured Obligations or any other indebtedness, obligations or liabilities of any Guarantor to any Secured Party.</w:t>
      </w:r>
    </w:p>
    <w:p>
      <w:pPr>
        <w:spacing w:after="0" w:line="18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When making any demand hereunder or otherwise pursuing its rights and remedies hereunder against any Guarantor, the Administrative Agent or any other Secured Party may, but shall be under no obligation to make a similar demand on or otherwise pursue such rights and remedies as it may have against the Borrower, any other Guarantor or any other Person or against any collateral security or guarantee for the Secured Obligations or any right of offset with respect thereto. Any failure by the Administrative Agent or any other Secured Party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9" w:name="page180"/>
    <w:bookmarkEnd w:id="179"/>
    <w:p>
      <w:pPr>
        <w:jc w:val="both"/>
        <w:spacing w:after="0" w:line="246" w:lineRule="auto"/>
        <w:rPr>
          <w:sz w:val="20"/>
          <w:szCs w:val="20"/>
          <w:color w:val="auto"/>
        </w:rPr>
      </w:pPr>
      <w:r>
        <w:rPr>
          <w:rFonts w:ascii="Arial" w:cs="Arial" w:eastAsia="Arial" w:hAnsi="Arial"/>
          <w:sz w:val="20"/>
          <w:szCs w:val="20"/>
          <w:color w:val="auto"/>
        </w:rPr>
        <w:t>right of offset, shall not relieve any Guarantor of any obligation or liability hereunder, and shall not impair or affect the rights and remedies, whether express, implied or available as a matter of law, of the Administrative Agent or any other Secured Party against any Guarantor. For the purposes hereof “demand” shall include the commencement and continuance of any legal proceedings.</w:t>
      </w:r>
    </w:p>
    <w:p>
      <w:pPr>
        <w:spacing w:after="0" w:line="19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Each Guarantor acknowledges that all or any portion of the Secured Obligations may now or hereafter be secured by a Lien or Liens upon real property owned or leased by any Borrower or any other Guarantor and evidenced by certain documents including, without limitation, deeds of trust and assignments of rents. Any Secured Party may, pursuant to the terms of said real property security documents and applicable law, foreclose under all or any portion of one or more of said Liens by means of judicial or nonjudicial sale or sales. Each Guarantor agrees that any Secured Party may exercise whatever rights and remedies it may have with respect to said real property security, all without affecting the liability of any Guarantor hereunder, except to the extent such Secured Party realizes payment by such action or proceeding. No election to proceed in one form of action or against any party, or on any obligation shall constitute a waiver of any Secured Party’s right to proceed in any other form of action or against any Guarantor or any other Person, or diminish the liability of any Guarantor, or affect the right of such Secured Party to proceed against any Guarantor for any deficiency, except to the extent such Secured Party realizes payment by such action, notwithstanding the effect of such action upon any Guarantor’s rights of subrogation, reimbursement or indemnity, if any, against any Borrower, any other Guarantor or any other Person. Without limiting the generality of the foregoing, each Guarantor expressly waives, to the extent permitted by law, all rights, benefits and defenses (other than payment in full), if any, applicable or available to such Guarantor.</w:t>
      </w:r>
    </w:p>
    <w:p>
      <w:pPr>
        <w:spacing w:after="0" w:line="18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Each Guarantor further unconditionally consents and agrees that, without notice to or further assent from any Guarantor: (A) the principal amount of the Secured Obligations may be increased or decreased and additional indebtedness or obligations of the Borrower or any other Persons under the Loan Documents may be incurred, by one or more amendments, modifications, renewals or extensions of any Loan Document or otherwise; (B) the time, manner, place or terms of any payment under any Loan Document may be extended or changed, including by an increase or decrease in the interest rate on any Secured Obligation or any fee or other amount payable under such Loan Document, by an amendment, modification or renewal of any Loan Document or otherwise; (C) the time for the Borrower’s (or any other Loan Party’s) performance of or compliance with any term, covenant or agreement on its part to be performed or observed under any Loan Document may be extended, or such performance or compliance waived, or failure in or departure from such performance or compliance consented to, all in such manner and upon such terms as the Administrative Agent may deem proper; (D) in addition to the Collateral, the Secured Parties may take and hold other security (legal or equitable) of any kind, at any time, as collateral for the Secured Obligations, and may, from time to time, in whole or in part, exchange, sell, surrender, release, subordinate, modify, waive, rescind, compromise or extend such security and may permit or consent to any such action or the result of any such action, and may apply such security and direct the order or manner of sale thereof; (E) any Secured Party may discharge or release, in whole or in part, any other Guarantor or any other Loan Party or other Person liable for the payment and performance of all or any part of the Secured Obligations, and may permit or consent to any such action or any result of such action, and shall not be obligated to demand or enforce payment upon any of the Collateral, nor shall any Secured Party be liable to any Guarantor for any failure to collect or enforce payment or performance of the Secured Obligations from any Person or to realize upon the Collateral, and (F) the Secured Parties may request and accept other guaranties of the Secured Obligations and any other indebtedness, obligations or liabilities of the Borrower or any other Loan Party to any Secured Party and may, from time to time, in whole or in part, surrender, release, subordinate, modify, waive, rescind, compromise or extend any such guaranty and may permit or consent to any such action or the result of any such action; in each case of clauses (A) through (F), as the Secured Parties may deem advisable, and without impairing, abridging, releasing or affecting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80" w:name="page181"/>
    <w:bookmarkEnd w:id="180"/>
    <w:p>
      <w:pPr>
        <w:jc w:val="both"/>
        <w:ind w:firstLine="648"/>
        <w:spacing w:after="0" w:line="257"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Reinstatement</w:t>
      </w:r>
      <w:r>
        <w:rPr>
          <w:rFonts w:ascii="Arial" w:cs="Arial" w:eastAsia="Arial" w:hAnsi="Arial"/>
          <w:sz w:val="19"/>
          <w:szCs w:val="19"/>
          <w:color w:val="auto"/>
        </w:rPr>
        <w:t xml:space="preserve">. The guarantee contained in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shall continue to be effective, or be reinstated, as the case may be, if at any time payment, or any part thereof, of any of the Secured Obligations is rescinded or reduced in an amount or must otherwise be restored or returned by the Administrative Agent or any other Secured Party upon the insolvency, bankruptcy, dissolution, liquidation or reorganization of the Borrower or any Guarantor, or upon or as a result of the appointment of a receiver, administrator, administrative receiver, executor, intervenor or conservator of, or trustee or similar officer for, the Borrower or any such Guarantor or any substantial part of its respective property, or otherwise, all as though such payments had not been made.</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2.7 </w:t>
      </w:r>
      <w:r>
        <w:rPr>
          <w:rFonts w:ascii="Arial" w:cs="Arial" w:eastAsia="Arial" w:hAnsi="Arial"/>
          <w:sz w:val="20"/>
          <w:szCs w:val="20"/>
          <w:u w:val="single" w:color="auto"/>
          <w:color w:val="auto"/>
        </w:rPr>
        <w:t>Payments</w:t>
      </w:r>
      <w:r>
        <w:rPr>
          <w:rFonts w:ascii="Arial" w:cs="Arial" w:eastAsia="Arial" w:hAnsi="Arial"/>
          <w:sz w:val="20"/>
          <w:szCs w:val="20"/>
          <w:color w:val="auto"/>
        </w:rPr>
        <w:t>. Each Guarantor hereby guarantees that payments hereunder will be paid to the Administrative Agent without setoff or counterclaim in Dollars at the Funding Office.</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Keepwell</w:t>
      </w:r>
      <w:r>
        <w:rPr>
          <w:rFonts w:ascii="Arial" w:cs="Arial" w:eastAsia="Arial" w:hAnsi="Arial"/>
          <w:sz w:val="19"/>
          <w:szCs w:val="19"/>
          <w:color w:val="auto"/>
        </w:rPr>
        <w:t>. Each Qualified ECP Guarantor hereby jointly and severally absolutely, unconditionally and irrevocably undertakes to provide such funds or other support as may be needed from time to time by each other Loan Party to honor all of its obligations under this Agreement in respect of Secured Obligations under Specified Swap Agreements (provided that, each Qualified ECP Guarantor shall only be liable under this Section 2.8 for the maximum amount of such liability that can be hereby incurred without rendering its obligations under this Section 2.8 or otherwise under this Agreement, voidable under applicable law relating to fraudulent conveyance or fraudulent transfer, and not for any greater amount). The obligations of each Qualified ECP Guarantor under this Section 2.8 shall remain in full force and effect until the Discharge of Obligations. Each Qualified ECP Guarantor intends that this Section 2.8 constitute, and this Section 2.8 shall be deemed to constitute, a “keepwell, support, or other agreement” for the benefit of each other Loan Party for all purposes of Section 1a(18)(A)(v)(II) of the Commodity Exchange Act.</w:t>
      </w:r>
    </w:p>
    <w:p>
      <w:pPr>
        <w:spacing w:after="0" w:line="190" w:lineRule="exact"/>
        <w:rPr>
          <w:sz w:val="20"/>
          <w:szCs w:val="20"/>
          <w:color w:val="auto"/>
        </w:rPr>
      </w:pPr>
    </w:p>
    <w:p>
      <w:pPr>
        <w:jc w:val="center"/>
        <w:ind w:right="-19"/>
        <w:spacing w:after="0"/>
        <w:tabs>
          <w:tab w:leader="none" w:pos="24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color w:val="auto"/>
        </w:rPr>
        <w:t>GRANT OF SECURITY INTEREST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Grant of Security Interests</w:t>
      </w:r>
      <w:r>
        <w:rPr>
          <w:rFonts w:ascii="Arial" w:cs="Arial" w:eastAsia="Arial" w:hAnsi="Arial"/>
          <w:sz w:val="20"/>
          <w:szCs w:val="20"/>
          <w:color w:val="auto"/>
        </w:rPr>
        <w:t>. Each Grantor hereby grants to the Administrative Agent, for the ratable benefit of the Secured Parties, a security interest in all of the following property now owned or at any time hereafter acquired by such Grantor or in which such Grantor now has or at any time in the future may acquire any right, title or interest and wherever located (collectively, the “</w:t>
      </w:r>
      <w:r>
        <w:rPr>
          <w:rFonts w:ascii="Arial" w:cs="Arial" w:eastAsia="Arial" w:hAnsi="Arial"/>
          <w:sz w:val="20"/>
          <w:szCs w:val="20"/>
          <w:u w:val="single" w:color="auto"/>
          <w:color w:val="auto"/>
        </w:rPr>
        <w:t>Collateral</w:t>
      </w:r>
      <w:r>
        <w:rPr>
          <w:rFonts w:ascii="Arial" w:cs="Arial" w:eastAsia="Arial" w:hAnsi="Arial"/>
          <w:sz w:val="20"/>
          <w:szCs w:val="20"/>
          <w:color w:val="auto"/>
        </w:rPr>
        <w:t>”), as collateral security for the prompt and complete payment and performance when due (whether at the stated maturity, by acceleration or otherwise) of the Secured Obligations (whether now existing or arising hereafter):</w:t>
      </w:r>
    </w:p>
    <w:p>
      <w:pPr>
        <w:spacing w:after="0" w:line="196" w:lineRule="exact"/>
        <w:rPr>
          <w:sz w:val="20"/>
          <w:szCs w:val="20"/>
          <w:color w:val="auto"/>
        </w:rPr>
      </w:pPr>
    </w:p>
    <w:p>
      <w:pPr>
        <w:ind w:left="1960" w:hanging="656"/>
        <w:spacing w:after="0"/>
        <w:tabs>
          <w:tab w:leader="none" w:pos="196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all Accounts;</w:t>
      </w:r>
    </w:p>
    <w:p>
      <w:pPr>
        <w:spacing w:after="0" w:line="215" w:lineRule="exact"/>
        <w:rPr>
          <w:rFonts w:ascii="Arial" w:cs="Arial" w:eastAsia="Arial" w:hAnsi="Arial"/>
          <w:sz w:val="20"/>
          <w:szCs w:val="20"/>
          <w:color w:val="auto"/>
        </w:rPr>
      </w:pPr>
    </w:p>
    <w:p>
      <w:pPr>
        <w:ind w:left="1980" w:hanging="676"/>
        <w:spacing w:after="0"/>
        <w:tabs>
          <w:tab w:leader="none" w:pos="198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all Chattel Paper;</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 xml:space="preserve">all Commercial Tort Claims (including as set forth on </w:t>
      </w:r>
      <w:r>
        <w:rPr>
          <w:rFonts w:ascii="Arial" w:cs="Arial" w:eastAsia="Arial" w:hAnsi="Arial"/>
          <w:sz w:val="20"/>
          <w:szCs w:val="20"/>
          <w:u w:val="single" w:color="auto"/>
          <w:color w:val="auto"/>
        </w:rPr>
        <w:t>Schedule 8</w:t>
      </w:r>
      <w:r>
        <w:rPr>
          <w:rFonts w:ascii="Arial" w:cs="Arial" w:eastAsia="Arial" w:hAnsi="Arial"/>
          <w:sz w:val="20"/>
          <w:szCs w:val="20"/>
          <w:color w:val="auto"/>
        </w:rPr>
        <w:t xml:space="preserve"> hereto);</w:t>
      </w:r>
    </w:p>
    <w:p>
      <w:pPr>
        <w:spacing w:after="0" w:line="215" w:lineRule="exact"/>
        <w:rPr>
          <w:rFonts w:ascii="Arial" w:cs="Arial" w:eastAsia="Arial" w:hAnsi="Arial"/>
          <w:sz w:val="20"/>
          <w:szCs w:val="20"/>
          <w:color w:val="auto"/>
        </w:rPr>
      </w:pPr>
    </w:p>
    <w:p>
      <w:pPr>
        <w:ind w:left="1980" w:hanging="676"/>
        <w:spacing w:after="0"/>
        <w:tabs>
          <w:tab w:leader="none" w:pos="198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all Deposit Accounts and all Securities Accounts (other than Excluded Accounts);</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all Documents;</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all Equipment;</w:t>
      </w:r>
    </w:p>
    <w:p>
      <w:pPr>
        <w:spacing w:after="0" w:line="215" w:lineRule="exact"/>
        <w:rPr>
          <w:rFonts w:ascii="Arial" w:cs="Arial" w:eastAsia="Arial" w:hAnsi="Arial"/>
          <w:sz w:val="20"/>
          <w:szCs w:val="20"/>
          <w:color w:val="auto"/>
        </w:rPr>
      </w:pPr>
    </w:p>
    <w:p>
      <w:pPr>
        <w:ind w:left="1980" w:hanging="676"/>
        <w:spacing w:after="0"/>
        <w:tabs>
          <w:tab w:leader="none" w:pos="198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all Fixtures;</w:t>
      </w:r>
    </w:p>
    <w:p>
      <w:pPr>
        <w:spacing w:after="0" w:line="215" w:lineRule="exact"/>
        <w:rPr>
          <w:rFonts w:ascii="Arial" w:cs="Arial" w:eastAsia="Arial" w:hAnsi="Arial"/>
          <w:sz w:val="20"/>
          <w:szCs w:val="20"/>
          <w:color w:val="auto"/>
        </w:rPr>
      </w:pPr>
    </w:p>
    <w:p>
      <w:pPr>
        <w:ind w:left="1980" w:hanging="676"/>
        <w:spacing w:after="0"/>
        <w:tabs>
          <w:tab w:leader="none" w:pos="198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all General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1" w:name="page182"/>
    <w:bookmarkEnd w:id="181"/>
    <w:p>
      <w:pPr>
        <w:ind w:left="1980" w:hanging="676"/>
        <w:spacing w:after="0"/>
        <w:tabs>
          <w:tab w:leader="none" w:pos="198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all Goods;</w:t>
      </w:r>
    </w:p>
    <w:p>
      <w:pPr>
        <w:spacing w:after="0" w:line="215" w:lineRule="exact"/>
        <w:rPr>
          <w:rFonts w:ascii="Arial" w:cs="Arial" w:eastAsia="Arial" w:hAnsi="Arial"/>
          <w:sz w:val="20"/>
          <w:szCs w:val="20"/>
          <w:color w:val="auto"/>
        </w:rPr>
      </w:pPr>
    </w:p>
    <w:p>
      <w:pPr>
        <w:ind w:left="1980" w:hanging="676"/>
        <w:spacing w:after="0"/>
        <w:tabs>
          <w:tab w:leader="none" w:pos="198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all Instruments;</w:t>
      </w:r>
    </w:p>
    <w:p>
      <w:pPr>
        <w:spacing w:after="0" w:line="215" w:lineRule="exact"/>
        <w:rPr>
          <w:rFonts w:ascii="Arial" w:cs="Arial" w:eastAsia="Arial" w:hAnsi="Arial"/>
          <w:sz w:val="20"/>
          <w:szCs w:val="20"/>
          <w:color w:val="auto"/>
        </w:rPr>
      </w:pPr>
    </w:p>
    <w:p>
      <w:pPr>
        <w:ind w:left="1980" w:hanging="676"/>
        <w:spacing w:after="0"/>
        <w:tabs>
          <w:tab w:leader="none" w:pos="19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Intellectual Property, including, without limitation, Copyright Licenses, Trademark Licenses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Patent Licenses;</w:t>
      </w:r>
    </w:p>
    <w:p>
      <w:pPr>
        <w:spacing w:after="0" w:line="200" w:lineRule="exact"/>
        <w:rPr>
          <w:sz w:val="20"/>
          <w:szCs w:val="20"/>
          <w:color w:val="auto"/>
        </w:rPr>
      </w:pPr>
    </w:p>
    <w:p>
      <w:pPr>
        <w:ind w:left="1980" w:hanging="676"/>
        <w:spacing w:after="0"/>
        <w:tabs>
          <w:tab w:leader="none" w:pos="198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all Inventory;</w:t>
      </w:r>
    </w:p>
    <w:p>
      <w:pPr>
        <w:spacing w:after="0" w:line="215" w:lineRule="exact"/>
        <w:rPr>
          <w:rFonts w:ascii="Arial" w:cs="Arial" w:eastAsia="Arial" w:hAnsi="Arial"/>
          <w:sz w:val="20"/>
          <w:szCs w:val="20"/>
          <w:color w:val="auto"/>
        </w:rPr>
      </w:pPr>
    </w:p>
    <w:p>
      <w:pPr>
        <w:ind w:left="1980" w:hanging="676"/>
        <w:spacing w:after="0"/>
        <w:tabs>
          <w:tab w:leader="none" w:pos="198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all Investment Property (including all Pledged Collateral);</w:t>
      </w:r>
    </w:p>
    <w:p>
      <w:pPr>
        <w:spacing w:after="0" w:line="215" w:lineRule="exact"/>
        <w:rPr>
          <w:rFonts w:ascii="Arial" w:cs="Arial" w:eastAsia="Arial" w:hAnsi="Arial"/>
          <w:sz w:val="20"/>
          <w:szCs w:val="20"/>
          <w:color w:val="auto"/>
        </w:rPr>
      </w:pPr>
    </w:p>
    <w:p>
      <w:pPr>
        <w:ind w:right="80" w:firstLine="1304"/>
        <w:spacing w:after="0" w:line="260" w:lineRule="auto"/>
        <w:tabs>
          <w:tab w:leader="none" w:pos="1972"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all Letter-of-Credit Rights; Letters of Credit (as defined in the UCC), Promissory Notes (as defined in the UCC), and Drafts (as defined in the UCC);</w:t>
      </w:r>
    </w:p>
    <w:p>
      <w:pPr>
        <w:spacing w:after="0" w:line="176" w:lineRule="exact"/>
        <w:rPr>
          <w:rFonts w:ascii="Arial" w:cs="Arial" w:eastAsia="Arial" w:hAnsi="Arial"/>
          <w:sz w:val="20"/>
          <w:szCs w:val="20"/>
          <w:color w:val="auto"/>
        </w:rPr>
      </w:pPr>
    </w:p>
    <w:p>
      <w:pPr>
        <w:ind w:left="1980" w:hanging="676"/>
        <w:spacing w:after="0"/>
        <w:tabs>
          <w:tab w:leader="none" w:pos="198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all Money;</w:t>
      </w:r>
    </w:p>
    <w:p>
      <w:pPr>
        <w:spacing w:after="0" w:line="215" w:lineRule="exact"/>
        <w:rPr>
          <w:rFonts w:ascii="Arial" w:cs="Arial" w:eastAsia="Arial" w:hAnsi="Arial"/>
          <w:sz w:val="20"/>
          <w:szCs w:val="20"/>
          <w:color w:val="auto"/>
        </w:rPr>
      </w:pPr>
    </w:p>
    <w:p>
      <w:pPr>
        <w:ind w:left="1980" w:hanging="676"/>
        <w:spacing w:after="0"/>
        <w:tabs>
          <w:tab w:leader="none" w:pos="198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all Receivables;</w:t>
      </w:r>
    </w:p>
    <w:p>
      <w:pPr>
        <w:spacing w:after="0" w:line="215" w:lineRule="exact"/>
        <w:rPr>
          <w:rFonts w:ascii="Arial" w:cs="Arial" w:eastAsia="Arial" w:hAnsi="Arial"/>
          <w:sz w:val="20"/>
          <w:szCs w:val="20"/>
          <w:color w:val="auto"/>
        </w:rPr>
      </w:pPr>
    </w:p>
    <w:p>
      <w:pPr>
        <w:ind w:left="1980" w:hanging="676"/>
        <w:spacing w:after="0"/>
        <w:tabs>
          <w:tab w:leader="none" w:pos="198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all Books and records pertaining to the Collateral</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all other property not otherwise described above; and</w:t>
      </w:r>
    </w:p>
    <w:p>
      <w:pPr>
        <w:spacing w:after="0" w:line="215" w:lineRule="exact"/>
        <w:rPr>
          <w:rFonts w:ascii="Arial" w:cs="Arial" w:eastAsia="Arial" w:hAnsi="Arial"/>
          <w:sz w:val="20"/>
          <w:szCs w:val="20"/>
          <w:color w:val="auto"/>
        </w:rPr>
      </w:pPr>
    </w:p>
    <w:p>
      <w:pPr>
        <w:jc w:val="both"/>
        <w:ind w:firstLine="1304"/>
        <w:spacing w:after="0" w:line="244" w:lineRule="auto"/>
        <w:tabs>
          <w:tab w:leader="none" w:pos="2013"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to the extent not otherwise included, all Proceeds, Supporting Obligations and products of any and all of the foregoing and all collateral security and guarantees given by any Person with respect to any of the foregoing;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notwithstanding anything to the contrary contained in clauses (a) through (r) above, the security interests created by this Agreement shall not extend to, and the term “Collateral” (including all of the individual items comprising Collateral) shall not include, any Excluded Assets.</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Grantors Remains Liable</w:t>
      </w:r>
      <w:r>
        <w:rPr>
          <w:rFonts w:ascii="Arial" w:cs="Arial" w:eastAsia="Arial" w:hAnsi="Arial"/>
          <w:sz w:val="19"/>
          <w:szCs w:val="19"/>
          <w:color w:val="auto"/>
        </w:rPr>
        <w:t>. Anything herein to the contrary notwithstanding, (a) each Grantor shall remain liable under any contracts, agreements and other documents included in the Collateral, to the extent set forth therein, to perform all of its duties and obligations thereunder to the same extent as if this Agreement had not been executed, (b) the exercise by the Administrative Agent of any of the rights granted to the Administrative Agent hereunder shall not release any Grantor from any of its duties or obligations under any such contracts, agreements and other documents included in the Collateral, and (c) neither the Administrative Agent nor any other Secured Party shall have any obligation or liability under any such contracts, agreements and other documents included in the Collateral by reason of this Agreement, nor shall the Administrative Agent or any other Secured Party be obligated to perform any of the obligations or duties of any Grantor thereunder or to take any action to collect or enforce any such contract, agreement or other document included in the Collateral hereunder.</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Perfection and Priority</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73" w:lineRule="auto"/>
        <w:tabs>
          <w:tab w:leader="none" w:pos="202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Financing Statements</w:t>
      </w:r>
      <w:r>
        <w:rPr>
          <w:rFonts w:ascii="Arial" w:cs="Arial" w:eastAsia="Arial" w:hAnsi="Arial"/>
          <w:sz w:val="18"/>
          <w:szCs w:val="18"/>
          <w:color w:val="auto"/>
        </w:rPr>
        <w:t>. Pursuant to any applicable law, each Grantor authorizes the Administrative Agent (and its counsel and its agents) to file or record at any time and from time to time any financing statements and other filing or recording documents or instruments with respect to the Collateral and each Grantor shall execute and deliver to the Administrative Agent and each Grantor hereby authorizes the Administrative Agent (and its counsel and its agents) to file (with or without the signature of such Grantor) at any time and from time to time, all amendments to financing statements, continuation financing statements, termination statements, security agreements relating to the Intellectual Property of such Grantor, assignments, fixture filings, affidavits, reports notices and all other documents and instruments, in such form and in such offices as the Administrative Agent or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2" w:name="page183"/>
    <w:bookmarkEnd w:id="182"/>
    <w:p>
      <w:pPr>
        <w:jc w:val="both"/>
        <w:spacing w:after="0" w:line="244" w:lineRule="auto"/>
        <w:rPr>
          <w:sz w:val="20"/>
          <w:szCs w:val="20"/>
          <w:color w:val="auto"/>
        </w:rPr>
      </w:pPr>
      <w:r>
        <w:rPr>
          <w:rFonts w:ascii="Arial" w:cs="Arial" w:eastAsia="Arial" w:hAnsi="Arial"/>
          <w:sz w:val="20"/>
          <w:szCs w:val="20"/>
          <w:color w:val="auto"/>
        </w:rPr>
        <w:t xml:space="preserve">reasonably determine necessary to perfect and continue perfected, maintain the priority of or provide notice of the Administrative Agent’s security interest in the Collateral under and to accomplish the purposes of this Agreement, subject to </w:t>
      </w:r>
      <w:r>
        <w:rPr>
          <w:rFonts w:ascii="Arial" w:cs="Arial" w:eastAsia="Arial" w:hAnsi="Arial"/>
          <w:sz w:val="20"/>
          <w:szCs w:val="20"/>
          <w:u w:val="single" w:color="auto"/>
          <w:color w:val="auto"/>
        </w:rPr>
        <w:t>Section 7.3</w:t>
      </w:r>
      <w:r>
        <w:rPr>
          <w:rFonts w:ascii="Arial" w:cs="Arial" w:eastAsia="Arial" w:hAnsi="Arial"/>
          <w:sz w:val="20"/>
          <w:szCs w:val="20"/>
          <w:color w:val="auto"/>
        </w:rPr>
        <w:t xml:space="preserve"> of the Credit Agreement. Each Grantor authorizes the Administrative Agent to use the collateral description “all personal property, whether now owned or hereafter acquired” or any other similar collateral description in any such financing statements.</w:t>
      </w:r>
    </w:p>
    <w:p>
      <w:pPr>
        <w:spacing w:after="0" w:line="194" w:lineRule="exact"/>
        <w:rPr>
          <w:sz w:val="20"/>
          <w:szCs w:val="20"/>
          <w:color w:val="auto"/>
        </w:rPr>
      </w:pPr>
    </w:p>
    <w:p>
      <w:pPr>
        <w:jc w:val="both"/>
        <w:ind w:firstLine="1304"/>
        <w:spacing w:after="0" w:line="250" w:lineRule="auto"/>
        <w:tabs>
          <w:tab w:leader="none" w:pos="2012"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Filing of Financing Statements</w:t>
      </w:r>
      <w:r>
        <w:rPr>
          <w:rFonts w:ascii="Arial" w:cs="Arial" w:eastAsia="Arial" w:hAnsi="Arial"/>
          <w:sz w:val="20"/>
          <w:szCs w:val="20"/>
          <w:color w:val="auto"/>
        </w:rPr>
        <w:t>. Each Grantor shall deliver to the Administrative Agent, from time to time, such completed UCC-1 financing statements for filing or recording in the appropriate filing offices as may be reasonably requested in writing by the Administrative Agent.</w:t>
      </w:r>
    </w:p>
    <w:p>
      <w:pPr>
        <w:spacing w:after="0" w:line="185" w:lineRule="exact"/>
        <w:rPr>
          <w:rFonts w:ascii="Arial" w:cs="Arial" w:eastAsia="Arial" w:hAnsi="Arial"/>
          <w:sz w:val="20"/>
          <w:szCs w:val="20"/>
          <w:color w:val="auto"/>
        </w:rPr>
      </w:pPr>
    </w:p>
    <w:p>
      <w:pPr>
        <w:jc w:val="both"/>
        <w:ind w:firstLine="1304"/>
        <w:spacing w:after="0" w:line="274" w:lineRule="auto"/>
        <w:tabs>
          <w:tab w:leader="none" w:pos="2042"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Transfer of Security Interest Other Than by Delivery</w:t>
      </w:r>
      <w:r>
        <w:rPr>
          <w:rFonts w:ascii="Arial" w:cs="Arial" w:eastAsia="Arial" w:hAnsi="Arial"/>
          <w:sz w:val="18"/>
          <w:szCs w:val="18"/>
          <w:color w:val="auto"/>
        </w:rPr>
        <w:t xml:space="preserve">. If for any reason Pledged Collateral cannot be delivered to or for the account of the Administrative Agent as provided in </w:t>
      </w:r>
      <w:r>
        <w:rPr>
          <w:rFonts w:ascii="Arial" w:cs="Arial" w:eastAsia="Arial" w:hAnsi="Arial"/>
          <w:sz w:val="18"/>
          <w:szCs w:val="18"/>
          <w:u w:val="single" w:color="auto"/>
          <w:color w:val="auto"/>
        </w:rPr>
        <w:t>Section 5.6(b)</w:t>
      </w:r>
      <w:r>
        <w:rPr>
          <w:rFonts w:ascii="Arial" w:cs="Arial" w:eastAsia="Arial" w:hAnsi="Arial"/>
          <w:sz w:val="18"/>
          <w:szCs w:val="18"/>
          <w:color w:val="auto"/>
        </w:rPr>
        <w:t xml:space="preserve">, each applicable Grantor shall promptly take such other steps as may be reasonably necessary or as shall be reasonably requested in writing from time to time by the Administrative Agent to perfect a first priority security interest in and pledge of the Pledged Collateral to the Administrative Agent for itself and on behalf of and for the ratable benefit of the other Secured Parties pursuant to the UCC, subject to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of the Credit Agreement. To the extent practicable, each such Grantor shall thereafter deliver the Pledged Collateral to or for the account of the Administrative Agent as provided in </w:t>
      </w:r>
      <w:r>
        <w:rPr>
          <w:rFonts w:ascii="Arial" w:cs="Arial" w:eastAsia="Arial" w:hAnsi="Arial"/>
          <w:sz w:val="18"/>
          <w:szCs w:val="18"/>
          <w:u w:val="single" w:color="auto"/>
          <w:color w:val="auto"/>
        </w:rPr>
        <w:t>Section 5.6(b)</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ind w:left="2340" w:hanging="1036"/>
        <w:spacing w:after="0"/>
        <w:tabs>
          <w:tab w:leader="none" w:pos="2340"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Intellectual Property</w:t>
      </w:r>
      <w:r>
        <w:rPr>
          <w:rFonts w:ascii="Arial" w:cs="Arial" w:eastAsia="Arial" w:hAnsi="Arial"/>
          <w:sz w:val="19"/>
          <w:szCs w:val="19"/>
          <w:color w:val="auto"/>
        </w:rPr>
        <w:t>.  (i)  Each Grantor shall, in addition to executing and delivering this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Agreement, take such other action as may be reasonably necessary, or as the Administrative Agent may reasonably request in writing, to perfect the Administrative Agent’s security interest in the Intellectual Property of such Grantor.</w:t>
      </w:r>
    </w:p>
    <w:p>
      <w:pPr>
        <w:jc w:val="both"/>
        <w:ind w:firstLine="95"/>
        <w:spacing w:after="0" w:line="270" w:lineRule="auto"/>
        <w:tabs>
          <w:tab w:leader="none" w:pos="41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each Compliance Certificate, following the creation or other acquisition of any Intellectual Property owned by any Grantor after the date hereof which is registered or becomes registered or the subject of an application for registration with the United States Copyright Office or the United States Patent and Trademark Office, as applicable, such Grantor, upon the reasonable written request of the Administrative Agent, shall modify this Agreement by amending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to include any Intellectual Property which becomes part of the Collateral and which was not included on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as of the date hereof and record an amendment to an existing Intellectual Property Security Agreement with the United States Copyright Office or the United States Patent and Trademark Office, as applicable, and take such other action as may be reasonably necessary, or as the Administrative Agent or the Required Lenders may reasonably request in writing, to perfect the Administrative Agent’s security interest in such Intellectual Property.</w:t>
      </w:r>
    </w:p>
    <w:p>
      <w:pPr>
        <w:spacing w:after="0" w:line="169" w:lineRule="exact"/>
        <w:rPr>
          <w:rFonts w:ascii="Arial" w:cs="Arial" w:eastAsia="Arial" w:hAnsi="Arial"/>
          <w:sz w:val="18"/>
          <w:szCs w:val="18"/>
          <w:color w:val="auto"/>
        </w:rPr>
      </w:pPr>
    </w:p>
    <w:p>
      <w:pPr>
        <w:jc w:val="both"/>
        <w:ind w:firstLine="1304"/>
        <w:spacing w:after="0" w:line="269" w:lineRule="auto"/>
        <w:tabs>
          <w:tab w:leader="none" w:pos="2150"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Bailees</w:t>
      </w:r>
      <w:r>
        <w:rPr>
          <w:rFonts w:ascii="Arial" w:cs="Arial" w:eastAsia="Arial" w:hAnsi="Arial"/>
          <w:sz w:val="18"/>
          <w:szCs w:val="18"/>
          <w:color w:val="auto"/>
        </w:rPr>
        <w:t xml:space="preserve">. Any Person (other than the Administrative Agent) at any time and from time to time holding all or any portion of the Collateral shall be deemed to, and shall, hold the Collateral as the agent of, and as pledge holder for, the Administrative Agent, subject to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of the Credit Agreement. At any time and from time to time, the Administrative Agent may give notice to any such Person holding all or any portion of the Collateral that such Person is holding the Collateral as the agent and bailee of, and as pledge holder for, the Administrative Agent, and obtain such Person’s written acknowledgment thereof. Without limiting the generality of the foregoing, each Grantor will join with the Administrative Agent in notifying any Person who has possession of any Collateral of the Administrative Agent’s security interest therein and shall use commercially reasonable efforts to obtain an acknowledgment from such Person that it is holding the Collateral for the benefit of the Administrative Agent. Notwithstanding the foregoing, no Grantor shall be required to obtain and deliver to the Administrative Agent acknowledgements from any such Person who has possession or control of Collateral, if such Person holds Collateral having a value not exceeding $1,000,000 in the aggregate. Notwithstanding anything to the contrary contained in this clause (e), no written acknowledgement, landlord waiver or collateral access agreement shall be required for any assets provided to customers as “evaluation systems” while in the possession of such customers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3" w:name="page184"/>
    <w:bookmarkEnd w:id="183"/>
    <w:p>
      <w:pPr>
        <w:jc w:val="both"/>
        <w:ind w:firstLine="1304"/>
        <w:spacing w:after="0" w:line="257" w:lineRule="auto"/>
        <w:tabs>
          <w:tab w:leader="none" w:pos="2195"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Control.</w:t>
      </w:r>
      <w:r>
        <w:rPr>
          <w:rFonts w:ascii="Arial" w:cs="Arial" w:eastAsia="Arial" w:hAnsi="Arial"/>
          <w:sz w:val="19"/>
          <w:szCs w:val="19"/>
          <w:color w:val="auto"/>
        </w:rPr>
        <w:t xml:space="preserve"> Each Grantor will cooperate with the Administrative Agent in obtaining control (as defined in the UCC) of Collateral consisting of any Deposit Accounts (other than Excluded Accounts) at all times after the Closing Date, Electronic Chattel Paper, Investment Property, Securities Accounts (other than Excluded Accounts) or, to the extent that an Event of Default has occurred and is continuing and upon the reasonable request of the Administrative Agent, Letter-of-Credit Rights, including delivery of control agreements, as the Administrative Agent may reasonably request in writing, to perfect and continue perfected, maintain the priority of or provide notice of the Administrative Agent’s security interest in such Collateral, subject to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of the Credit Agreement.</w:t>
      </w:r>
    </w:p>
    <w:p>
      <w:pPr>
        <w:spacing w:after="0" w:line="184" w:lineRule="exact"/>
        <w:rPr>
          <w:rFonts w:ascii="Arial" w:cs="Arial" w:eastAsia="Arial" w:hAnsi="Arial"/>
          <w:sz w:val="19"/>
          <w:szCs w:val="19"/>
          <w:color w:val="auto"/>
        </w:rPr>
      </w:pPr>
    </w:p>
    <w:p>
      <w:pPr>
        <w:jc w:val="both"/>
        <w:ind w:firstLine="1304"/>
        <w:spacing w:after="0" w:line="257" w:lineRule="auto"/>
        <w:tabs>
          <w:tab w:leader="none" w:pos="2107"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Additional Subsidiaries</w:t>
      </w:r>
      <w:r>
        <w:rPr>
          <w:rFonts w:ascii="Arial" w:cs="Arial" w:eastAsia="Arial" w:hAnsi="Arial"/>
          <w:sz w:val="19"/>
          <w:szCs w:val="19"/>
          <w:color w:val="auto"/>
        </w:rPr>
        <w:t xml:space="preserve">. To the extent required by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of the Credit Agreement, in the event that any Grantor acquires rights in any Subsidiary (other than an Immaterial Subsidiary that is not a Guarantor) after the date hereof, it shall deliver to the Administrative Agent a completed pledge supplement, substantially in the form of </w:t>
      </w:r>
      <w:r>
        <w:rPr>
          <w:rFonts w:ascii="Arial" w:cs="Arial" w:eastAsia="Arial" w:hAnsi="Arial"/>
          <w:sz w:val="19"/>
          <w:szCs w:val="19"/>
          <w:u w:val="single" w:color="auto"/>
          <w:color w:val="auto"/>
        </w:rPr>
        <w:t>Annex 2</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Pledge Supplement</w:t>
      </w:r>
      <w:r>
        <w:rPr>
          <w:rFonts w:ascii="Arial" w:cs="Arial" w:eastAsia="Arial" w:hAnsi="Arial"/>
          <w:sz w:val="19"/>
          <w:szCs w:val="19"/>
          <w:color w:val="auto"/>
        </w:rPr>
        <w:t>”), together with all schedules thereto, reflecting the pledge of the Capital Stock of such Subsidiary (except to the extent such Capital Stock consists of Excluded Assets). Notwithstanding the foregoing, it is understood and agreed that the security interest of the Administrative Agent shall attach to the Pledged Collateral related to such Subsidiary immediately upon any Grantor’s acquisition of rights therein and shall not be affected by the failure of any Grantor to deliver a Pledge Supplement.</w:t>
      </w:r>
    </w:p>
    <w:p>
      <w:pPr>
        <w:spacing w:after="0" w:line="180"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color w:val="auto"/>
        </w:rPr>
        <w:t>REPRESENTATIONS AND WARRANTIES</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To induce the Administrative Agent and the Lenders to enter into the Credit Agreement and to induce the Lenders to make their respective extensions of credit to the Borrower thereunder, each Grantor hereby represents and warrants to the Administrative Agent and each other Secured Party that: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Title; No Other Liens</w:t>
      </w:r>
      <w:r>
        <w:rPr>
          <w:rFonts w:ascii="Arial" w:cs="Arial" w:eastAsia="Arial" w:hAnsi="Arial"/>
          <w:sz w:val="20"/>
          <w:szCs w:val="20"/>
          <w:color w:val="auto"/>
        </w:rPr>
        <w:t>. Except for the Liens permitted to exist on the Collateral by Section 7.3 of the Credit Agreement, such Grantor owns each item of the Collateral in which a Lien is granted by it free and clear of any and all Liens and other claims of others.</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Perfected Liens</w:t>
      </w:r>
      <w:r>
        <w:rPr>
          <w:rFonts w:ascii="Arial" w:cs="Arial" w:eastAsia="Arial" w:hAnsi="Arial"/>
          <w:sz w:val="19"/>
          <w:szCs w:val="19"/>
          <w:color w:val="auto"/>
        </w:rPr>
        <w:t xml:space="preserve">. The security interests granted to the Administrative Agent pursuant to this Agreement (a) upon completion of the filings and other actions specified on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(which, in the case of all filings and other documents referred to on said Schedule, have been delivered to the Administrative Agent in completed and duly (if applicable) executed form), will constitute valid perfected security interests in all of the Collateral in favor of the Administrative Agent, for the ratable benefit of the Secured Parties pursuant to the UCC, as collateral security for the Secured Obligations, enforceable in accordance with the terms hereof against any creditors of any Grantor and any Persons purporting to purchase any Collateral from any Grantor, and (b) are prior to all other Liens on the Collateral in existence on the date hereof except for Liens permitted by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of the Credit Agreement.</w:t>
      </w:r>
    </w:p>
    <w:p>
      <w:pPr>
        <w:spacing w:after="0" w:line="18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Jurisdiction of Organization; Chief Executive Office and Locations of Books</w:t>
      </w:r>
      <w:r>
        <w:rPr>
          <w:rFonts w:ascii="Arial" w:cs="Arial" w:eastAsia="Arial" w:hAnsi="Arial"/>
          <w:sz w:val="16"/>
          <w:szCs w:val="16"/>
          <w:color w:val="auto"/>
        </w:rPr>
        <w:t xml:space="preserve">. On the date hereof, such Grantor’s jurisdiction of organization, identification number from the jurisdiction of organization (if any), and the location of such Grantor’s chief executive office or sole place of business, as the case may be, are specified on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All locations where Books pertaining to the Rights to Payment of such Grantor are kept, including all equipment necessary for accessing such Books and the names and addresses of all service bureaus, computer or data processing companies and other Persons keeping any Books or collecting Rights to Payment for such Grantor as of the date hereof, are set forth in </w:t>
      </w:r>
      <w:r>
        <w:rPr>
          <w:rFonts w:ascii="Arial" w:cs="Arial" w:eastAsia="Arial" w:hAnsi="Arial"/>
          <w:sz w:val="16"/>
          <w:szCs w:val="16"/>
          <w:u w:val="single" w:color="auto"/>
          <w:color w:val="auto"/>
        </w:rPr>
        <w:t>Schedule 4</w:t>
      </w:r>
      <w:r>
        <w:rPr>
          <w:rFonts w:ascii="Arial" w:cs="Arial" w:eastAsia="Arial" w:hAnsi="Arial"/>
          <w:sz w:val="16"/>
          <w:szCs w:val="16"/>
          <w:color w:val="auto"/>
        </w:rPr>
        <w:t>.</w:t>
      </w:r>
    </w:p>
    <w:p>
      <w:pPr>
        <w:spacing w:after="0" w:line="14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Inventory and Equipment</w:t>
      </w:r>
      <w:r>
        <w:rPr>
          <w:rFonts w:ascii="Arial" w:cs="Arial" w:eastAsia="Arial" w:hAnsi="Arial"/>
          <w:sz w:val="20"/>
          <w:szCs w:val="20"/>
          <w:color w:val="auto"/>
        </w:rPr>
        <w:t xml:space="preserve">. On the date hereof (a) the Inventory and (b) the Equipment (other than mobile goods) are kept at the locations listed on </w:t>
      </w:r>
      <w:r>
        <w:rPr>
          <w:rFonts w:ascii="Arial" w:cs="Arial" w:eastAsia="Arial" w:hAnsi="Arial"/>
          <w:sz w:val="20"/>
          <w:szCs w:val="20"/>
          <w:u w:val="single" w:color="auto"/>
          <w:color w:val="auto"/>
        </w:rPr>
        <w:t>Schedule 5</w:t>
      </w:r>
      <w:r>
        <w:rPr>
          <w:rFonts w:ascii="Arial" w:cs="Arial" w:eastAsia="Arial" w:hAnsi="Arial"/>
          <w:sz w:val="20"/>
          <w:szCs w:val="20"/>
          <w:color w:val="auto"/>
        </w:rPr>
        <w:t>.</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6"/>
          <w:szCs w:val="16"/>
          <w:u w:val="single" w:color="auto"/>
          <w:color w:val="auto"/>
        </w:rPr>
        <w:t>Farm Products</w:t>
      </w:r>
      <w:r>
        <w:rPr>
          <w:rFonts w:ascii="Arial" w:cs="Arial" w:eastAsia="Arial" w:hAnsi="Arial"/>
          <w:sz w:val="16"/>
          <w:szCs w:val="16"/>
          <w:color w:val="auto"/>
        </w:rPr>
        <w:t>. None of the Collateral constitutes, or is the Proceeds of, Farm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4" w:name="page185"/>
    <w:bookmarkEnd w:id="184"/>
    <w:p>
      <w:pPr>
        <w:jc w:val="both"/>
        <w:ind w:firstLine="648"/>
        <w:spacing w:after="0" w:line="268"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Pledged Collateral</w:t>
      </w:r>
      <w:r>
        <w:rPr>
          <w:rFonts w:ascii="Arial" w:cs="Arial" w:eastAsia="Arial" w:hAnsi="Arial"/>
          <w:sz w:val="18"/>
          <w:szCs w:val="18"/>
          <w:color w:val="auto"/>
        </w:rPr>
        <w:t>. (a) All of the Pledged Stock held by such Grantor has been duly and validly issued, and is fully paid and non-assessable (to the extent applicable in the relevant jurisdiction), subject in the case of Pledged Stock constituting partnership interests or limited liability company membership interests to future assessments required under applicable law and any applicable partnership or operating agreement, (b) such Grantor is or, in the case of any such additional Pledged Collateral will be, the legal record and beneficial owner thereof, (c) in the case of Pledged Stock of a Subsidiary of such Grantor or Pledged Collateral of such Grantor constituting Instruments issued by a Subsidiary of such Grantor, there are no restrictions on the transferability of such Pledged Collateral or such additional Pledged Collateral to the Administrative Agent or with respect to the foreclosure, transfer or disposition thereof by the Administrative Agent, except as provided under applicable domestic or foreign securities or “Blue Sky” laws, (d) the Pledged Stock pledged by such Grantor constitutes all of the issued and outstanding shares of Capital Stock of each Issuer owned by such Grantor (except for Excluded Assets), and such Grantor owns no securities convertible into or exchangeable for any shares of Capital Stock of any such Issuer that do not constitute Pledged Stock (except for Excluded Assets) hereunder, (e) any and all Pledged Collateral Agreements which affect or relate to the voting or giving of written consents with respect to any of the Pledged Stock pledged by such Grantor have been disclosed to the Administrative Agent, and (f) as to each such Pledged Collateral Agreement relating to the Pledged Stock pledged by such Grantor, (i) to the best knowledge of such Grantor, such Pledged Collateral Agreement contains the entire agreement between the parties thereto with respect to the subject matter thereof and is in full force and effect in accordance with its terms, (ii) to the best knowledge of such Grantor party thereto, there exists no material violation or material default under any such Pledged Collateral Agreement by such Grantor or the other parties thereto, and (iii) such Grantor has not knowingly waived or released any of its material rights under or otherwise consented to a material departure from the terms and provisions of any such Pledged Collateral Agreement.</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Investment Accounts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sets forth under the headings “Securities Accounts” and “Commodity Accounts”, respectively, all of the Securities Accounts and Commodity Accounts in which such Grantor has an interest as of the date hereof. Except as disclosed to the Administrative Agent, such Grantor is the sole entitlement holder of each such Securities Account and Commodity Account, and such Grantor has not consented to, and is not otherwise aware of, any Person (other than the Administrative Agent) having “control” (within the meanings of Sections 8-106 and 9-106 of the UCC) over, or any other interest in, any such Securities Account or Commodity Account or any securities or other property credited thereto, except for Excluded Accounts;</w:t>
      </w:r>
    </w:p>
    <w:p>
      <w:pPr>
        <w:spacing w:after="0" w:line="185" w:lineRule="exact"/>
        <w:rPr>
          <w:sz w:val="20"/>
          <w:szCs w:val="20"/>
          <w:color w:val="auto"/>
        </w:rPr>
      </w:pPr>
    </w:p>
    <w:p>
      <w:pPr>
        <w:jc w:val="both"/>
        <w:ind w:firstLine="1304"/>
        <w:spacing w:after="0" w:line="276" w:lineRule="auto"/>
        <w:tabs>
          <w:tab w:leader="none" w:pos="2042"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sets forth under the heading “Deposit Accounts” all of the Deposit Accounts in which such Grantor has an interest as of the date hereof and, except as otherwise disclosed to the Administrative Agent, such Grantor is the sole account holder of each such Deposit Account and such Grantor has not consented to, and is not otherwise aware of, any Person (other than the Administrative Agent) having either sole dominion and control (within the meaning of common law) or “control” (within the meaning of Section 9-104 of the UCC) over, or any other interest in, any such Deposit Account or any money or other property deposited therein, except for Excluded Accounts; and</w:t>
      </w:r>
    </w:p>
    <w:p>
      <w:pPr>
        <w:spacing w:after="0" w:line="164" w:lineRule="exact"/>
        <w:rPr>
          <w:rFonts w:ascii="Arial" w:cs="Arial" w:eastAsia="Arial" w:hAnsi="Arial"/>
          <w:sz w:val="18"/>
          <w:szCs w:val="18"/>
          <w:color w:val="auto"/>
        </w:rPr>
      </w:pPr>
    </w:p>
    <w:p>
      <w:pPr>
        <w:jc w:val="both"/>
        <w:ind w:firstLine="1304"/>
        <w:spacing w:after="0" w:line="257" w:lineRule="auto"/>
        <w:tabs>
          <w:tab w:leader="none" w:pos="1987" w:val="left"/>
        </w:tabs>
        <w:numPr>
          <w:ilvl w:val="0"/>
          <w:numId w:val="191"/>
        </w:numPr>
        <w:rPr>
          <w:rFonts w:ascii="Arial" w:cs="Arial" w:eastAsia="Arial" w:hAnsi="Arial"/>
          <w:sz w:val="19"/>
          <w:szCs w:val="19"/>
          <w:color w:val="auto"/>
        </w:rPr>
      </w:pPr>
      <w:r>
        <w:rPr>
          <w:rFonts w:ascii="Arial" w:cs="Arial" w:eastAsia="Arial" w:hAnsi="Arial"/>
          <w:sz w:val="19"/>
          <w:szCs w:val="19"/>
          <w:color w:val="auto"/>
        </w:rPr>
        <w:t>Except as otherwise permitted under Section 5.3 of the Credit Agreement, in each case to the extent reasonably requested in writing by the Administrative Agent and to the extent the following property constitutes Collateral, such Grantor has taken all actions reasonably necessary or desirable to: (i) establish the Administrative Agent’s “control” (within the meanings of Sections 8-106 and 9-106 of the UCC) over any Certificated Securities (as defined in Section 9-102 of the UCC); (ii) establish the Administrative Agent’s “control” (within the meanings of Sections 8-106 and 9-106 of the UCC) over any portion of the Investment Accounts constituting Securities Accounts, Commodity Accounts, Securities Entitlements or Uncertificated Securities (each as defined in Section 9-102 of the UCC); (iii) establish, at all times after the Closing Date, the Administrative Agent’s “control”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5" w:name="page186"/>
    <w:bookmarkEnd w:id="185"/>
    <w:p>
      <w:pPr>
        <w:jc w:val="both"/>
        <w:spacing w:after="0" w:line="287" w:lineRule="auto"/>
        <w:rPr>
          <w:sz w:val="20"/>
          <w:szCs w:val="20"/>
          <w:color w:val="auto"/>
        </w:rPr>
      </w:pPr>
      <w:r>
        <w:rPr>
          <w:rFonts w:ascii="Arial" w:cs="Arial" w:eastAsia="Arial" w:hAnsi="Arial"/>
          <w:sz w:val="19"/>
          <w:szCs w:val="19"/>
          <w:color w:val="auto"/>
        </w:rPr>
        <w:t>meaning of Section 9-104 of the UCC) over all Deposit Accounts (except for Excluded Accounts); and (iv) deliver all Instruments (as defined in Section 9-102 of the UCC) to the Administrative Agent to the extent required hereunder.</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Receivables</w:t>
      </w:r>
      <w:r>
        <w:rPr>
          <w:rFonts w:ascii="Arial" w:cs="Arial" w:eastAsia="Arial" w:hAnsi="Arial"/>
          <w:sz w:val="20"/>
          <w:szCs w:val="20"/>
          <w:color w:val="auto"/>
        </w:rPr>
        <w:t>. Such Grantor does not have any Receivables payable to such Grantor under or in connection with any Receivable or other Right to Payment is evidenced by any Instrument (other than checks, drafts or other Instruments that will be promptly deposited in an Investment Account) or Chattel Paper, having a value in excess of $500,000 in the aggregate which has not been delivered to the Administrative Agent.</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4.9 </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xml:space="preserve">. (a) </w:t>
      </w:r>
      <w:r>
        <w:rPr>
          <w:rFonts w:ascii="Arial" w:cs="Arial" w:eastAsia="Arial" w:hAnsi="Arial"/>
          <w:sz w:val="20"/>
          <w:szCs w:val="20"/>
          <w:u w:val="single" w:color="auto"/>
          <w:color w:val="auto"/>
        </w:rPr>
        <w:t>Schedule 6</w:t>
      </w:r>
      <w:r>
        <w:rPr>
          <w:rFonts w:ascii="Arial" w:cs="Arial" w:eastAsia="Arial" w:hAnsi="Arial"/>
          <w:sz w:val="20"/>
          <w:szCs w:val="20"/>
          <w:color w:val="auto"/>
        </w:rPr>
        <w:t xml:space="preserve"> lists all registrations and applications for Intellectual Property (including registered Copyrights, Patents, Trademarks and all applications therefor) as well as all Copyright Licenses, Patent Licenses and Trademark Licenses, in each case owned by such Grantor in its own name on the date hereof. Except as set forth in </w:t>
      </w:r>
      <w:r>
        <w:rPr>
          <w:rFonts w:ascii="Arial" w:cs="Arial" w:eastAsia="Arial" w:hAnsi="Arial"/>
          <w:sz w:val="20"/>
          <w:szCs w:val="20"/>
          <w:u w:val="single" w:color="auto"/>
          <w:color w:val="auto"/>
        </w:rPr>
        <w:t>Schedule 6</w:t>
      </w:r>
      <w:r>
        <w:rPr>
          <w:rFonts w:ascii="Arial" w:cs="Arial" w:eastAsia="Arial" w:hAnsi="Arial"/>
          <w:sz w:val="20"/>
          <w:szCs w:val="20"/>
          <w:color w:val="auto"/>
        </w:rPr>
        <w:t>, on the date hereof, none of the Intellectual Property owned by any Grantor is the subject of any licensing or franchise agreement pursuant to which such Grantor is the licensor or franchisor except non-exclusive licenses in the ordinary course of business.</w:t>
      </w:r>
    </w:p>
    <w:p>
      <w:pPr>
        <w:spacing w:after="0" w:line="196" w:lineRule="exact"/>
        <w:rPr>
          <w:sz w:val="20"/>
          <w:szCs w:val="20"/>
          <w:color w:val="auto"/>
        </w:rPr>
      </w:pPr>
    </w:p>
    <w:p>
      <w:pPr>
        <w:jc w:val="both"/>
        <w:ind w:firstLine="1304"/>
        <w:spacing w:after="0" w:line="244" w:lineRule="auto"/>
        <w:tabs>
          <w:tab w:leader="none" w:pos="2123" w:val="left"/>
        </w:tabs>
        <w:numPr>
          <w:ilvl w:val="0"/>
          <w:numId w:val="192"/>
        </w:numPr>
        <w:rPr>
          <w:rFonts w:ascii="Arial" w:cs="Arial" w:eastAsia="Arial" w:hAnsi="Arial"/>
          <w:sz w:val="20"/>
          <w:szCs w:val="20"/>
          <w:color w:val="auto"/>
        </w:rPr>
      </w:pPr>
      <w:r>
        <w:rPr>
          <w:rFonts w:ascii="Arial" w:cs="Arial" w:eastAsia="Arial" w:hAnsi="Arial"/>
          <w:sz w:val="20"/>
          <w:szCs w:val="20"/>
          <w:color w:val="auto"/>
        </w:rPr>
        <w:t>Each Grantor owns, is licensed to use, or otherwise has the right to use all Intellectual Property reasonably necessary for the conduct of its business as currently conducted. The use of such Intellectual Property by each Grantor does not infringe on the rights of any Person in any material respect. No material claim has been asserted in writing and is pending by any Person against a Group Member challenging or questioning the use of any Intellectual Property by a Grantor or the validity of any Intellectual Property.</w:t>
      </w:r>
    </w:p>
    <w:p>
      <w:pPr>
        <w:spacing w:after="0" w:line="194" w:lineRule="exact"/>
        <w:rPr>
          <w:rFonts w:ascii="Arial" w:cs="Arial" w:eastAsia="Arial" w:hAnsi="Arial"/>
          <w:sz w:val="20"/>
          <w:szCs w:val="20"/>
          <w:color w:val="auto"/>
        </w:rPr>
      </w:pPr>
    </w:p>
    <w:p>
      <w:pPr>
        <w:jc w:val="both"/>
        <w:ind w:firstLine="1304"/>
        <w:spacing w:after="0" w:line="282" w:lineRule="auto"/>
        <w:tabs>
          <w:tab w:leader="none" w:pos="203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holding, decision or judgment has been rendered by any Governmental Authority (i) regarding Intellectual Property owned by a Grantor which would limit in any material respect or cancel the validity of any Intellectual Property owned by a Grantor, or (ii) regarding an Intellectual Property License to which a Grantor is a party which would limit or invalidate such Grantor’s rights under such Intellectual Property License in any material respect.</w:t>
      </w:r>
    </w:p>
    <w:p>
      <w:pPr>
        <w:spacing w:after="0" w:line="161" w:lineRule="exact"/>
        <w:rPr>
          <w:rFonts w:ascii="Arial" w:cs="Arial" w:eastAsia="Arial" w:hAnsi="Arial"/>
          <w:sz w:val="18"/>
          <w:szCs w:val="18"/>
          <w:color w:val="auto"/>
        </w:rPr>
      </w:pPr>
    </w:p>
    <w:p>
      <w:pPr>
        <w:jc w:val="both"/>
        <w:ind w:firstLine="1304"/>
        <w:spacing w:after="0" w:line="243" w:lineRule="auto"/>
        <w:tabs>
          <w:tab w:leader="none" w:pos="2089" w:val="left"/>
        </w:tabs>
        <w:numPr>
          <w:ilvl w:val="0"/>
          <w:numId w:val="192"/>
        </w:numPr>
        <w:rPr>
          <w:rFonts w:ascii="Arial" w:cs="Arial" w:eastAsia="Arial" w:hAnsi="Arial"/>
          <w:sz w:val="20"/>
          <w:szCs w:val="20"/>
          <w:color w:val="auto"/>
        </w:rPr>
      </w:pPr>
      <w:r>
        <w:rPr>
          <w:rFonts w:ascii="Arial" w:cs="Arial" w:eastAsia="Arial" w:hAnsi="Arial"/>
          <w:sz w:val="20"/>
          <w:szCs w:val="20"/>
          <w:color w:val="auto"/>
        </w:rPr>
        <w:t>No action or proceeding to which a Grantor is a party is pending on the date hereof, or has been threatened in writing (i) seeking to limit or cancel (A) the validity of any material Intellectual Property owned by a Grantor or such Grantor’ s ownership interest therein or (B) any material Intellectual Property Licenses to which a Grantor is a party, or (ii) which, if adversely determined, would have a Material Adverse Effect resulting from the impact on the value of any material Intellectual Property owned by a Grantor or any material Intellectual Property Licenses to which a Grantor is a party.</w:t>
      </w:r>
    </w:p>
    <w:p>
      <w:pPr>
        <w:spacing w:after="0" w:line="19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Instruments</w:t>
      </w:r>
      <w:r>
        <w:rPr>
          <w:rFonts w:ascii="Arial" w:cs="Arial" w:eastAsia="Arial" w:hAnsi="Arial"/>
          <w:sz w:val="20"/>
          <w:szCs w:val="20"/>
          <w:color w:val="auto"/>
        </w:rPr>
        <w:t>. (i) Such Grantor has not previously assigned any interest in any Instruments (including but not limited to the Pledged Notes) held by such Grantor (other than such interests as will be released on or before the date hereof), and (ii) no Person other than such Grantor owns an interest in such Instruments (whether as joint holders, participants or otherwise).</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4.11 </w:t>
      </w:r>
      <w:r>
        <w:rPr>
          <w:rFonts w:ascii="Arial" w:cs="Arial" w:eastAsia="Arial" w:hAnsi="Arial"/>
          <w:sz w:val="20"/>
          <w:szCs w:val="20"/>
          <w:u w:val="single" w:color="auto"/>
          <w:color w:val="auto"/>
        </w:rPr>
        <w:t>Letter of Credit Rights</w:t>
      </w:r>
      <w:r>
        <w:rPr>
          <w:rFonts w:ascii="Arial" w:cs="Arial" w:eastAsia="Arial" w:hAnsi="Arial"/>
          <w:sz w:val="20"/>
          <w:szCs w:val="20"/>
          <w:color w:val="auto"/>
        </w:rPr>
        <w:t xml:space="preserve">. Such Grantor does not have any Letter-of-Credit Rights having an individual potential value in excess of $1,000,000 except as set forth in </w:t>
      </w:r>
      <w:r>
        <w:rPr>
          <w:rFonts w:ascii="Arial" w:cs="Arial" w:eastAsia="Arial" w:hAnsi="Arial"/>
          <w:sz w:val="20"/>
          <w:szCs w:val="20"/>
          <w:u w:val="single" w:color="auto"/>
          <w:color w:val="auto"/>
        </w:rPr>
        <w:t>Schedule 7</w:t>
      </w:r>
      <w:r>
        <w:rPr>
          <w:rFonts w:ascii="Arial" w:cs="Arial" w:eastAsia="Arial" w:hAnsi="Arial"/>
          <w:sz w:val="20"/>
          <w:szCs w:val="20"/>
          <w:color w:val="auto"/>
        </w:rPr>
        <w:t xml:space="preserve"> or as have been notified to the Administrative Agent in accordance with </w:t>
      </w:r>
      <w:r>
        <w:rPr>
          <w:rFonts w:ascii="Arial" w:cs="Arial" w:eastAsia="Arial" w:hAnsi="Arial"/>
          <w:sz w:val="20"/>
          <w:szCs w:val="20"/>
          <w:u w:val="single" w:color="auto"/>
          <w:color w:val="auto"/>
        </w:rPr>
        <w:t>Section 5.22</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4.12 </w:t>
      </w:r>
      <w:r>
        <w:rPr>
          <w:rFonts w:ascii="Arial" w:cs="Arial" w:eastAsia="Arial" w:hAnsi="Arial"/>
          <w:sz w:val="20"/>
          <w:szCs w:val="20"/>
          <w:u w:val="single" w:color="auto"/>
          <w:color w:val="auto"/>
        </w:rPr>
        <w:t>Commercial Tort Claims</w:t>
      </w:r>
      <w:r>
        <w:rPr>
          <w:rFonts w:ascii="Arial" w:cs="Arial" w:eastAsia="Arial" w:hAnsi="Arial"/>
          <w:sz w:val="20"/>
          <w:szCs w:val="20"/>
          <w:color w:val="auto"/>
        </w:rPr>
        <w:t xml:space="preserve">. Such Grantor does not have any Commercial Tort Claims having a potential value in excess of $500,000 in the aggregate except as set forth in </w:t>
      </w:r>
      <w:r>
        <w:rPr>
          <w:rFonts w:ascii="Arial" w:cs="Arial" w:eastAsia="Arial" w:hAnsi="Arial"/>
          <w:sz w:val="20"/>
          <w:szCs w:val="20"/>
          <w:u w:val="single" w:color="auto"/>
          <w:color w:val="auto"/>
        </w:rPr>
        <w:t>Schedule 8</w:t>
      </w:r>
      <w:r>
        <w:rPr>
          <w:rFonts w:ascii="Arial" w:cs="Arial" w:eastAsia="Arial" w:hAnsi="Arial"/>
          <w:sz w:val="20"/>
          <w:szCs w:val="20"/>
          <w:color w:val="auto"/>
        </w:rPr>
        <w:t xml:space="preserve"> or as have been notified to the Administrative Agent in accordance with </w:t>
      </w:r>
      <w:r>
        <w:rPr>
          <w:rFonts w:ascii="Arial" w:cs="Arial" w:eastAsia="Arial" w:hAnsi="Arial"/>
          <w:sz w:val="20"/>
          <w:szCs w:val="20"/>
          <w:u w:val="single" w:color="auto"/>
          <w:color w:val="auto"/>
        </w:rPr>
        <w:t>Section 5.21</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86" w:name="page187"/>
    <w:bookmarkEnd w:id="186"/>
    <w:p>
      <w:pPr>
        <w:jc w:val="center"/>
        <w:spacing w:after="0"/>
        <w:tabs>
          <w:tab w:leader="none" w:pos="22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9"/>
          <w:szCs w:val="19"/>
          <w:color w:val="auto"/>
        </w:rPr>
        <w:t>COVENANTS</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Each Grantor covenants and agrees with the Administrative Agent and the other Secured Parties that, from and after the date of this Agreement until the Discharge of Obligations:</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Delivery of Instruments, Certificated Securities and Chattel Paper</w:t>
      </w:r>
      <w:r>
        <w:rPr>
          <w:rFonts w:ascii="Arial" w:cs="Arial" w:eastAsia="Arial" w:hAnsi="Arial"/>
          <w:sz w:val="20"/>
          <w:szCs w:val="20"/>
          <w:color w:val="auto"/>
        </w:rPr>
        <w:t>. If any amount payable under or in connection with any of the Collateral shall be or become evidenced by any Instrument (other than checks, drafts or other Instruments that will be promptly deposited in an Investment Account), Certificated Security or Chattel Paper evidencing an amount in excess of $1,000,000 in the aggregate, such Instrument, Certificated Security or Chattel Paper shall be promptly delivered to the Administrative Agent, duly indorsed in a manner reasonably satisfactory to the Administrative Agent, to be held as Collateral pursuant to this Agreement.</w:t>
      </w:r>
    </w:p>
    <w:p>
      <w:pPr>
        <w:spacing w:after="0" w:line="1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w:t>
      </w:r>
    </w:p>
    <w:p>
      <w:pPr>
        <w:spacing w:after="0" w:line="216" w:lineRule="exact"/>
        <w:rPr>
          <w:sz w:val="20"/>
          <w:szCs w:val="20"/>
          <w:color w:val="auto"/>
        </w:rPr>
      </w:pPr>
    </w:p>
    <w:p>
      <w:pPr>
        <w:ind w:left="1960" w:hanging="656"/>
        <w:spacing w:after="0"/>
        <w:tabs>
          <w:tab w:leader="none" w:pos="1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Grantors shall maintain insurance as required pursuant to Section 6.6 of the Credit Agreement.</w:t>
      </w:r>
    </w:p>
    <w:p>
      <w:pPr>
        <w:spacing w:after="0" w:line="238" w:lineRule="exact"/>
        <w:rPr>
          <w:rFonts w:ascii="Arial" w:cs="Arial" w:eastAsia="Arial" w:hAnsi="Arial"/>
          <w:sz w:val="18"/>
          <w:szCs w:val="18"/>
          <w:color w:val="auto"/>
        </w:rPr>
      </w:pPr>
    </w:p>
    <w:p>
      <w:pPr>
        <w:jc w:val="both"/>
        <w:ind w:firstLine="1304"/>
        <w:spacing w:after="0" w:line="244" w:lineRule="auto"/>
        <w:tabs>
          <w:tab w:leader="none" w:pos="2077" w:val="left"/>
        </w:tabs>
        <w:numPr>
          <w:ilvl w:val="0"/>
          <w:numId w:val="193"/>
        </w:numPr>
        <w:rPr>
          <w:rFonts w:ascii="Arial" w:cs="Arial" w:eastAsia="Arial" w:hAnsi="Arial"/>
          <w:sz w:val="20"/>
          <w:szCs w:val="20"/>
          <w:color w:val="auto"/>
        </w:rPr>
      </w:pPr>
      <w:r>
        <w:rPr>
          <w:rFonts w:ascii="Arial" w:cs="Arial" w:eastAsia="Arial" w:hAnsi="Arial"/>
          <w:sz w:val="20"/>
          <w:szCs w:val="20"/>
          <w:color w:val="auto"/>
        </w:rPr>
        <w:t>All such insurance policies shall (i) provide that no cancellation, material reduction in amount or material change in coverage thereof shall be effective until at least 30 days (10 days for nonpayment of premium) after receipt by the Administrative Agent of written notice thereof, (ii) name the Administrative Agent as an additional insured party or lender’s loss payee, as applicable, and (iii) be reasonably satisfactory in all other respects to the Administrative Agent.</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6"/>
          <w:szCs w:val="16"/>
          <w:u w:val="single" w:color="auto"/>
          <w:color w:val="auto"/>
        </w:rPr>
        <w:t>Maintenance of Perfected Security Interest; Further Documentation</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63" w:lineRule="auto"/>
        <w:tabs>
          <w:tab w:leader="none" w:pos="1971"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Such Grantor shall maintain the security interests of the Administrative Agent (for the benefit of the Secured Parties) created by this Agreement as perfected security interests having at least the priority described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and shall defend such security interests against the claims and demands of all Persons whomsoever, subject to the rights of such Grantor under the Loan Documents to dispose of the Collateral.</w:t>
      </w:r>
    </w:p>
    <w:p>
      <w:pPr>
        <w:spacing w:after="0" w:line="176" w:lineRule="exact"/>
        <w:rPr>
          <w:rFonts w:ascii="Arial" w:cs="Arial" w:eastAsia="Arial" w:hAnsi="Arial"/>
          <w:sz w:val="19"/>
          <w:szCs w:val="19"/>
          <w:color w:val="auto"/>
        </w:rPr>
      </w:pPr>
    </w:p>
    <w:p>
      <w:pPr>
        <w:jc w:val="both"/>
        <w:ind w:firstLine="1304"/>
        <w:spacing w:after="0" w:line="250" w:lineRule="auto"/>
        <w:tabs>
          <w:tab w:leader="none" w:pos="2035" w:val="left"/>
        </w:tabs>
        <w:numPr>
          <w:ilvl w:val="0"/>
          <w:numId w:val="194"/>
        </w:numPr>
        <w:rPr>
          <w:rFonts w:ascii="Arial" w:cs="Arial" w:eastAsia="Arial" w:hAnsi="Arial"/>
          <w:sz w:val="20"/>
          <w:szCs w:val="20"/>
          <w:color w:val="auto"/>
        </w:rPr>
      </w:pPr>
      <w:r>
        <w:rPr>
          <w:rFonts w:ascii="Arial" w:cs="Arial" w:eastAsia="Arial" w:hAnsi="Arial"/>
          <w:sz w:val="20"/>
          <w:szCs w:val="20"/>
          <w:color w:val="auto"/>
        </w:rPr>
        <w:t>Such Grantor will furnish to the Administrative Agent from time to time statements and schedules further identifying and describing the assets and property of such Grantor and such other reports in connection therewith as the Administrative Agent may reasonably request in writing, all in reasonable detail.</w:t>
      </w:r>
    </w:p>
    <w:p>
      <w:pPr>
        <w:spacing w:after="0" w:line="185" w:lineRule="exact"/>
        <w:rPr>
          <w:rFonts w:ascii="Arial" w:cs="Arial" w:eastAsia="Arial" w:hAnsi="Arial"/>
          <w:sz w:val="20"/>
          <w:szCs w:val="20"/>
          <w:color w:val="auto"/>
        </w:rPr>
      </w:pPr>
    </w:p>
    <w:p>
      <w:pPr>
        <w:jc w:val="both"/>
        <w:ind w:firstLine="1304"/>
        <w:spacing w:after="0" w:line="256" w:lineRule="auto"/>
        <w:tabs>
          <w:tab w:leader="none" w:pos="1955"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At any time and from time to time, upon the reasonable written request of the Administrative Agent, and at the sole expense of such Grantor, such Grantor will promptly and duly execute and deliver, and have recorded, such further instruments and documents and take such further actions as the Administrative Agent may reasonably request in writing for the purpose of obtaining or preserving the full benefits of this Agreement and of the rights and powers herein granted, including, without limitation, (i) filing any financing or continuation statements under the Uniform Commercial Code (or other similar laws) in effect in any jurisdiction with respect to the security interests created hereby and (ii) in the case of Investment Property, Investment Accounts, Letter-of-Credit Rights (subject to </w:t>
      </w:r>
      <w:r>
        <w:rPr>
          <w:rFonts w:ascii="Arial" w:cs="Arial" w:eastAsia="Arial" w:hAnsi="Arial"/>
          <w:sz w:val="19"/>
          <w:szCs w:val="19"/>
          <w:u w:val="single" w:color="auto"/>
          <w:color w:val="auto"/>
        </w:rPr>
        <w:t>Section 3.3(f)</w:t>
      </w:r>
      <w:r>
        <w:rPr>
          <w:rFonts w:ascii="Arial" w:cs="Arial" w:eastAsia="Arial" w:hAnsi="Arial"/>
          <w:sz w:val="19"/>
          <w:szCs w:val="19"/>
          <w:color w:val="auto"/>
        </w:rPr>
        <w:t>) and any other relevant Collateral, taking any actions reasonably necessary to enable the Administrative Agent to obtain “control” (within the meaning of the UCC) with respect thereto to the extent required hereunder.</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Changes in Locations, Name, Etc</w:t>
      </w:r>
      <w:r>
        <w:rPr>
          <w:rFonts w:ascii="Arial" w:cs="Arial" w:eastAsia="Arial" w:hAnsi="Arial"/>
          <w:sz w:val="20"/>
          <w:szCs w:val="20"/>
          <w:color w:val="auto"/>
        </w:rPr>
        <w:t>. Such Grantor will not, except upon 10 days’ (or such shorter period as may be agreed to by the Administrative Agent) prior written notice to the Administrative Agent and delivery to the Administrative Agent of (a) all additional financing statements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7" w:name="page188"/>
    <w:bookmarkEnd w:id="187"/>
    <w:p>
      <w:pPr>
        <w:jc w:val="both"/>
        <w:spacing w:after="0" w:line="246" w:lineRule="auto"/>
        <w:rPr>
          <w:sz w:val="20"/>
          <w:szCs w:val="20"/>
          <w:color w:val="auto"/>
        </w:rPr>
      </w:pPr>
      <w:r>
        <w:rPr>
          <w:rFonts w:ascii="Arial" w:cs="Arial" w:eastAsia="Arial" w:hAnsi="Arial"/>
          <w:sz w:val="20"/>
          <w:szCs w:val="20"/>
          <w:color w:val="auto"/>
        </w:rPr>
        <w:t xml:space="preserve">documents reasonably requested in writing by the Administrative Agent to maintain the validity, perfection and priority of the security interests provided for herein (subject to </w:t>
      </w:r>
      <w:r>
        <w:rPr>
          <w:rFonts w:ascii="Arial" w:cs="Arial" w:eastAsia="Arial" w:hAnsi="Arial"/>
          <w:sz w:val="20"/>
          <w:szCs w:val="20"/>
          <w:u w:val="single" w:color="auto"/>
          <w:color w:val="auto"/>
        </w:rPr>
        <w:t>Section 7.3</w:t>
      </w:r>
      <w:r>
        <w:rPr>
          <w:rFonts w:ascii="Arial" w:cs="Arial" w:eastAsia="Arial" w:hAnsi="Arial"/>
          <w:sz w:val="20"/>
          <w:szCs w:val="20"/>
          <w:color w:val="auto"/>
        </w:rPr>
        <w:t xml:space="preserve"> of the Credit Agreement), and (b) if applicable, a written supplement to </w:t>
      </w:r>
      <w:r>
        <w:rPr>
          <w:rFonts w:ascii="Arial" w:cs="Arial" w:eastAsia="Arial" w:hAnsi="Arial"/>
          <w:sz w:val="20"/>
          <w:szCs w:val="20"/>
          <w:u w:val="single" w:color="auto"/>
          <w:color w:val="auto"/>
        </w:rPr>
        <w:t>Schedule 4</w:t>
      </w:r>
      <w:r>
        <w:rPr>
          <w:rFonts w:ascii="Arial" w:cs="Arial" w:eastAsia="Arial" w:hAnsi="Arial"/>
          <w:sz w:val="20"/>
          <w:szCs w:val="20"/>
          <w:color w:val="auto"/>
        </w:rPr>
        <w:t xml:space="preserve"> showing the relevant new jurisdiction of organization, location of chief executive office or sole place of business, as appropriate:</w:t>
      </w:r>
    </w:p>
    <w:p>
      <w:pPr>
        <w:spacing w:after="0" w:line="191" w:lineRule="exact"/>
        <w:rPr>
          <w:sz w:val="20"/>
          <w:szCs w:val="20"/>
          <w:color w:val="auto"/>
        </w:rPr>
      </w:pPr>
    </w:p>
    <w:p>
      <w:pPr>
        <w:jc w:val="both"/>
        <w:ind w:firstLine="1952"/>
        <w:spacing w:after="0" w:line="250" w:lineRule="auto"/>
        <w:tabs>
          <w:tab w:leader="none" w:pos="2916"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change its jurisdiction of organization, identification number from the jurisdiction of organization (if any) or the location of its chief executive office or sole place of business, as appropriate, from that referred to in </w:t>
      </w:r>
      <w:r>
        <w:rPr>
          <w:rFonts w:ascii="Arial" w:cs="Arial" w:eastAsia="Arial" w:hAnsi="Arial"/>
          <w:sz w:val="20"/>
          <w:szCs w:val="20"/>
          <w:u w:val="single" w:color="auto"/>
          <w:color w:val="auto"/>
        </w:rPr>
        <w:t>Section 4.3</w:t>
      </w:r>
      <w:r>
        <w:rPr>
          <w:rFonts w:ascii="Arial" w:cs="Arial" w:eastAsia="Arial" w:hAnsi="Arial"/>
          <w:sz w:val="20"/>
          <w:szCs w:val="20"/>
          <w:color w:val="auto"/>
        </w:rPr>
        <w:t>; or</w:t>
      </w:r>
    </w:p>
    <w:p>
      <w:pPr>
        <w:spacing w:after="0" w:line="185" w:lineRule="exact"/>
        <w:rPr>
          <w:rFonts w:ascii="Arial" w:cs="Arial" w:eastAsia="Arial" w:hAnsi="Arial"/>
          <w:sz w:val="20"/>
          <w:szCs w:val="20"/>
          <w:color w:val="auto"/>
        </w:rPr>
      </w:pPr>
    </w:p>
    <w:p>
      <w:pPr>
        <w:ind w:left="2580" w:hanging="628"/>
        <w:spacing w:after="0"/>
        <w:tabs>
          <w:tab w:leader="none" w:pos="258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change its name.</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6"/>
          <w:szCs w:val="16"/>
          <w:u w:val="single" w:color="auto"/>
          <w:color w:val="auto"/>
        </w:rPr>
        <w:t>Instruments; Investment Property</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56" w:lineRule="auto"/>
        <w:tabs>
          <w:tab w:leader="none" w:pos="2093"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Upon the reasonable written request of the Administrative Agent, such Grantor will (i) promptly deliver to the Administrative Agent, or an agent designated by it, appropriately endorsed or accompanied by appropriate instruments of transfer or assignment, all Instruments, Documents, Chattel Paper and certificated securities with respect to any Investment Property held by such Grantor having a value in excess of $1,000,000 in the aggregate, all letters of credit issued for the benefit of such Grantor, and all other Rights to Payment held by such Grantor at any time evidenced by promissory notes, trade acceptances or other instruments having a value in excess of $1,000,000 in the aggregate, and (ii) provide such notice, obtain such acknowledgments and take all such other action, with respect to any Chattel Paper, Documents and Letter-of-Credit Rights (subject to </w:t>
      </w:r>
      <w:r>
        <w:rPr>
          <w:rFonts w:ascii="Arial" w:cs="Arial" w:eastAsia="Arial" w:hAnsi="Arial"/>
          <w:sz w:val="19"/>
          <w:szCs w:val="19"/>
          <w:u w:val="single" w:color="auto"/>
          <w:color w:val="auto"/>
        </w:rPr>
        <w:t>Section 3.3(f)</w:t>
      </w:r>
      <w:r>
        <w:rPr>
          <w:rFonts w:ascii="Arial" w:cs="Arial" w:eastAsia="Arial" w:hAnsi="Arial"/>
          <w:sz w:val="19"/>
          <w:szCs w:val="19"/>
          <w:color w:val="auto"/>
        </w:rPr>
        <w:t>) held by such Grantor, as the Administrative Agent shall reasonably specify to perfect a security interest therein.</w:t>
      </w:r>
    </w:p>
    <w:p>
      <w:pPr>
        <w:spacing w:after="0" w:line="184" w:lineRule="exact"/>
        <w:rPr>
          <w:rFonts w:ascii="Arial" w:cs="Arial" w:eastAsia="Arial" w:hAnsi="Arial"/>
          <w:sz w:val="19"/>
          <w:szCs w:val="19"/>
          <w:color w:val="auto"/>
        </w:rPr>
      </w:pPr>
    </w:p>
    <w:p>
      <w:pPr>
        <w:jc w:val="both"/>
        <w:ind w:firstLine="1304"/>
        <w:spacing w:after="0" w:line="253" w:lineRule="auto"/>
        <w:tabs>
          <w:tab w:leader="none" w:pos="2183"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If such Grantor shall become entitled to receive or shall receive any certificate (including any certificate representing a dividend or a distribution in connection with any reclassification, increase or reduction of capital or any certificate issued in connection with any reorganization), option or rights in respect of the Capital Stock of any Issuer, whether in addition to, in substitution of, as a conversion of, or in exchange for, any Pledged Collateral, or otherwise in respect thereof, and such Grantor would have been required to take actions with respect to such property under Section 5.6(a) if it had been obtained by other means, then such Grantor shall accept the same as the agent of the Administrative Agent and the other Secured Parties, hold the same in trust for the Administrative Agent and the other Secured Parties and deliver the same forthwith to the Administrative Agent in the exact form received, duly indorsed by such Grantor to the Administrative Agent, if required, together with an undated stock power covering such certificate duly executed in blank by such Grantor and with, if the Administrative Agent so requests, signature guaranteed, to be held by the Administrative Agent, subject to the terms hereof, as additional collateral security for the Secured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this </w:t>
      </w:r>
      <w:r>
        <w:rPr>
          <w:rFonts w:ascii="Arial" w:cs="Arial" w:eastAsia="Arial" w:hAnsi="Arial"/>
          <w:sz w:val="19"/>
          <w:szCs w:val="19"/>
          <w:u w:val="single" w:color="auto"/>
          <w:color w:val="auto"/>
        </w:rPr>
        <w:t>Section 5.6(b)</w:t>
      </w:r>
      <w:r>
        <w:rPr>
          <w:rFonts w:ascii="Arial" w:cs="Arial" w:eastAsia="Arial" w:hAnsi="Arial"/>
          <w:sz w:val="19"/>
          <w:szCs w:val="19"/>
          <w:color w:val="auto"/>
        </w:rPr>
        <w:t xml:space="preserve"> apply to any Excluded Assets. Any sums paid upon or in respect of the Investment Property upon the liquidation or dissolution of any Issuer shall, unless otherwise subject to a perfected security interest in favor of the Administrative Agent (including by way of being deposited in a Deposit Account or Securities Account that is subject to a perfected security interest in favor of the Administrative Agent), be paid over to the Administrative Agent to be held by it hereunder as additional collateral security for the Secured Obligations, and in case any distribution of capital shall be made on or in respect of the Investment Property or any property shall be distributed upon or with respect to the Investment Property pursuant to the recapitalization or reclassification of the capital of any Issuer or pursuant to the reorganization thereof, the property so distributed shall, unless otherwise subject to a perfected security interest in favor of the Administrative Agent (including by way of being deposited in a Deposit Account or Securities Account that is subject to a perfected security interest in favor of the Administrative Agent), be delivered to the Administrative Agent to be held by it hereunder as additional collateral security for the Secured Obligations. If any sums of money or property so paid or distributed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88" w:name="page189"/>
    <w:bookmarkEnd w:id="188"/>
    <w:p>
      <w:pPr>
        <w:jc w:val="both"/>
        <w:spacing w:after="0" w:line="243" w:lineRule="auto"/>
        <w:rPr>
          <w:sz w:val="20"/>
          <w:szCs w:val="20"/>
          <w:color w:val="auto"/>
        </w:rPr>
      </w:pPr>
      <w:r>
        <w:rPr>
          <w:rFonts w:ascii="Arial" w:cs="Arial" w:eastAsia="Arial" w:hAnsi="Arial"/>
          <w:sz w:val="20"/>
          <w:szCs w:val="20"/>
          <w:color w:val="auto"/>
        </w:rPr>
        <w:t>respect of such Investment Property shall be received by such Grantor, such Grantor shall, until such money or property is paid or delivered to the Administrative Agent, unless otherwise subject to a perfected security interest in favor of the Administrative Agent (including by way of being deposited in a Deposit Account or Securities Account that is subject to a perfected security interest in favor of the Administrative Agent), hold such money or property in trust for the Administrative Agent and the other Secured Parties, segregated from other funds of such Grantor, as additional collateral security for the Secured Obligations.</w:t>
      </w:r>
    </w:p>
    <w:p>
      <w:pPr>
        <w:spacing w:after="0" w:line="196" w:lineRule="exact"/>
        <w:rPr>
          <w:sz w:val="20"/>
          <w:szCs w:val="20"/>
          <w:color w:val="auto"/>
        </w:rPr>
      </w:pPr>
    </w:p>
    <w:p>
      <w:pPr>
        <w:jc w:val="both"/>
        <w:ind w:firstLine="1304"/>
        <w:spacing w:after="0" w:line="257" w:lineRule="auto"/>
        <w:tabs>
          <w:tab w:leader="none" w:pos="2018" w:val="left"/>
        </w:tabs>
        <w:numPr>
          <w:ilvl w:val="0"/>
          <w:numId w:val="197"/>
        </w:numPr>
        <w:rPr>
          <w:rFonts w:ascii="Arial" w:cs="Arial" w:eastAsia="Arial" w:hAnsi="Arial"/>
          <w:sz w:val="19"/>
          <w:szCs w:val="19"/>
          <w:color w:val="auto"/>
        </w:rPr>
      </w:pPr>
      <w:r>
        <w:rPr>
          <w:rFonts w:ascii="Arial" w:cs="Arial" w:eastAsia="Arial" w:hAnsi="Arial"/>
          <w:sz w:val="19"/>
          <w:szCs w:val="19"/>
          <w:color w:val="auto"/>
        </w:rPr>
        <w:t>Without the prior written consent of the Administrative Agent or except as permitted by the Credit Agreement, such Grantor will not (i) sell, assign, transfer, exchange, or otherwise dispose of, or grant any option with respect to, the Investment Property or Proceeds thereof, (ii) create, incur or permit to exist any Lien or option in favor of, or any claim of any Person with respect to, any of the Investment Property or Proceeds thereof, or any interest therein, except for the security interests created by this Agreement or as otherwise permitted under the Credit Agreement or (iii) enter into any agreement or undertaking restricting the right or ability of such Grantor or the Administrative Agent to sell, assign or transfer any of the Investment Property or Proceeds thereof except for customary restrictions required pursuant to federal and state securities laws.</w:t>
      </w:r>
    </w:p>
    <w:p>
      <w:pPr>
        <w:spacing w:after="0" w:line="180" w:lineRule="exact"/>
        <w:rPr>
          <w:rFonts w:ascii="Arial" w:cs="Arial" w:eastAsia="Arial" w:hAnsi="Arial"/>
          <w:sz w:val="19"/>
          <w:szCs w:val="19"/>
          <w:color w:val="auto"/>
        </w:rPr>
      </w:pPr>
    </w:p>
    <w:p>
      <w:pPr>
        <w:jc w:val="both"/>
        <w:ind w:firstLine="1304"/>
        <w:spacing w:after="0" w:line="243" w:lineRule="auto"/>
        <w:tabs>
          <w:tab w:leader="none" w:pos="211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In the case of any Grantor which is an Issuer, such Issuer agrees that (i) it will be bound by the terms of this Agreement relating to the Capital Stock issued by it and will comply with such terms insofar as such terms are applicable to it, (ii) it will notify the Administrative Agent promptly (to the extent any action would be required to be taken in response to such events under Sections 5.6(a) and (b)) in writing of the occurrence of any of the events described in </w:t>
      </w:r>
      <w:r>
        <w:rPr>
          <w:rFonts w:ascii="Arial" w:cs="Arial" w:eastAsia="Arial" w:hAnsi="Arial"/>
          <w:sz w:val="20"/>
          <w:szCs w:val="20"/>
          <w:u w:val="single" w:color="auto"/>
          <w:color w:val="auto"/>
        </w:rPr>
        <w:t>Section 5.6(a)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with respect to the Pledged Collateral issued by it and (iii) the terms of </w:t>
      </w:r>
      <w:r>
        <w:rPr>
          <w:rFonts w:ascii="Arial" w:cs="Arial" w:eastAsia="Arial" w:hAnsi="Arial"/>
          <w:sz w:val="20"/>
          <w:szCs w:val="20"/>
          <w:u w:val="single" w:color="auto"/>
          <w:color w:val="auto"/>
        </w:rPr>
        <w:t>Sections 6.3(c)</w:t>
      </w:r>
      <w:r>
        <w:rPr>
          <w:rFonts w:ascii="Arial" w:cs="Arial" w:eastAsia="Arial" w:hAnsi="Arial"/>
          <w:sz w:val="20"/>
          <w:szCs w:val="20"/>
          <w:color w:val="auto"/>
        </w:rPr>
        <w:t xml:space="preserve"> shall apply to it,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with respect to all actions that may be required of it pursuant to </w:t>
      </w:r>
      <w:r>
        <w:rPr>
          <w:rFonts w:ascii="Arial" w:cs="Arial" w:eastAsia="Arial" w:hAnsi="Arial"/>
          <w:sz w:val="20"/>
          <w:szCs w:val="20"/>
          <w:u w:val="single" w:color="auto"/>
          <w:color w:val="auto"/>
        </w:rPr>
        <w:t>Section 6.3(c)</w:t>
      </w:r>
      <w:r>
        <w:rPr>
          <w:rFonts w:ascii="Arial" w:cs="Arial" w:eastAsia="Arial" w:hAnsi="Arial"/>
          <w:sz w:val="20"/>
          <w:szCs w:val="20"/>
          <w:color w:val="auto"/>
        </w:rPr>
        <w:t xml:space="preserve"> with respect to the Capital Stock issued by it.</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8"/>
          <w:szCs w:val="18"/>
          <w:u w:val="single" w:color="auto"/>
          <w:color w:val="auto"/>
        </w:rPr>
        <w:t>Securities Accounts; Deposit Accounts</w:t>
      </w:r>
      <w:r>
        <w:rPr>
          <w:rFonts w:ascii="Arial" w:cs="Arial" w:eastAsia="Arial" w:hAnsi="Arial"/>
          <w:sz w:val="18"/>
          <w:szCs w:val="18"/>
          <w:color w:val="auto"/>
        </w:rPr>
        <w:t>. Subject to</w:t>
      </w:r>
      <w:r>
        <w:rPr>
          <w:rFonts w:ascii="Arial" w:cs="Arial" w:eastAsia="Arial" w:hAnsi="Arial"/>
          <w:sz w:val="18"/>
          <w:szCs w:val="18"/>
          <w:u w:val="single" w:color="auto"/>
          <w:color w:val="auto"/>
        </w:rPr>
        <w:t xml:space="preserve"> Section 5.3 </w:t>
      </w:r>
      <w:r>
        <w:rPr>
          <w:rFonts w:ascii="Arial" w:cs="Arial" w:eastAsia="Arial" w:hAnsi="Arial"/>
          <w:sz w:val="18"/>
          <w:szCs w:val="18"/>
          <w:color w:val="auto"/>
        </w:rPr>
        <w:t>of the Credit Agreement:</w:t>
      </w:r>
    </w:p>
    <w:p>
      <w:pPr>
        <w:spacing w:after="0" w:line="216" w:lineRule="exact"/>
        <w:rPr>
          <w:sz w:val="20"/>
          <w:szCs w:val="20"/>
          <w:color w:val="auto"/>
        </w:rPr>
      </w:pPr>
    </w:p>
    <w:p>
      <w:pPr>
        <w:ind w:firstLine="1304"/>
        <w:spacing w:after="0" w:line="276" w:lineRule="auto"/>
        <w:tabs>
          <w:tab w:leader="none" w:pos="195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With respect to any Securities Account that is not an Excluded Account, such Grantor shall (i) cause any applicable securities intermediary maintaining such Securities Account to show on its books that the Administrative Agent is the entitlement holder with respect to such Securities Account, and, (ii) unless the Administrative Agent otherwise agrees, cause such securities intermediary to enter into an agreement in form and substance satisfactory to the Administrative Agent with respect to such Securities Account pursuant to which such securities intermediary shall agree to comply with the Administrative Agent’s “entitlement orders” without further consent by such Grantor; and</w:t>
      </w:r>
    </w:p>
    <w:p>
      <w:pPr>
        <w:spacing w:after="0" w:line="164" w:lineRule="exact"/>
        <w:rPr>
          <w:rFonts w:ascii="Arial" w:cs="Arial" w:eastAsia="Arial" w:hAnsi="Arial"/>
          <w:sz w:val="18"/>
          <w:szCs w:val="18"/>
          <w:color w:val="auto"/>
        </w:rPr>
      </w:pPr>
    </w:p>
    <w:p>
      <w:pPr>
        <w:jc w:val="both"/>
        <w:ind w:firstLine="1304"/>
        <w:spacing w:after="0" w:line="282" w:lineRule="auto"/>
        <w:tabs>
          <w:tab w:leader="none" w:pos="209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At all times after the Closing Date, with respect to any Deposit Account that is not an Excluded Account, such Grantor shall enter into and shall cause the depositary institution maintaining such account to enter into an agreement in form and substance reasonably satisfactory to the Administrative Agent pursuant to which the Administrative Agent shall be granted “control” (within the meaning of Section 9104 of the UCC) over such Deposit Account.</w:t>
      </w:r>
    </w:p>
    <w:p>
      <w:pPr>
        <w:spacing w:after="0" w:line="161" w:lineRule="exact"/>
        <w:rPr>
          <w:rFonts w:ascii="Arial" w:cs="Arial" w:eastAsia="Arial" w:hAnsi="Arial"/>
          <w:sz w:val="18"/>
          <w:szCs w:val="18"/>
          <w:color w:val="auto"/>
        </w:rPr>
      </w:pPr>
    </w:p>
    <w:p>
      <w:pPr>
        <w:jc w:val="both"/>
        <w:ind w:firstLine="1304"/>
        <w:spacing w:after="0" w:line="250" w:lineRule="auto"/>
        <w:tabs>
          <w:tab w:leader="none" w:pos="2018"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Administrative Agent agrees that it will only communicate “entitlement orders” or “notices of exclusive control” or similar instructions with respect to the Deposit Accounts and Securities Accounts of the Grantors after the occurrence and during the continuance of an Event of Default.</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2078" w:val="left"/>
        </w:tabs>
        <w:numPr>
          <w:ilvl w:val="0"/>
          <w:numId w:val="198"/>
        </w:numPr>
        <w:rPr>
          <w:rFonts w:ascii="Arial" w:cs="Arial" w:eastAsia="Arial" w:hAnsi="Arial"/>
          <w:sz w:val="20"/>
          <w:szCs w:val="20"/>
          <w:color w:val="auto"/>
        </w:rPr>
      </w:pPr>
      <w:r>
        <w:rPr>
          <w:rFonts w:ascii="Arial" w:cs="Arial" w:eastAsia="Arial" w:hAnsi="Arial"/>
          <w:sz w:val="20"/>
          <w:szCs w:val="20"/>
          <w:color w:val="auto"/>
        </w:rPr>
        <w:t>Such Grantor shall give the Administrative Agent prompt notice of the establishment of any new Deposit Account and of any new Securities Account established by such Grantor (in each case, that is not an Excluded Account) with respect to any Investment Property held by such Grantor.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9" w:name="page190"/>
    <w:bookmarkEnd w:id="189"/>
    <w:p>
      <w:pPr>
        <w:ind w:left="660"/>
        <w:spacing w:after="0"/>
        <w:tabs>
          <w:tab w:leader="none" w:pos="128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18"/>
          <w:szCs w:val="18"/>
          <w:u w:val="single" w:color="auto"/>
          <w:color w:val="auto"/>
        </w:rPr>
        <w:t>Intellectual Property</w:t>
      </w:r>
      <w:r>
        <w:rPr>
          <w:rFonts w:ascii="Arial" w:cs="Arial" w:eastAsia="Arial" w:hAnsi="Arial"/>
          <w:sz w:val="18"/>
          <w:szCs w:val="18"/>
          <w:color w:val="auto"/>
        </w:rPr>
        <w:t>. In each case, unless it is permitted by the Credit Agreement to do otherwise:</w:t>
      </w:r>
    </w:p>
    <w:p>
      <w:pPr>
        <w:spacing w:after="0" w:line="216" w:lineRule="exact"/>
        <w:rPr>
          <w:sz w:val="20"/>
          <w:szCs w:val="20"/>
          <w:color w:val="auto"/>
        </w:rPr>
      </w:pPr>
    </w:p>
    <w:p>
      <w:pPr>
        <w:jc w:val="both"/>
        <w:ind w:firstLine="1304"/>
        <w:spacing w:after="0" w:line="269" w:lineRule="auto"/>
        <w:tabs>
          <w:tab w:leader="none" w:pos="2072" w:val="left"/>
        </w:tabs>
        <w:numPr>
          <w:ilvl w:val="0"/>
          <w:numId w:val="199"/>
        </w:numPr>
        <w:rPr>
          <w:rFonts w:ascii="Arial" w:cs="Arial" w:eastAsia="Arial" w:hAnsi="Arial"/>
          <w:sz w:val="19"/>
          <w:szCs w:val="19"/>
          <w:color w:val="auto"/>
        </w:rPr>
      </w:pPr>
      <w:r>
        <w:rPr>
          <w:rFonts w:ascii="Arial" w:cs="Arial" w:eastAsia="Arial" w:hAnsi="Arial"/>
          <w:sz w:val="19"/>
          <w:szCs w:val="19"/>
          <w:color w:val="auto"/>
        </w:rPr>
        <w:t>Such Grantor will (i) continue to use each material Trademark in order to maintain such material Trademark in full force free from any claim of abandonment for non-use and (ii) not do any act or knowingly omit to do any act whereby any such material Trademark may become invalidated or impaired in any way.</w:t>
      </w:r>
    </w:p>
    <w:p>
      <w:pPr>
        <w:spacing w:after="0" w:line="169" w:lineRule="exact"/>
        <w:rPr>
          <w:rFonts w:ascii="Arial" w:cs="Arial" w:eastAsia="Arial" w:hAnsi="Arial"/>
          <w:sz w:val="19"/>
          <w:szCs w:val="19"/>
          <w:color w:val="auto"/>
        </w:rPr>
      </w:pPr>
    </w:p>
    <w:p>
      <w:pPr>
        <w:ind w:firstLine="1304"/>
        <w:spacing w:after="0" w:line="260" w:lineRule="auto"/>
        <w:tabs>
          <w:tab w:leader="none" w:pos="1976" w:val="left"/>
        </w:tabs>
        <w:numPr>
          <w:ilvl w:val="0"/>
          <w:numId w:val="199"/>
        </w:numPr>
        <w:rPr>
          <w:rFonts w:ascii="Arial" w:cs="Arial" w:eastAsia="Arial" w:hAnsi="Arial"/>
          <w:sz w:val="20"/>
          <w:szCs w:val="20"/>
          <w:color w:val="auto"/>
        </w:rPr>
      </w:pPr>
      <w:r>
        <w:rPr>
          <w:rFonts w:ascii="Arial" w:cs="Arial" w:eastAsia="Arial" w:hAnsi="Arial"/>
          <w:sz w:val="20"/>
          <w:szCs w:val="20"/>
          <w:color w:val="auto"/>
        </w:rPr>
        <w:t>Such Grantor will not do any act, or omit to do any act, whereby any material Patent owned by such Grantor may become forfeited, abandoned or dedicated to the public.</w:t>
      </w:r>
    </w:p>
    <w:p>
      <w:pPr>
        <w:spacing w:after="0" w:line="176" w:lineRule="exact"/>
        <w:rPr>
          <w:rFonts w:ascii="Arial" w:cs="Arial" w:eastAsia="Arial" w:hAnsi="Arial"/>
          <w:sz w:val="20"/>
          <w:szCs w:val="20"/>
          <w:color w:val="auto"/>
        </w:rPr>
      </w:pPr>
    </w:p>
    <w:p>
      <w:pPr>
        <w:jc w:val="both"/>
        <w:ind w:right="20" w:firstLine="1304"/>
        <w:spacing w:after="0" w:line="250" w:lineRule="auto"/>
        <w:tabs>
          <w:tab w:leader="none" w:pos="2166" w:val="left"/>
        </w:tabs>
        <w:numPr>
          <w:ilvl w:val="0"/>
          <w:numId w:val="199"/>
        </w:numPr>
        <w:rPr>
          <w:rFonts w:ascii="Arial" w:cs="Arial" w:eastAsia="Arial" w:hAnsi="Arial"/>
          <w:sz w:val="20"/>
          <w:szCs w:val="20"/>
          <w:color w:val="auto"/>
        </w:rPr>
      </w:pPr>
      <w:r>
        <w:rPr>
          <w:rFonts w:ascii="Arial" w:cs="Arial" w:eastAsia="Arial" w:hAnsi="Arial"/>
          <w:sz w:val="20"/>
          <w:szCs w:val="20"/>
          <w:color w:val="auto"/>
        </w:rPr>
        <w:t>Such Grantor will not do any act or knowingly omit to do any act whereby any such material Copyrights may become invalidated or otherwise impaired. Such Grantor will not do any act whereby any material portion of such Copyrights may fall into the public domain.</w:t>
      </w:r>
    </w:p>
    <w:p>
      <w:pPr>
        <w:spacing w:after="0" w:line="185" w:lineRule="exact"/>
        <w:rPr>
          <w:rFonts w:ascii="Arial" w:cs="Arial" w:eastAsia="Arial" w:hAnsi="Arial"/>
          <w:sz w:val="20"/>
          <w:szCs w:val="20"/>
          <w:color w:val="auto"/>
        </w:rPr>
      </w:pPr>
    </w:p>
    <w:p>
      <w:pPr>
        <w:ind w:firstLine="1304"/>
        <w:spacing w:after="0" w:line="316" w:lineRule="auto"/>
        <w:tabs>
          <w:tab w:leader="none" w:pos="198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Such Grantor will, and will use commercially reasonable efforts to direct its licensees to, not do any act that knowingly uses any material Intellectual Property to infringe the intellectual property rights of any other Person.</w:t>
      </w:r>
    </w:p>
    <w:p>
      <w:pPr>
        <w:spacing w:after="0" w:line="129" w:lineRule="exact"/>
        <w:rPr>
          <w:rFonts w:ascii="Arial" w:cs="Arial" w:eastAsia="Arial" w:hAnsi="Arial"/>
          <w:sz w:val="18"/>
          <w:szCs w:val="18"/>
          <w:color w:val="auto"/>
        </w:rPr>
      </w:pPr>
    </w:p>
    <w:p>
      <w:pPr>
        <w:jc w:val="both"/>
        <w:ind w:firstLine="1304"/>
        <w:spacing w:after="0" w:line="259" w:lineRule="auto"/>
        <w:tabs>
          <w:tab w:leader="none" w:pos="2135" w:val="left"/>
        </w:tabs>
        <w:numPr>
          <w:ilvl w:val="0"/>
          <w:numId w:val="199"/>
        </w:numPr>
        <w:rPr>
          <w:rFonts w:ascii="Arial" w:cs="Arial" w:eastAsia="Arial" w:hAnsi="Arial"/>
          <w:sz w:val="19"/>
          <w:szCs w:val="19"/>
          <w:color w:val="auto"/>
        </w:rPr>
      </w:pPr>
      <w:r>
        <w:rPr>
          <w:rFonts w:ascii="Arial" w:cs="Arial" w:eastAsia="Arial" w:hAnsi="Arial"/>
          <w:sz w:val="19"/>
          <w:szCs w:val="19"/>
          <w:color w:val="auto"/>
        </w:rPr>
        <w:t>Such Grantor will notify the Administrative Agent promptly if it knows that any application or registration relating to any material Intellectual Property may become forfeited, abandoned or dedicated to the public, or of any material adverse determination or development (including, without limitation, the institution of, or any such determination or development in, any proceeding in the United States Patent and Trademark Office, the United States Copyright Office or any court or tribunal in any country) regarding such Grantor’s ownership of, or the validity of, any material Intellectual Property or such Grantor’s right to register the same or to own and maintain the same.</w:t>
      </w:r>
    </w:p>
    <w:p>
      <w:pPr>
        <w:spacing w:after="0" w:line="178" w:lineRule="exact"/>
        <w:rPr>
          <w:rFonts w:ascii="Arial" w:cs="Arial" w:eastAsia="Arial" w:hAnsi="Arial"/>
          <w:sz w:val="19"/>
          <w:szCs w:val="19"/>
          <w:color w:val="auto"/>
        </w:rPr>
      </w:pPr>
    </w:p>
    <w:p>
      <w:pPr>
        <w:jc w:val="both"/>
        <w:ind w:firstLine="1304"/>
        <w:spacing w:after="0" w:line="255" w:lineRule="auto"/>
        <w:tabs>
          <w:tab w:leader="none" w:pos="1983" w:val="left"/>
        </w:tabs>
        <w:numPr>
          <w:ilvl w:val="0"/>
          <w:numId w:val="199"/>
        </w:numPr>
        <w:rPr>
          <w:rFonts w:ascii="Arial" w:cs="Arial" w:eastAsia="Arial" w:hAnsi="Arial"/>
          <w:sz w:val="19"/>
          <w:szCs w:val="19"/>
          <w:color w:val="auto"/>
        </w:rPr>
      </w:pPr>
      <w:r>
        <w:rPr>
          <w:rFonts w:ascii="Arial" w:cs="Arial" w:eastAsia="Arial" w:hAnsi="Arial"/>
          <w:sz w:val="19"/>
          <w:szCs w:val="19"/>
          <w:color w:val="auto"/>
        </w:rPr>
        <w:t>Whenever such Grantor, either by itself or through any agent, employee, licensee or designee, shall file an application for the registration of any Patent or Trademark with the United States Patent and Trademark Office or any similar office or agency in any other country or political subdivision thereof, such Grantor shall report (i) the initial application to and (ii) the corresponding grant, if any, of the Patent or Trademark from the United States Patent and Trademark Office to the Administrative Agent at the times specified in Section 6.2 of the Credit Agreement. Whenever such Grantor, either by itself or through any agent, employee, licensee or designee, shall file an application for the registration of any Copyright with the United States Copyright Office, such Grantor shall report the filing of the initial application to the Administrative Agent at the times specified in Section 6.2(b) of the Credit Agreement. Upon the reasonable written request of the Administrative Agent, other than in respect of intent-to-use trademark or service mark applications, such Grantor shall execute and deliver, and have recorded, any and all agreements, instruments, documents, and papers as the Administrative Agent may reasonably request in writing to evidence the Administrative Agent’s and the other Secured Parties’ security interest in any Copyright, Patent or Trademark and the goodwill and general intangibles of such Grantor relating thereto or represented thereby.</w:t>
      </w:r>
    </w:p>
    <w:p>
      <w:pPr>
        <w:spacing w:after="0" w:line="181" w:lineRule="exact"/>
        <w:rPr>
          <w:rFonts w:ascii="Arial" w:cs="Arial" w:eastAsia="Arial" w:hAnsi="Arial"/>
          <w:sz w:val="19"/>
          <w:szCs w:val="19"/>
          <w:color w:val="auto"/>
        </w:rPr>
      </w:pPr>
    </w:p>
    <w:p>
      <w:pPr>
        <w:jc w:val="both"/>
        <w:ind w:firstLine="1304"/>
        <w:spacing w:after="0" w:line="260" w:lineRule="auto"/>
        <w:tabs>
          <w:tab w:leader="none" w:pos="2264" w:val="left"/>
        </w:tabs>
        <w:numPr>
          <w:ilvl w:val="0"/>
          <w:numId w:val="199"/>
        </w:numPr>
        <w:rPr>
          <w:rFonts w:ascii="Arial" w:cs="Arial" w:eastAsia="Arial" w:hAnsi="Arial"/>
          <w:sz w:val="19"/>
          <w:szCs w:val="19"/>
          <w:color w:val="auto"/>
        </w:rPr>
      </w:pPr>
      <w:r>
        <w:rPr>
          <w:rFonts w:ascii="Arial" w:cs="Arial" w:eastAsia="Arial" w:hAnsi="Arial"/>
          <w:sz w:val="19"/>
          <w:szCs w:val="19"/>
          <w:color w:val="auto"/>
        </w:rPr>
        <w:t>Such Grantor will use commercially reasonable efforts, including, without limitation, in any proceeding before the United States Patent and Trademark Office, the United States Copyright Office or any similar office or agency in any other country or any political subdivision thereof, to maintain and pursue each material application (and to obtain the relevant registration) and to maintain each registration of the material U.S. Intellectual Property, including filing of applications for renewal, affidavits of use and affidavits of incontestability.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0" w:name="page191"/>
    <w:bookmarkEnd w:id="190"/>
    <w:p>
      <w:pPr>
        <w:jc w:val="both"/>
        <w:ind w:right="20" w:firstLine="1304"/>
        <w:spacing w:after="0" w:line="250" w:lineRule="auto"/>
        <w:tabs>
          <w:tab w:leader="none" w:pos="2397" w:val="left"/>
        </w:tabs>
        <w:numPr>
          <w:ilvl w:val="0"/>
          <w:numId w:val="200"/>
        </w:numPr>
        <w:rPr>
          <w:rFonts w:ascii="Arial" w:cs="Arial" w:eastAsia="Arial" w:hAnsi="Arial"/>
          <w:sz w:val="20"/>
          <w:szCs w:val="20"/>
          <w:color w:val="auto"/>
        </w:rPr>
      </w:pPr>
      <w:r>
        <w:rPr>
          <w:rFonts w:ascii="Arial" w:cs="Arial" w:eastAsia="Arial" w:hAnsi="Arial"/>
          <w:sz w:val="20"/>
          <w:szCs w:val="20"/>
          <w:color w:val="auto"/>
        </w:rPr>
        <w:t>In the event that any material Intellectual Property owned by such Grantor is infringed, misappropriated or diluted by a third party, such Grantor shall take such actions as such Grantor shall reasonably deem appropriate under the circumstances to protect such Intellectual Property.</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5.10 </w:t>
      </w:r>
      <w:r>
        <w:rPr>
          <w:rFonts w:ascii="Arial" w:cs="Arial" w:eastAsia="Arial" w:hAnsi="Arial"/>
          <w:sz w:val="20"/>
          <w:szCs w:val="20"/>
          <w:u w:val="single" w:color="auto"/>
          <w:color w:val="auto"/>
        </w:rPr>
        <w:t>Defense of Collateral</w:t>
      </w:r>
      <w:r>
        <w:rPr>
          <w:rFonts w:ascii="Arial" w:cs="Arial" w:eastAsia="Arial" w:hAnsi="Arial"/>
          <w:sz w:val="20"/>
          <w:szCs w:val="20"/>
          <w:color w:val="auto"/>
        </w:rPr>
        <w:t>. Grantors will use commercially reasonable efforts to appear in and defend any non-frivolous action, suit or proceeding which may affect to a material extent its title to, or right or interest in, or the Administrative Agent’s right or interest in, any material portion of the Collateral.</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5.11 </w:t>
      </w:r>
      <w:r>
        <w:rPr>
          <w:rFonts w:ascii="Arial" w:cs="Arial" w:eastAsia="Arial" w:hAnsi="Arial"/>
          <w:sz w:val="20"/>
          <w:szCs w:val="20"/>
          <w:u w:val="single" w:color="auto"/>
          <w:color w:val="auto"/>
        </w:rPr>
        <w:t>Preservation of Collateral</w:t>
      </w:r>
      <w:r>
        <w:rPr>
          <w:rFonts w:ascii="Arial" w:cs="Arial" w:eastAsia="Arial" w:hAnsi="Arial"/>
          <w:sz w:val="20"/>
          <w:szCs w:val="20"/>
          <w:color w:val="auto"/>
        </w:rPr>
        <w:t>. Grantors will do and perform all commercially reasonable acts that may be reasonably necessary and appropriate to maintain, preserve and protect the Collateral other than as permitted under the Credit Agreement.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5.12 </w:t>
      </w:r>
      <w:r>
        <w:rPr>
          <w:rFonts w:ascii="Arial" w:cs="Arial" w:eastAsia="Arial" w:hAnsi="Arial"/>
          <w:sz w:val="20"/>
          <w:szCs w:val="20"/>
          <w:u w:val="single" w:color="auto"/>
          <w:color w:val="auto"/>
        </w:rPr>
        <w:t>Compliance with Laws, Etc.</w:t>
      </w:r>
      <w:r>
        <w:rPr>
          <w:rFonts w:ascii="Arial" w:cs="Arial" w:eastAsia="Arial" w:hAnsi="Arial"/>
          <w:sz w:val="20"/>
          <w:szCs w:val="20"/>
          <w:color w:val="auto"/>
        </w:rPr>
        <w:t xml:space="preserve"> Such Grantor will comply in all material respects with all laws, regulations and ordinances, and all policies of insurance, relating in a material way to the possession, operation, maintenance and control of the Collateral.</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5.13 </w:t>
      </w:r>
      <w:r>
        <w:rPr>
          <w:rFonts w:ascii="Arial" w:cs="Arial" w:eastAsia="Arial" w:hAnsi="Arial"/>
          <w:sz w:val="19"/>
          <w:szCs w:val="19"/>
          <w:u w:val="single" w:color="auto"/>
          <w:color w:val="auto"/>
        </w:rPr>
        <w:t>Location of Books and Chief Executive Office</w:t>
      </w:r>
      <w:r>
        <w:rPr>
          <w:rFonts w:ascii="Arial" w:cs="Arial" w:eastAsia="Arial" w:hAnsi="Arial"/>
          <w:sz w:val="19"/>
          <w:szCs w:val="19"/>
          <w:color w:val="auto"/>
        </w:rPr>
        <w:t xml:space="preserve">. Such Grantor will: (a) keep all Books pertaining to the Rights to Payment of such Grantor at the locations set forth in </w:t>
      </w:r>
      <w:r>
        <w:rPr>
          <w:rFonts w:ascii="Arial" w:cs="Arial" w:eastAsia="Arial" w:hAnsi="Arial"/>
          <w:sz w:val="19"/>
          <w:szCs w:val="19"/>
          <w:u w:val="single" w:color="auto"/>
          <w:color w:val="auto"/>
        </w:rPr>
        <w:t>Schedule 4</w:t>
      </w:r>
      <w:r>
        <w:rPr>
          <w:rFonts w:ascii="Arial" w:cs="Arial" w:eastAsia="Arial" w:hAnsi="Arial"/>
          <w:sz w:val="19"/>
          <w:szCs w:val="19"/>
          <w:color w:val="auto"/>
        </w:rPr>
        <w:t xml:space="preserve"> or at such other locations as may be disclosed in writing to the Administrative Agent pursuant to clause (b); and (b) give at least 10 days’ prior written notice to the Administrative Agent of any changes in any location where Books pertaining to the Rights to Payment of such Grantor are kept, including any change of name or address of any service bureau, computer or data processing company or other Person preparing or maintaining any such Books or collecting Rights to Payment for such Grantor.</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5.14 </w:t>
      </w:r>
      <w:r>
        <w:rPr>
          <w:rFonts w:ascii="Arial" w:cs="Arial" w:eastAsia="Arial" w:hAnsi="Arial"/>
          <w:sz w:val="19"/>
          <w:szCs w:val="19"/>
          <w:u w:val="single" w:color="auto"/>
          <w:color w:val="auto"/>
        </w:rPr>
        <w:t>Location of Collateral</w:t>
      </w:r>
      <w:r>
        <w:rPr>
          <w:rFonts w:ascii="Arial" w:cs="Arial" w:eastAsia="Arial" w:hAnsi="Arial"/>
          <w:sz w:val="19"/>
          <w:szCs w:val="19"/>
          <w:color w:val="auto"/>
        </w:rPr>
        <w:t xml:space="preserve">. Such Grantor will: (a) keep the Collateral held by such Grantor at the locations set forth in </w:t>
      </w:r>
      <w:r>
        <w:rPr>
          <w:rFonts w:ascii="Arial" w:cs="Arial" w:eastAsia="Arial" w:hAnsi="Arial"/>
          <w:sz w:val="19"/>
          <w:szCs w:val="19"/>
          <w:u w:val="single" w:color="auto"/>
          <w:color w:val="auto"/>
        </w:rPr>
        <w:t>Schedule 5</w:t>
      </w:r>
      <w:r>
        <w:rPr>
          <w:rFonts w:ascii="Arial" w:cs="Arial" w:eastAsia="Arial" w:hAnsi="Arial"/>
          <w:sz w:val="19"/>
          <w:szCs w:val="19"/>
          <w:color w:val="auto"/>
        </w:rPr>
        <w:t xml:space="preserve"> or at such other locations as may be disclosed in writing to the Administrative Agent pursuant to clause (b) and will not remove any such Collateral from such locations (other than (i) mobile goods, (ii) Equipment and Inventory out for repair, in transit, at other locations in connection with repair or refurbishment thereof in the ordinary course of business or in the possession of employees of the Grantors in the ordinary course of business, (iii) as permitted under the Credit Agreement, (iv) movement of Collateral from one disclosed location to another disclosed location; (v) Equipment and Inventory having a fair market value in the aggregate of less than $1,000,000, (vi) movement of Inventory in the ordinary course of business and (vii) any assets provided to customers as “evaluation systems” while in the possession of such customers in the ordinary course of business), except upon at least 10 days’ prior written notice of any removal to the Administrative Agent and delivery of a landlord waiver or collateral access agreement to the extent required by the Credit Agreement; and (b) give the Administrative Agent at least 10 days’ prior written notice of any change in the locations set forth in </w:t>
      </w:r>
      <w:r>
        <w:rPr>
          <w:rFonts w:ascii="Arial" w:cs="Arial" w:eastAsia="Arial" w:hAnsi="Arial"/>
          <w:sz w:val="19"/>
          <w:szCs w:val="19"/>
          <w:u w:val="single" w:color="auto"/>
          <w:color w:val="auto"/>
        </w:rPr>
        <w:t>Schedule 5</w:t>
      </w:r>
      <w:r>
        <w:rPr>
          <w:rFonts w:ascii="Arial" w:cs="Arial" w:eastAsia="Arial" w:hAnsi="Arial"/>
          <w:sz w:val="19"/>
          <w:szCs w:val="19"/>
          <w:color w:val="auto"/>
        </w:rPr>
        <w:t>.</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5.15 </w:t>
      </w:r>
      <w:r>
        <w:rPr>
          <w:rFonts w:ascii="Arial" w:cs="Arial" w:eastAsia="Arial" w:hAnsi="Arial"/>
          <w:sz w:val="20"/>
          <w:szCs w:val="20"/>
          <w:u w:val="single" w:color="auto"/>
          <w:color w:val="auto"/>
        </w:rPr>
        <w:t>Maintenance of Records</w:t>
      </w:r>
      <w:r>
        <w:rPr>
          <w:rFonts w:ascii="Arial" w:cs="Arial" w:eastAsia="Arial" w:hAnsi="Arial"/>
          <w:sz w:val="20"/>
          <w:szCs w:val="20"/>
          <w:color w:val="auto"/>
        </w:rPr>
        <w:t>. Such Grantor will keep complete Books with respect to Collateral held by such Grantor, that are accurate in all material respects.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5.16</w:t>
      </w:r>
      <w:r>
        <w:rPr>
          <w:sz w:val="20"/>
          <w:szCs w:val="20"/>
          <w:color w:val="auto"/>
        </w:rPr>
        <w:tab/>
      </w:r>
      <w:r>
        <w:rPr>
          <w:rFonts w:ascii="Arial" w:cs="Arial" w:eastAsia="Arial" w:hAnsi="Arial"/>
          <w:sz w:val="16"/>
          <w:szCs w:val="16"/>
          <w:u w:val="single" w:color="auto"/>
          <w:color w:val="auto"/>
        </w:rPr>
        <w:t>[Reserved].</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5.17</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5.18 </w:t>
      </w:r>
      <w:r>
        <w:rPr>
          <w:rFonts w:ascii="Arial" w:cs="Arial" w:eastAsia="Arial" w:hAnsi="Arial"/>
          <w:sz w:val="20"/>
          <w:szCs w:val="20"/>
          <w:u w:val="single" w:color="auto"/>
          <w:color w:val="auto"/>
        </w:rPr>
        <w:t>Expenses</w:t>
      </w:r>
      <w:r>
        <w:rPr>
          <w:rFonts w:ascii="Arial" w:cs="Arial" w:eastAsia="Arial" w:hAnsi="Arial"/>
          <w:sz w:val="20"/>
          <w:szCs w:val="20"/>
          <w:color w:val="auto"/>
        </w:rPr>
        <w:t>. Such Grantor will pay all reasonably necessary expenses of protecting, storing, warehousing, insuring, handling and shipping the Collateral held by such Grantor,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1" w:name="page192"/>
    <w:bookmarkEnd w:id="191"/>
    <w:p>
      <w:pPr>
        <w:jc w:val="both"/>
        <w:spacing w:after="0" w:line="260" w:lineRule="auto"/>
        <w:rPr>
          <w:sz w:val="20"/>
          <w:szCs w:val="20"/>
          <w:color w:val="auto"/>
        </w:rPr>
      </w:pPr>
      <w:r>
        <w:rPr>
          <w:rFonts w:ascii="Arial" w:cs="Arial" w:eastAsia="Arial" w:hAnsi="Arial"/>
          <w:sz w:val="20"/>
          <w:szCs w:val="20"/>
          <w:color w:val="auto"/>
        </w:rPr>
        <w:t>the failure to pay any such expenses could reasonably be expected to materially and adversely affect the value of the Collateral.</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5.19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Chattel Paper</w:t>
      </w:r>
      <w:r>
        <w:rPr>
          <w:rFonts w:ascii="Arial" w:cs="Arial" w:eastAsia="Arial" w:hAnsi="Arial"/>
          <w:sz w:val="18"/>
          <w:szCs w:val="18"/>
          <w:color w:val="auto"/>
        </w:rPr>
        <w:t xml:space="preserve">. Such Grantor will not create any Chattel Paper in excess of $1,000,000 without placing a legend on such Chattel Paper acceptable to the Administrative Agent indicating that the Administrative Agent has a security interest in such Chattel Paper. Such Grantor will give the Administrative Agent prompt notice if such Grantor at any time holds or acquires an interest in any Chattel Paper with a face amount in excess of $1,000,000 in the aggregate including any Electronic Chattel Paper and shall comply, in all respects, with the provisions of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w:t>
      </w:r>
    </w:p>
    <w:p>
      <w:pPr>
        <w:spacing w:after="0" w:line="16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Such Grantor will give the Administrative Agent prompt notice if such Grantor shall at any time hold or acquire any Commercial Tort Claim with a potential value in excess of $500,000 in the aggregate.</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5.22 </w:t>
      </w:r>
      <w:r>
        <w:rPr>
          <w:rFonts w:ascii="Arial" w:cs="Arial" w:eastAsia="Arial" w:hAnsi="Arial"/>
          <w:sz w:val="20"/>
          <w:szCs w:val="20"/>
          <w:u w:val="single" w:color="auto"/>
          <w:color w:val="auto"/>
        </w:rPr>
        <w:t>Letter-of-Credit Rights</w:t>
      </w:r>
      <w:r>
        <w:rPr>
          <w:rFonts w:ascii="Arial" w:cs="Arial" w:eastAsia="Arial" w:hAnsi="Arial"/>
          <w:sz w:val="20"/>
          <w:szCs w:val="20"/>
          <w:color w:val="auto"/>
        </w:rPr>
        <w:t xml:space="preserve">. Such Grantor will give the Administrative Agent notice if such Grantor shall at any time hold or acquire any Letter-of-Credit Rights with an individual potential value in excess of $1,000,000; provided that such notice shall be given promptly, but in no event later than the delivery of the Compliance Certificate required to be delivered pursuant to </w:t>
      </w:r>
      <w:r>
        <w:rPr>
          <w:rFonts w:ascii="Arial" w:cs="Arial" w:eastAsia="Arial" w:hAnsi="Arial"/>
          <w:sz w:val="20"/>
          <w:szCs w:val="20"/>
          <w:u w:val="single" w:color="auto"/>
          <w:color w:val="auto"/>
        </w:rPr>
        <w:t>Section 6.2</w:t>
      </w:r>
      <w:r>
        <w:rPr>
          <w:rFonts w:ascii="Arial" w:cs="Arial" w:eastAsia="Arial" w:hAnsi="Arial"/>
          <w:sz w:val="20"/>
          <w:szCs w:val="20"/>
          <w:color w:val="auto"/>
        </w:rPr>
        <w:t xml:space="preserve"> of the Credit Agreement for the fiscal quarter most recently ended after the acquisition or creation of such Letter-of-Credit Rights.</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5.23</w:t>
      </w:r>
      <w:r>
        <w:rPr>
          <w:sz w:val="20"/>
          <w:szCs w:val="20"/>
          <w:color w:val="auto"/>
        </w:rPr>
        <w:tab/>
      </w:r>
      <w:r>
        <w:rPr>
          <w:rFonts w:ascii="Arial" w:cs="Arial" w:eastAsia="Arial" w:hAnsi="Arial"/>
          <w:sz w:val="16"/>
          <w:szCs w:val="16"/>
          <w:u w:val="single" w:color="auto"/>
          <w:color w:val="auto"/>
        </w:rPr>
        <w:t>Shareholder Agreements and Other Agreements</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59" w:lineRule="auto"/>
        <w:tabs>
          <w:tab w:leader="none" w:pos="2038" w:val="left"/>
        </w:tabs>
        <w:numPr>
          <w:ilvl w:val="0"/>
          <w:numId w:val="201"/>
        </w:numPr>
        <w:rPr>
          <w:rFonts w:ascii="Arial" w:cs="Arial" w:eastAsia="Arial" w:hAnsi="Arial"/>
          <w:sz w:val="19"/>
          <w:szCs w:val="19"/>
          <w:color w:val="auto"/>
        </w:rPr>
      </w:pPr>
      <w:r>
        <w:rPr>
          <w:rFonts w:ascii="Arial" w:cs="Arial" w:eastAsia="Arial" w:hAnsi="Arial"/>
          <w:sz w:val="19"/>
          <w:szCs w:val="19"/>
          <w:color w:val="auto"/>
        </w:rPr>
        <w:t>Such Grantor shall comply with all of its obligations under any shareholders agreement, operating agreement, partnership agreement, voting trust, proxy agreement or other written agreement or written understanding (collectively, the “</w:t>
      </w:r>
      <w:r>
        <w:rPr>
          <w:rFonts w:ascii="Arial" w:cs="Arial" w:eastAsia="Arial" w:hAnsi="Arial"/>
          <w:sz w:val="19"/>
          <w:szCs w:val="19"/>
          <w:b w:val="1"/>
          <w:bCs w:val="1"/>
          <w:i w:val="1"/>
          <w:iCs w:val="1"/>
          <w:color w:val="auto"/>
        </w:rPr>
        <w:t>Pledged Collateral Agreements</w:t>
      </w:r>
      <w:r>
        <w:rPr>
          <w:rFonts w:ascii="Arial" w:cs="Arial" w:eastAsia="Arial" w:hAnsi="Arial"/>
          <w:sz w:val="19"/>
          <w:szCs w:val="19"/>
          <w:color w:val="auto"/>
        </w:rPr>
        <w:t>”) to which it is a party and shall enforce all of its rights thereunder, except, with respect to any such Pledged Collateral Agreement relating to any Pledged Collateral issued by a Person other than a Subsidiary of a Grantor, only to the extent such failure to comply with such Pledged Collateral Agreements or enforce any rights thereunder would have a Material Adverse Effect.</w:t>
      </w:r>
    </w:p>
    <w:p>
      <w:pPr>
        <w:spacing w:after="0" w:line="178" w:lineRule="exact"/>
        <w:rPr>
          <w:rFonts w:ascii="Arial" w:cs="Arial" w:eastAsia="Arial" w:hAnsi="Arial"/>
          <w:sz w:val="19"/>
          <w:szCs w:val="19"/>
          <w:color w:val="auto"/>
        </w:rPr>
      </w:pPr>
    </w:p>
    <w:p>
      <w:pPr>
        <w:jc w:val="both"/>
        <w:ind w:firstLine="1304"/>
        <w:spacing w:after="0" w:line="250" w:lineRule="auto"/>
        <w:tabs>
          <w:tab w:leader="none" w:pos="1995" w:val="left"/>
        </w:tabs>
        <w:numPr>
          <w:ilvl w:val="0"/>
          <w:numId w:val="201"/>
        </w:numPr>
        <w:rPr>
          <w:rFonts w:ascii="Arial" w:cs="Arial" w:eastAsia="Arial" w:hAnsi="Arial"/>
          <w:sz w:val="20"/>
          <w:szCs w:val="20"/>
          <w:color w:val="auto"/>
        </w:rPr>
      </w:pPr>
      <w:r>
        <w:rPr>
          <w:rFonts w:ascii="Arial" w:cs="Arial" w:eastAsia="Arial" w:hAnsi="Arial"/>
          <w:sz w:val="20"/>
          <w:szCs w:val="20"/>
          <w:color w:val="auto"/>
        </w:rPr>
        <w:t>Such Grantor agrees that no Pledged Stock (i) shall be dealt in or traded on any securities exchange or in any securities market, (ii) shall constitute an investment company security, or (iii) shall be held by such Grantor in a Securities Account.</w:t>
      </w:r>
    </w:p>
    <w:p>
      <w:pPr>
        <w:spacing w:after="0" w:line="185" w:lineRule="exact"/>
        <w:rPr>
          <w:rFonts w:ascii="Arial" w:cs="Arial" w:eastAsia="Arial" w:hAnsi="Arial"/>
          <w:sz w:val="20"/>
          <w:szCs w:val="20"/>
          <w:color w:val="auto"/>
        </w:rPr>
      </w:pPr>
    </w:p>
    <w:p>
      <w:pPr>
        <w:jc w:val="both"/>
        <w:ind w:firstLine="1304"/>
        <w:spacing w:after="0" w:line="244" w:lineRule="auto"/>
        <w:tabs>
          <w:tab w:leader="none" w:pos="1973" w:val="left"/>
        </w:tabs>
        <w:numPr>
          <w:ilvl w:val="0"/>
          <w:numId w:val="201"/>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of the Credit Agreement, including </w:t>
      </w:r>
      <w:r>
        <w:rPr>
          <w:rFonts w:ascii="Arial" w:cs="Arial" w:eastAsia="Arial" w:hAnsi="Arial"/>
          <w:sz w:val="20"/>
          <w:szCs w:val="20"/>
          <w:u w:val="single" w:color="auto"/>
          <w:color w:val="auto"/>
        </w:rPr>
        <w:t>Sections 7.3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7.5</w:t>
      </w:r>
      <w:r>
        <w:rPr>
          <w:rFonts w:ascii="Arial" w:cs="Arial" w:eastAsia="Arial" w:hAnsi="Arial"/>
          <w:sz w:val="20"/>
          <w:szCs w:val="20"/>
          <w:color w:val="auto"/>
        </w:rPr>
        <w:t xml:space="preserve"> thereof, such Grantor shall not vote to enable or take any other action to amend or terminate, or waive compliance with any of the terms of, any such Pledged Collateral Agreement, certificate or articles of incorporation, bylaws or other organizational documents in any way that materially and adversely affects the validity, perfection or priority of the Administrative Agent’s security interest therein.</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5.24 </w:t>
      </w:r>
      <w:r>
        <w:rPr>
          <w:rFonts w:ascii="Arial" w:cs="Arial" w:eastAsia="Arial" w:hAnsi="Arial"/>
          <w:sz w:val="19"/>
          <w:szCs w:val="19"/>
          <w:u w:val="single" w:color="auto"/>
          <w:color w:val="auto"/>
        </w:rPr>
        <w:t>Government Receivables</w:t>
      </w:r>
      <w:r>
        <w:rPr>
          <w:rFonts w:ascii="Arial" w:cs="Arial" w:eastAsia="Arial" w:hAnsi="Arial"/>
          <w:sz w:val="19"/>
          <w:szCs w:val="19"/>
          <w:color w:val="auto"/>
        </w:rPr>
        <w:t>. Such Grantor will notify the Administrative Agent of any Accounts in excess of $1,000,000 in the aggregate in which the Account Debtor is a United States government entity or any department, agency or instrumentality thereof, and, if reasonably requested in writing by the Administrative Agent, Grantors shall submit the documentation required under the Assignment of Claims Act to the government of the United States seeking approval of the novation or assignment of each contract relating to such Accounts and deliver to the Administrative Agent such documentation reasonably necessary to comply with the Assignment of Claims Act with respect to the assignment of the right of payment in respect of all contracts relating to such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2" w:name="page193"/>
    <w:bookmarkEnd w:id="192"/>
    <w:p>
      <w:pPr>
        <w:jc w:val="center"/>
        <w:spacing w:after="0"/>
        <w:tabs>
          <w:tab w:leader="none" w:pos="28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9"/>
          <w:szCs w:val="19"/>
          <w:color w:val="auto"/>
        </w:rPr>
        <w:t>REMEDIAL PROVISIONS</w:t>
      </w:r>
    </w:p>
    <w:p>
      <w:pPr>
        <w:spacing w:after="0" w:line="216"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Each Grantor covenants and agrees with the Administrative Agent and the other Secured Parties that, from and after the date of this Agreement until the Discharge of Obligations: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u w:val="single" w:color="auto"/>
          <w:color w:val="auto"/>
        </w:rPr>
        <w:t>Certain Matters Relating to Receivables</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71" w:lineRule="auto"/>
        <w:tabs>
          <w:tab w:leader="none" w:pos="209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The Administrative Agent hereby authorizes each Grantor to collect such Grantor’s Receivables, and the Administrative Agent may curtail or terminate said authority at any time after the occurrence and during the continuance of an Event of Default. If required by the Administrative Agent at any time after the occurrence and during the continuance of an Event of Default, any payments of Receivables, when collected by any Grantor, (i) shall be forthwith (and, in any event, within two Business Days) deposited by such Grantor in the exact form received, duly indorsed by such Grantor to the Administrative Agent if required, in a Collateral Account over which the Administrative Agent has control, subject to withdrawal by the Administrative Agent for the account of the Secured Parties only as provided in </w:t>
      </w:r>
      <w:r>
        <w:rPr>
          <w:rFonts w:ascii="Arial" w:cs="Arial" w:eastAsia="Arial" w:hAnsi="Arial"/>
          <w:sz w:val="18"/>
          <w:szCs w:val="18"/>
          <w:u w:val="single" w:color="auto"/>
          <w:color w:val="auto"/>
        </w:rPr>
        <w:t>Section 6.5</w:t>
      </w:r>
      <w:r>
        <w:rPr>
          <w:rFonts w:ascii="Arial" w:cs="Arial" w:eastAsia="Arial" w:hAnsi="Arial"/>
          <w:sz w:val="18"/>
          <w:szCs w:val="18"/>
          <w:color w:val="auto"/>
        </w:rPr>
        <w:t>, and (ii) until so turned over, shall be held by such Grantor in trust for the Administrative Agent and the other Secured Parties, segregated from other funds of such Grantor. After the occurrence and during the continuance of an Event of Default, each such deposit of Proceeds of Receivables shall be accompanied by a report identifying in reasonable detail the nature and source of the payments included in the deposit.</w:t>
      </w:r>
    </w:p>
    <w:p>
      <w:pPr>
        <w:spacing w:after="0" w:line="169" w:lineRule="exact"/>
        <w:rPr>
          <w:rFonts w:ascii="Arial" w:cs="Arial" w:eastAsia="Arial" w:hAnsi="Arial"/>
          <w:sz w:val="18"/>
          <w:szCs w:val="18"/>
          <w:color w:val="auto"/>
        </w:rPr>
      </w:pPr>
    </w:p>
    <w:p>
      <w:pPr>
        <w:jc w:val="both"/>
        <w:ind w:firstLine="1304"/>
        <w:spacing w:after="0" w:line="246" w:lineRule="auto"/>
        <w:tabs>
          <w:tab w:leader="none" w:pos="2036" w:val="left"/>
        </w:tabs>
        <w:numPr>
          <w:ilvl w:val="0"/>
          <w:numId w:val="202"/>
        </w:numPr>
        <w:rPr>
          <w:rFonts w:ascii="Arial" w:cs="Arial" w:eastAsia="Arial" w:hAnsi="Arial"/>
          <w:sz w:val="20"/>
          <w:szCs w:val="20"/>
          <w:color w:val="auto"/>
        </w:rPr>
      </w:pPr>
      <w:r>
        <w:rPr>
          <w:rFonts w:ascii="Arial" w:cs="Arial" w:eastAsia="Arial" w:hAnsi="Arial"/>
          <w:sz w:val="20"/>
          <w:szCs w:val="20"/>
          <w:color w:val="auto"/>
        </w:rPr>
        <w:t>At the Administrative Agent’s reasonable request, after the occurrence and during the continuance of an Event of Default, each Grantor shall deliver to the Administrative Agent all original and other documents evidencing, and relating to, the agreements and transactions which gave rise to the Receivables, including, without limitation, all original orders, invoices and shipping receipts.</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u w:val="single" w:color="auto"/>
          <w:color w:val="auto"/>
        </w:rPr>
        <w:t>Communications with Obligors; Grantors Remain Liable</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69" w:lineRule="auto"/>
        <w:tabs>
          <w:tab w:leader="none" w:pos="216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The Administrative Agent in its own name or in the name of others may at any time after the occurrence and during the continuance of an Event of Default communicate with obligors under the Receivables to verify with them to the Administrative Agent’s satisfaction the existence, amount and terms of any Receivables.</w:t>
      </w:r>
    </w:p>
    <w:p>
      <w:pPr>
        <w:spacing w:after="0" w:line="169" w:lineRule="exact"/>
        <w:rPr>
          <w:rFonts w:ascii="Arial" w:cs="Arial" w:eastAsia="Arial" w:hAnsi="Arial"/>
          <w:sz w:val="19"/>
          <w:szCs w:val="19"/>
          <w:color w:val="auto"/>
        </w:rPr>
      </w:pPr>
    </w:p>
    <w:p>
      <w:pPr>
        <w:jc w:val="both"/>
        <w:ind w:firstLine="1304"/>
        <w:spacing w:after="0" w:line="246" w:lineRule="auto"/>
        <w:tabs>
          <w:tab w:leader="none" w:pos="2164" w:val="left"/>
        </w:tabs>
        <w:numPr>
          <w:ilvl w:val="0"/>
          <w:numId w:val="203"/>
        </w:numPr>
        <w:rPr>
          <w:rFonts w:ascii="Arial" w:cs="Arial" w:eastAsia="Arial" w:hAnsi="Arial"/>
          <w:sz w:val="20"/>
          <w:szCs w:val="20"/>
          <w:color w:val="auto"/>
        </w:rPr>
      </w:pPr>
      <w:r>
        <w:rPr>
          <w:rFonts w:ascii="Arial" w:cs="Arial" w:eastAsia="Arial" w:hAnsi="Arial"/>
          <w:sz w:val="20"/>
          <w:szCs w:val="20"/>
          <w:color w:val="auto"/>
        </w:rPr>
        <w:t>Upon the request of the Administrative Agent, at any time after the occurrence and during the continuance of an Event of Default, each Grantor shall notify obligors on the Receivables that a security interest in the Receivables has been granted to the Administrative Agent for the ratable benefit of the Secured Parties and that payments in respect thereof shall be made directly to the Administrative Agent.</w:t>
      </w:r>
    </w:p>
    <w:p>
      <w:pPr>
        <w:spacing w:after="0" w:line="191" w:lineRule="exact"/>
        <w:rPr>
          <w:rFonts w:ascii="Arial" w:cs="Arial" w:eastAsia="Arial" w:hAnsi="Arial"/>
          <w:sz w:val="20"/>
          <w:szCs w:val="20"/>
          <w:color w:val="auto"/>
        </w:rPr>
      </w:pPr>
    </w:p>
    <w:p>
      <w:pPr>
        <w:jc w:val="both"/>
        <w:ind w:firstLine="1304"/>
        <w:spacing w:after="0" w:line="271" w:lineRule="auto"/>
        <w:tabs>
          <w:tab w:leader="none" w:pos="220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Anything herein to the contrary notwithstanding, each Grantor shall remain liable under each agreement giving rise to the Receivables and observe and perform all the conditions and obligations to be observed and performed by it thereunder, all in accordance with the terms of any agreement giving rise thereto. Neither the Administrative Agent nor any other Secured Party shall have any obligation or liability under any agreement giving rise to any Receivable by reason of or arising out of this Agreement or the receipt by the Administrative Agent or any Lender of any payment relating thereto, nor shall the Administrative Agent nor any other Secured Party be obligated in any manner to perform any of the obligations of any Grantor under or pursuant to any agreement giving rise to any Receivable,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3" w:name="page194"/>
    <w:bookmarkEnd w:id="193"/>
    <w:p>
      <w:pPr>
        <w:ind w:left="660"/>
        <w:spacing w:after="0"/>
        <w:tabs>
          <w:tab w:leader="none" w:pos="12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6"/>
          <w:szCs w:val="16"/>
          <w:u w:val="single" w:color="auto"/>
          <w:color w:val="auto"/>
        </w:rPr>
        <w:t>Investment Property</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56" w:lineRule="auto"/>
        <w:tabs>
          <w:tab w:leader="none" w:pos="2098"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Unless an Event of Default shall have occurred and be continuing and the Administrative Agent shall have given written notice to the relevant Grantor of the Administrative Agent’s intent to exercise its corresponding rights pursuant to </w:t>
      </w:r>
      <w:r>
        <w:rPr>
          <w:rFonts w:ascii="Arial" w:cs="Arial" w:eastAsia="Arial" w:hAnsi="Arial"/>
          <w:sz w:val="19"/>
          <w:szCs w:val="19"/>
          <w:u w:val="single" w:color="auto"/>
          <w:color w:val="auto"/>
        </w:rPr>
        <w:t>Section 6.3(b)</w:t>
      </w:r>
      <w:r>
        <w:rPr>
          <w:rFonts w:ascii="Arial" w:cs="Arial" w:eastAsia="Arial" w:hAnsi="Arial"/>
          <w:sz w:val="19"/>
          <w:szCs w:val="19"/>
          <w:color w:val="auto"/>
        </w:rPr>
        <w:t xml:space="preserve">, each Grantor shall be permitted to receive all cash dividends paid in respect of the Pledged Collateral and all payments made in respect of the Pledged Notes and other Investment Property to the extent not prohibited by the Credit Agreement, and to exercise all voting and corporate or other organizational rights with respect to the Investment Property of such Grantor;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vote shall be cast or corporate or other organizational right exercised or other action taken which, in the Administrative Agent’s reasonable discretion, would materially impair the Collateral or which would be inconsistent with or result in any violation of any provision of the Credit Agreement, this Agreement or any other Loan Document.</w:t>
      </w:r>
    </w:p>
    <w:p>
      <w:pPr>
        <w:spacing w:after="0" w:line="184" w:lineRule="exact"/>
        <w:rPr>
          <w:rFonts w:ascii="Arial" w:cs="Arial" w:eastAsia="Arial" w:hAnsi="Arial"/>
          <w:sz w:val="19"/>
          <w:szCs w:val="19"/>
          <w:color w:val="auto"/>
        </w:rPr>
      </w:pPr>
    </w:p>
    <w:p>
      <w:pPr>
        <w:jc w:val="both"/>
        <w:ind w:firstLine="1304"/>
        <w:spacing w:after="0" w:line="267" w:lineRule="auto"/>
        <w:tabs>
          <w:tab w:leader="none" w:pos="200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If an Event of Default shall occur and be continuing and the Administrative Agent shall give notice of its intent to exercise such rights to the relevant Grantor or Grantors, (i) the Administrative Agent shall have the right (A) to receive any and all cash dividends, payments or other Proceeds paid in respect of the Investment Property (including the Pledged Collateral) of any or all of the Grantors and make application thereof to the Secured Obligations in the order set forth in </w:t>
      </w:r>
      <w:r>
        <w:rPr>
          <w:rFonts w:ascii="Arial" w:cs="Arial" w:eastAsia="Arial" w:hAnsi="Arial"/>
          <w:sz w:val="18"/>
          <w:szCs w:val="18"/>
          <w:u w:val="single" w:color="auto"/>
          <w:color w:val="auto"/>
        </w:rPr>
        <w:t>Section 6.5</w:t>
      </w:r>
      <w:r>
        <w:rPr>
          <w:rFonts w:ascii="Arial" w:cs="Arial" w:eastAsia="Arial" w:hAnsi="Arial"/>
          <w:sz w:val="18"/>
          <w:szCs w:val="18"/>
          <w:color w:val="auto"/>
        </w:rPr>
        <w:t>, and (B) to exchange uncertificated Pledged Collateral for certificated Pledged Collateral and to exchange certificated Pledged Collateral for certificates of larger or smaller denominations, for any purpose consistent with this Agreement (in each case to the extent such exchanges are permitted under the applicable Pledged Collateral Agreements or otherwise agreed upon by the Issuer of such Pledged Collateral), and (ii) any and all of such Investment Property shall be registered in the name of the Administrative Agent or its nominee, and the Administrative Agent or its nominee may thereafter exercise (x) all voting, corporate and other rights pertaining to such Investment Property at any meeting of shareholders of the relevant Issuer or Issuers or otherwise and (y) any and all rights of conversion, exchange and subscription and any other rights, privileges or options pertaining to such Investment Property as if it were the absolute owner thereof (including, without limitation, the right to exchange at its discretion any and all of any such Investment Property upon the merger, consolidation, reorganization, recapitalization or other fundamental change in the corporate or other organizational structure of any Issuer, or upon the exercise by any Grantor or the Administrative Agent of any right, privilege or option pertaining to such Investment Property, and in connection therewith, the right to deposit and deliver any and all of such Investment Property with any committee, depositary, transfer agent, registrar or other designated agency upon such terms and conditions as the Administrative Agent may reasonably determine), all without liability except to account for property actually received by it, but the Administrative Agent shall have no duty to any Grantor to exercise any such right, privilege or option and shall not be responsible for any failure to do so or delay in so doing. In order to permit Administrative Agent to exercise the voting and consensual rights to which it may be entitled hereunder and to receive all dividends and other distributions to which it may be entitled to receive hereunder, each Grantor shall promptly execute and deliver to Administrative Agent all such proxies, dividend payment orders and other instruments as Administrative Agent may from time to time reasonably request in writing, and without limiting the foregoing, each Grantor hereby grants to Administrative Agent an IRREVOCABLE PROXY COUPLED WITH AN INTEREST to exercise, all the voting rights applicable to such Investment Property and to exercise all other rights, powers, privileges and remedies to which a holder of the Investment Property would be entitled, which proxy shall only be effective, automatically (and without any further action on the part of the Grantor or the Administrative Agent), upon the occurrence and during the continuance of an Event of Default; provided, that, such rights, powers, privileges and remedies shall terminate upon Discharge of Obligations.</w:t>
      </w:r>
    </w:p>
    <w:p>
      <w:pPr>
        <w:spacing w:after="0" w:line="193" w:lineRule="exact"/>
        <w:rPr>
          <w:rFonts w:ascii="Arial" w:cs="Arial" w:eastAsia="Arial" w:hAnsi="Arial"/>
          <w:sz w:val="18"/>
          <w:szCs w:val="18"/>
          <w:color w:val="auto"/>
        </w:rPr>
      </w:pPr>
    </w:p>
    <w:p>
      <w:pPr>
        <w:ind w:firstLine="1304"/>
        <w:spacing w:after="0" w:line="260" w:lineRule="auto"/>
        <w:tabs>
          <w:tab w:leader="none" w:pos="1977" w:val="left"/>
        </w:tabs>
        <w:numPr>
          <w:ilvl w:val="0"/>
          <w:numId w:val="204"/>
        </w:numPr>
        <w:rPr>
          <w:rFonts w:ascii="Arial" w:cs="Arial" w:eastAsia="Arial" w:hAnsi="Arial"/>
          <w:sz w:val="20"/>
          <w:szCs w:val="20"/>
          <w:color w:val="auto"/>
        </w:rPr>
      </w:pPr>
      <w:r>
        <w:rPr>
          <w:rFonts w:ascii="Arial" w:cs="Arial" w:eastAsia="Arial" w:hAnsi="Arial"/>
          <w:sz w:val="20"/>
          <w:szCs w:val="20"/>
          <w:color w:val="auto"/>
        </w:rPr>
        <w:t>Each Grantor hereby authorizes and instructs each Issuer of any Pledged Collateral pledged by such Grantor hereunder to (i) comply with any instruction received by it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4" w:name="page195"/>
    <w:bookmarkEnd w:id="194"/>
    <w:p>
      <w:pPr>
        <w:jc w:val="both"/>
        <w:spacing w:after="0" w:line="282" w:lineRule="auto"/>
        <w:rPr>
          <w:sz w:val="20"/>
          <w:szCs w:val="20"/>
          <w:color w:val="auto"/>
        </w:rPr>
      </w:pPr>
      <w:r>
        <w:rPr>
          <w:rFonts w:ascii="Arial" w:cs="Arial" w:eastAsia="Arial" w:hAnsi="Arial"/>
          <w:sz w:val="18"/>
          <w:szCs w:val="18"/>
          <w:color w:val="auto"/>
        </w:rPr>
        <w:t>Administrative Agent in writing that (x) states that an Event of Default has occurred and is continuing and (y) is otherwise in accordance with the terms of this Agreement, without any other or further instructions from such Grantor, and each Grantor agrees that each Issuer shall be fully protected in so complying, and (ii) unless otherwise expressly permitted hereby, pay any dividends or other payments with respect to the Pledged Collateral directly to the Administrative Agent.</w:t>
      </w:r>
    </w:p>
    <w:p>
      <w:pPr>
        <w:spacing w:after="0" w:line="161" w:lineRule="exact"/>
        <w:rPr>
          <w:sz w:val="20"/>
          <w:szCs w:val="20"/>
          <w:color w:val="auto"/>
        </w:rPr>
      </w:pPr>
    </w:p>
    <w:p>
      <w:pPr>
        <w:jc w:val="both"/>
        <w:ind w:firstLine="1304"/>
        <w:spacing w:after="0" w:line="244" w:lineRule="auto"/>
        <w:tabs>
          <w:tab w:leader="none" w:pos="2043" w:val="left"/>
        </w:tabs>
        <w:numPr>
          <w:ilvl w:val="0"/>
          <w:numId w:val="205"/>
        </w:numPr>
        <w:rPr>
          <w:rFonts w:ascii="Arial" w:cs="Arial" w:eastAsia="Arial" w:hAnsi="Arial"/>
          <w:sz w:val="20"/>
          <w:szCs w:val="20"/>
          <w:color w:val="auto"/>
        </w:rPr>
      </w:pPr>
      <w:r>
        <w:rPr>
          <w:rFonts w:ascii="Arial" w:cs="Arial" w:eastAsia="Arial" w:hAnsi="Arial"/>
          <w:sz w:val="20"/>
          <w:szCs w:val="20"/>
          <w:color w:val="auto"/>
        </w:rPr>
        <w:t xml:space="preserve">If an Event of Default shall have occurred and be continuing, the Administrative Agent shall have the right to apply the balance from any Deposit Account or Securities Account or instruct the bank or securities intermediary at which any Deposit Account or Securities Account is maintained to pay the balance of any Deposit Account or Securities Account to or for the benefit of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Administrative Agent shall not have such right with respect to any Excluded Accounts.</w:t>
      </w:r>
    </w:p>
    <w:p>
      <w:pPr>
        <w:spacing w:after="0" w:line="19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Proceeds to be Turned Over To Administrative Agent</w:t>
      </w:r>
      <w:r>
        <w:rPr>
          <w:rFonts w:ascii="Arial" w:cs="Arial" w:eastAsia="Arial" w:hAnsi="Arial"/>
          <w:sz w:val="20"/>
          <w:szCs w:val="20"/>
          <w:color w:val="auto"/>
        </w:rPr>
        <w:t xml:space="preserve">. If an Event of Default shall occur and be continuing, all Proceeds received by any Grantor consisting of cash, checks, Cash Equivalents and other near-cash items shall be held by such Grantor in trust for the Administrative Agent and the other Secured Parties, segregated from other funds of such Grantor, and shall, forthwith upon receipt by such Grantor, be turned over to the Administrative Agent in the exact form received by such Grantor (duly indorsed by such Grantor to the Administrative Agent, if required). All Proceeds received by the Administrative Agent hereunder shall be held by the Administrative Agent in a Collateral Account over which it maintains control, within the meaning of the UCC. All Proceeds while held by the Administrative Agent in a Collateral Account (or by such Grantor in trust for the Administrative Agent and the other Secured Parties) shall continue to be held as collateral security for all the Secured Obligations and shall not constitute payment thereof until applied as provided in </w:t>
      </w:r>
      <w:r>
        <w:rPr>
          <w:rFonts w:ascii="Arial" w:cs="Arial" w:eastAsia="Arial" w:hAnsi="Arial"/>
          <w:sz w:val="20"/>
          <w:szCs w:val="20"/>
          <w:u w:val="single" w:color="auto"/>
          <w:color w:val="auto"/>
        </w:rPr>
        <w:t>Section 6.5</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Application of Proceeds</w:t>
      </w:r>
      <w:r>
        <w:rPr>
          <w:rFonts w:ascii="Arial" w:cs="Arial" w:eastAsia="Arial" w:hAnsi="Arial"/>
          <w:sz w:val="19"/>
          <w:szCs w:val="19"/>
          <w:color w:val="auto"/>
        </w:rPr>
        <w:t>. If an Event of Default shall have occurred and be continuing, the Administrative Agent may apply all or any part of Proceeds constituting Collateral, whether or not held in any Collateral Account, in payment of the Secured Obligations in accordance with Section 8.3 of the Credit Agreement.</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Code and Other Remedies</w:t>
      </w:r>
      <w:r>
        <w:rPr>
          <w:rFonts w:ascii="Arial" w:cs="Arial" w:eastAsia="Arial" w:hAnsi="Arial"/>
          <w:sz w:val="18"/>
          <w:szCs w:val="18"/>
          <w:color w:val="auto"/>
        </w:rPr>
        <w:t xml:space="preserve">. If an Event of Default shall occur and be continuing, the Administrative Agent, on behalf of the Secured Parties, may exercise, in addition to all other rights and remedies granted to them in this Agreement and in any other instrument or agreement securing, evidencing or relating to the Secured Obligations,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to or upon any Grantor or any other Person (all and each of which demands, defenses, advertisements and notices are hereby waived), may in such circumstances forthwith collect, receive, appropriate and realize upon the Collateral, or any part thereof, and/or may forthwith sell, lease, assign, give option or options to purchase, or otherwise dispose of and deliver the Collateral or any part thereof (or contract to do any of the foregoing), in one or more parcels at public or private sale or sales, at any exchange, broker’s board or office of the Administrative Agent or any other Secured Party or elsewhere upon such terms and conditions as it may deem advisable and at such prices as it may deem best, for cash or on credit or for future delivery without assumption of any credit risk. The Administrative Agent or any other Secured Party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Each Grantor further agrees, at the Administrative Agent’s reasonable written request, to assemble the Collateral and make it available to the Administrative Agent at places which the Administrative Agent shall reasonably select, whether at such Grantor’s premises or elsewhere. The Administrative Agent shall apply the net proceeds of any action taken by it pursuant to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in accordance with the provisions of </w:t>
      </w:r>
      <w:r>
        <w:rPr>
          <w:rFonts w:ascii="Arial" w:cs="Arial" w:eastAsia="Arial" w:hAnsi="Arial"/>
          <w:sz w:val="18"/>
          <w:szCs w:val="18"/>
          <w:u w:val="single" w:color="auto"/>
          <w:color w:val="auto"/>
        </w:rPr>
        <w:t>Section 6.5</w:t>
      </w:r>
      <w:r>
        <w:rPr>
          <w:rFonts w:ascii="Arial" w:cs="Arial" w:eastAsia="Arial" w:hAnsi="Arial"/>
          <w:sz w:val="18"/>
          <w:szCs w:val="18"/>
          <w:color w:val="auto"/>
        </w:rPr>
        <w:t>, only after deducting all documented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5" w:name="page196"/>
    <w:bookmarkEnd w:id="195"/>
    <w:p>
      <w:pPr>
        <w:jc w:val="both"/>
        <w:spacing w:after="0" w:line="267" w:lineRule="auto"/>
        <w:rPr>
          <w:sz w:val="20"/>
          <w:szCs w:val="20"/>
          <w:color w:val="auto"/>
        </w:rPr>
      </w:pPr>
      <w:r>
        <w:rPr>
          <w:rFonts w:ascii="Arial" w:cs="Arial" w:eastAsia="Arial" w:hAnsi="Arial"/>
          <w:sz w:val="18"/>
          <w:szCs w:val="18"/>
          <w:color w:val="auto"/>
        </w:rPr>
        <w:t>and reasonable costs and expenses of every kind incurred in connection therewith or incidental to the care or safekeeping of any of the Collateral or in any way relating to the Collateral or the rights of the Administrative Agent and the other Secured Parties hereunder, including, without limitation, documented and reasonable out-of-pocket attorneys’ fees and disbursements, to the payment in whole or in part of the Secured Obligations, in such order as is contemplated by Section 8.3 of the Credit Agreement, and only after such application and after the payment by the Administrative Agent of any other amount required by any provision of law, including Section 9-615(a)(3) of the UCC, but only to the extent of the surplus, if any, owing to any Grantor. To the extent permitted by applicable law, each Grantor waives all claims, damages and demands it may acquire against the Administrative Agent or any other Secured Party arising out of the exercise by any of them of any rights hereunder, except to the extent found by a final nonappealable decision of a court of competent jurisdiction to have resulted from the gross negligence or willful misconduct of the Administrative Agent or such Secured Party or their respective agents. If any notice of a proposed sale or other disposition of Collateral shall be required by law, such notice shall be deemed reasonable and proper if given at least 10 days before such sale or other disposition. If an Event of Default has occurred and is continuing, Administrative Agent may, in addition to other rights and remedies provided for herein, in the other Loan Documents, or otherwise available to it under applicable law and without the requirement of notice to or upon any Grantor or any other Person (which notice is hereby expressly waived to the maximum extent permitted by the Code or any other applicable law), (i) with respect to any Grantor’s Deposit Accounts in which Administrative Agent’s Liens are perfected by control under Section 9-104 or any other section of the UCC, instruct the bank maintaining such Deposit Account for the applicable Grantor to pay the balance of such Deposit Account to or for the benefit of the Administrative Agent, and (ii) with respect to any Grantor’s Securities Accounts in which Administrative Agent’s Liens are perfected by control under Section 9-106 or any other section of the UCC, instruct the securities intermediary maintaining such Securities Account for the applicable Grantor to (A) transfer any cash in such Securities Account to or for the benefit of Administrative Agent, or (B) liquidate any financial assets in such Securities Account that are customarily sold on a recognized market and transfer the cash proceeds thereof to or for the benefit of Administrative Agent, in each case above, for application to and repayment of the Secured Obligations. Each Grantor hereby acknowledges that the Secured Obligations arise out of a commercial transaction, and agrees that if an Event of Default shall occur and be continuing Administrative Agent shall have the right to an immediate writ of possession without notice of a hearing. Administrative Agent shall have the right to the appointment of a receiver for the properties and assets of each Grantor, and each Grantor hereby consents to such rights and such appointment and hereby waives any objection such Grantor may have thereto or the right to have a bond or other security posted by Administrative Agent.</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6.7 </w:t>
      </w:r>
      <w:r>
        <w:rPr>
          <w:rFonts w:ascii="Arial" w:cs="Arial" w:eastAsia="Arial" w:hAnsi="Arial"/>
          <w:sz w:val="20"/>
          <w:szCs w:val="20"/>
          <w:u w:val="single" w:color="auto"/>
          <w:color w:val="auto"/>
        </w:rPr>
        <w:t>Certain Matters Relating to “Evaluation Systems”</w:t>
      </w:r>
      <w:r>
        <w:rPr>
          <w:rFonts w:ascii="Arial" w:cs="Arial" w:eastAsia="Arial" w:hAnsi="Arial"/>
          <w:sz w:val="20"/>
          <w:szCs w:val="20"/>
          <w:color w:val="auto"/>
        </w:rPr>
        <w:t xml:space="preserve">. Notwithstanding anything to the contrary herein, the Administrative Agent shall not exercise any of its remedies hereunder with respect to assets provided to customers as “evaluation systems” in such customers’ possession except following the occurrence and during the continuance of an Event of Default under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8.1(f)</w:t>
      </w:r>
      <w:r>
        <w:rPr>
          <w:rFonts w:ascii="Arial" w:cs="Arial" w:eastAsia="Arial" w:hAnsi="Arial"/>
          <w:sz w:val="20"/>
          <w:szCs w:val="20"/>
          <w:color w:val="auto"/>
        </w:rPr>
        <w:t xml:space="preserve"> of the Credit Agreement.</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6.8 </w:t>
      </w:r>
      <w:r>
        <w:rPr>
          <w:rFonts w:ascii="Arial" w:cs="Arial" w:eastAsia="Arial" w:hAnsi="Arial"/>
          <w:sz w:val="20"/>
          <w:szCs w:val="20"/>
          <w:u w:val="single" w:color="auto"/>
          <w:color w:val="auto"/>
        </w:rPr>
        <w:t>Intellectual Property License</w:t>
      </w:r>
      <w:r>
        <w:rPr>
          <w:rFonts w:ascii="Arial" w:cs="Arial" w:eastAsia="Arial" w:hAnsi="Arial"/>
          <w:sz w:val="20"/>
          <w:szCs w:val="20"/>
          <w:color w:val="auto"/>
        </w:rPr>
        <w:t xml:space="preserve">. Solely for the purpose of enabling the Administrative Agent to exercise rights and remedies under this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and at such time as the Administrative Agent shall be lawfully entitled to exercise such rights and remedies, each Grantor hereby grants to the Administrative Agent, for the benefit of the Secured Parties, an irrevocable, non-exclusive, worldwide license (exercisable without payment of royalty or other compensation to such Grantor), subject, in the case of Trademarks, to sufficient rights to quality control and inspection in favor of such Grantor to avoid the risk of invalidation of said Trademarks, to use, operate under, license, or sublicense any Intellectual Property now owned or hereafter acquired by the Grantors.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6" w:name="page197"/>
    <w:bookmarkEnd w:id="196"/>
    <w:p>
      <w:pPr>
        <w:jc w:val="both"/>
        <w:ind w:firstLine="648"/>
        <w:spacing w:after="0" w:line="246" w:lineRule="auto"/>
        <w:rPr>
          <w:sz w:val="20"/>
          <w:szCs w:val="20"/>
          <w:color w:val="auto"/>
        </w:rPr>
      </w:pPr>
      <w:r>
        <w:rPr>
          <w:rFonts w:ascii="Arial" w:cs="Arial" w:eastAsia="Arial" w:hAnsi="Arial"/>
          <w:sz w:val="20"/>
          <w:szCs w:val="20"/>
          <w:color w:val="auto"/>
        </w:rPr>
        <w:t xml:space="preserve">6.9 </w:t>
      </w:r>
      <w:r>
        <w:rPr>
          <w:rFonts w:ascii="Arial" w:cs="Arial" w:eastAsia="Arial" w:hAnsi="Arial"/>
          <w:sz w:val="20"/>
          <w:szCs w:val="20"/>
          <w:u w:val="single" w:color="auto"/>
          <w:color w:val="auto"/>
        </w:rPr>
        <w:t>Deficiency</w:t>
      </w:r>
      <w:r>
        <w:rPr>
          <w:rFonts w:ascii="Arial" w:cs="Arial" w:eastAsia="Arial" w:hAnsi="Arial"/>
          <w:sz w:val="20"/>
          <w:szCs w:val="20"/>
          <w:color w:val="auto"/>
        </w:rPr>
        <w:t>. Each Grantor shall remain liable for any deficiency if the proceeds of any sale or other disposition of the Collateral are insufficient to pay its Secured Obligations and the reasonable and documented out-of-pocket fees and disbursements of any attorneys employed by the Administrative Agent or any other Secured Party to collect such deficiency.</w:t>
      </w:r>
    </w:p>
    <w:p>
      <w:pPr>
        <w:spacing w:after="0" w:line="191" w:lineRule="exact"/>
        <w:rPr>
          <w:sz w:val="20"/>
          <w:szCs w:val="20"/>
          <w:color w:val="auto"/>
        </w:rPr>
      </w:pPr>
    </w:p>
    <w:p>
      <w:pPr>
        <w:jc w:val="center"/>
        <w:ind w:right="-19"/>
        <w:spacing w:after="0"/>
        <w:tabs>
          <w:tab w:leader="none" w:pos="240" w:val="left"/>
        </w:tabs>
        <w:rPr>
          <w:sz w:val="20"/>
          <w:szCs w:val="20"/>
          <w:color w:val="auto"/>
        </w:rPr>
      </w:pPr>
      <w:r>
        <w:rPr>
          <w:rFonts w:ascii="Arial" w:cs="Arial" w:eastAsia="Arial" w:hAnsi="Arial"/>
          <w:sz w:val="20"/>
          <w:szCs w:val="20"/>
          <w:color w:val="auto"/>
        </w:rPr>
        <w:t>SECTION 7.</w:t>
      </w:r>
      <w:r>
        <w:rPr>
          <w:sz w:val="20"/>
          <w:szCs w:val="20"/>
          <w:color w:val="auto"/>
        </w:rPr>
        <w:tab/>
      </w:r>
      <w:r>
        <w:rPr>
          <w:rFonts w:ascii="Arial" w:cs="Arial" w:eastAsia="Arial" w:hAnsi="Arial"/>
          <w:sz w:val="19"/>
          <w:szCs w:val="19"/>
          <w:color w:val="auto"/>
        </w:rPr>
        <w:t>THE ADMINISTRATIVE AGENT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Each Grantor covenants and agrees with the Administrative Agent and the other Secured Parties that:</w:t>
      </w:r>
    </w:p>
    <w:p>
      <w:pPr>
        <w:spacing w:after="0" w:line="22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u w:val="single" w:color="auto"/>
          <w:color w:val="auto"/>
        </w:rPr>
        <w:t>Administrative Agent’s Appointment as Attorney-in-Fact, etc.</w:t>
      </w:r>
    </w:p>
    <w:p>
      <w:pPr>
        <w:spacing w:after="0" w:line="216" w:lineRule="exact"/>
        <w:rPr>
          <w:sz w:val="20"/>
          <w:szCs w:val="20"/>
          <w:color w:val="auto"/>
        </w:rPr>
      </w:pPr>
    </w:p>
    <w:p>
      <w:pPr>
        <w:jc w:val="both"/>
        <w:ind w:firstLine="1304"/>
        <w:spacing w:after="0" w:line="257" w:lineRule="auto"/>
        <w:tabs>
          <w:tab w:leader="none" w:pos="2013" w:val="left"/>
        </w:tabs>
        <w:numPr>
          <w:ilvl w:val="0"/>
          <w:numId w:val="206"/>
        </w:numPr>
        <w:rPr>
          <w:rFonts w:ascii="Arial" w:cs="Arial" w:eastAsia="Arial" w:hAnsi="Arial"/>
          <w:sz w:val="19"/>
          <w:szCs w:val="19"/>
          <w:color w:val="auto"/>
        </w:rPr>
      </w:pPr>
      <w:r>
        <w:rPr>
          <w:rFonts w:ascii="Arial" w:cs="Arial" w:eastAsia="Arial" w:hAnsi="Arial"/>
          <w:sz w:val="19"/>
          <w:szCs w:val="19"/>
          <w:color w:val="auto"/>
        </w:rPr>
        <w:t>Each Grantor hereby irrevocably constitutes and appoints (until the termination of this Agreement) the Administrative Agent and any officer or agent thereof, with full power of substitution, as its true and lawful attorney-in-fact with full irrevocable power and authority, coupled with an interest, in the place and stead of such Grantor and in the name of such Grantor or in its own name, for the purpose of carrying out the terms of this Agreement, to take any and all appropriate action and to execute any and all documents and instruments which may be reasonably necessary or desirable to accomplish the purposes of this Agreement, and, without limiting the generality of the foregoing, each Grantor hereby gives the Administrative Agent the power and right, on behalf of such Grantor, without notice to or assent by such Grantor, to do any or all of the following:</w:t>
      </w:r>
    </w:p>
    <w:p>
      <w:pPr>
        <w:spacing w:after="0" w:line="180" w:lineRule="exact"/>
        <w:rPr>
          <w:rFonts w:ascii="Arial" w:cs="Arial" w:eastAsia="Arial" w:hAnsi="Arial"/>
          <w:sz w:val="19"/>
          <w:szCs w:val="19"/>
          <w:color w:val="auto"/>
        </w:rPr>
      </w:pPr>
    </w:p>
    <w:p>
      <w:pPr>
        <w:jc w:val="both"/>
        <w:ind w:firstLine="1952"/>
        <w:spacing w:after="0" w:line="260" w:lineRule="auto"/>
        <w:tabs>
          <w:tab w:leader="none" w:pos="2649" w:val="left"/>
        </w:tabs>
        <w:numPr>
          <w:ilvl w:val="1"/>
          <w:numId w:val="206"/>
        </w:numPr>
        <w:rPr>
          <w:rFonts w:ascii="Arial" w:cs="Arial" w:eastAsia="Arial" w:hAnsi="Arial"/>
          <w:sz w:val="19"/>
          <w:szCs w:val="19"/>
          <w:color w:val="auto"/>
        </w:rPr>
      </w:pPr>
      <w:r>
        <w:rPr>
          <w:rFonts w:ascii="Arial" w:cs="Arial" w:eastAsia="Arial" w:hAnsi="Arial"/>
          <w:sz w:val="19"/>
          <w:szCs w:val="19"/>
          <w:color w:val="auto"/>
        </w:rPr>
        <w:t>in the name of such Grantor or its own name, or otherwise, take possession of and indorse and collect any checks, drafts, notes, acceptances or other instruments for the payment of moneys due under any Receivable or with respect to any other Collateral and file any claim or take any other action or proceeding in any court of law or equity or otherwise deemed appropriate by the Administrative Agent for the purpose of collecting any and all such moneys due under any Receivable or with respect to any other Collateral whenever payable;</w:t>
      </w:r>
    </w:p>
    <w:p>
      <w:pPr>
        <w:spacing w:after="0" w:line="180" w:lineRule="exact"/>
        <w:rPr>
          <w:rFonts w:ascii="Arial" w:cs="Arial" w:eastAsia="Arial" w:hAnsi="Arial"/>
          <w:sz w:val="19"/>
          <w:szCs w:val="19"/>
          <w:color w:val="auto"/>
        </w:rPr>
      </w:pPr>
    </w:p>
    <w:p>
      <w:pPr>
        <w:jc w:val="both"/>
        <w:ind w:firstLine="1952"/>
        <w:spacing w:after="0" w:line="282" w:lineRule="auto"/>
        <w:tabs>
          <w:tab w:leader="none" w:pos="2714"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in the case of any Intellectual Property owned by such Grantor, execute and deliver, and have recorded, any and all agreements, instruments, documents and papers as the Administrative Agent may reasonably request in writing to evidence the Administrative Agent’s and the other Secured Parties’ security interest in such Intellectual Property and the goodwill and general intangibles of such Grantor relating thereto or represented thereby;</w:t>
      </w:r>
    </w:p>
    <w:p>
      <w:pPr>
        <w:spacing w:after="0" w:line="161" w:lineRule="exact"/>
        <w:rPr>
          <w:rFonts w:ascii="Arial" w:cs="Arial" w:eastAsia="Arial" w:hAnsi="Arial"/>
          <w:sz w:val="18"/>
          <w:szCs w:val="18"/>
          <w:color w:val="auto"/>
        </w:rPr>
      </w:pPr>
    </w:p>
    <w:p>
      <w:pPr>
        <w:jc w:val="both"/>
        <w:ind w:firstLine="1952"/>
        <w:spacing w:after="0" w:line="250" w:lineRule="auto"/>
        <w:tabs>
          <w:tab w:leader="none" w:pos="2690" w:val="left"/>
        </w:tabs>
        <w:numPr>
          <w:ilvl w:val="1"/>
          <w:numId w:val="206"/>
        </w:numPr>
        <w:rPr>
          <w:rFonts w:ascii="Arial" w:cs="Arial" w:eastAsia="Arial" w:hAnsi="Arial"/>
          <w:sz w:val="20"/>
          <w:szCs w:val="20"/>
          <w:color w:val="auto"/>
        </w:rPr>
      </w:pPr>
      <w:r>
        <w:rPr>
          <w:rFonts w:ascii="Arial" w:cs="Arial" w:eastAsia="Arial" w:hAnsi="Arial"/>
          <w:sz w:val="20"/>
          <w:szCs w:val="20"/>
          <w:color w:val="auto"/>
        </w:rPr>
        <w:t>pay or discharge taxes and Liens levied or placed on or threatened against the Collateral, effect any repairs or any insurance called for by the terms of this Agreement and pay all or any part of the premiums therefor and the costs thereof;</w:t>
      </w:r>
    </w:p>
    <w:p>
      <w:pPr>
        <w:spacing w:after="0" w:line="185" w:lineRule="exact"/>
        <w:rPr>
          <w:rFonts w:ascii="Arial" w:cs="Arial" w:eastAsia="Arial" w:hAnsi="Arial"/>
          <w:sz w:val="20"/>
          <w:szCs w:val="20"/>
          <w:color w:val="auto"/>
        </w:rPr>
      </w:pPr>
    </w:p>
    <w:p>
      <w:pPr>
        <w:ind w:left="2920" w:hanging="968"/>
        <w:spacing w:after="0"/>
        <w:tabs>
          <w:tab w:leader="none" w:pos="2920" w:val="left"/>
        </w:tabs>
        <w:numPr>
          <w:ilvl w:val="1"/>
          <w:numId w:val="206"/>
        </w:numPr>
        <w:rPr>
          <w:rFonts w:ascii="Arial" w:cs="Arial" w:eastAsia="Arial" w:hAnsi="Arial"/>
          <w:sz w:val="19"/>
          <w:szCs w:val="19"/>
          <w:color w:val="auto"/>
        </w:rPr>
      </w:pPr>
      <w:r>
        <w:rPr>
          <w:rFonts w:ascii="Arial" w:cs="Arial" w:eastAsia="Arial" w:hAnsi="Arial"/>
          <w:sz w:val="19"/>
          <w:szCs w:val="19"/>
          <w:color w:val="auto"/>
        </w:rPr>
        <w:t xml:space="preserve">execute, in connection with any sale provided for in </w:t>
      </w:r>
      <w:r>
        <w:rPr>
          <w:rFonts w:ascii="Arial" w:cs="Arial" w:eastAsia="Arial" w:hAnsi="Arial"/>
          <w:sz w:val="19"/>
          <w:szCs w:val="19"/>
          <w:u w:val="single" w:color="auto"/>
          <w:color w:val="auto"/>
        </w:rPr>
        <w:t>Section 6.6</w:t>
      </w:r>
      <w:r>
        <w:rPr>
          <w:rFonts w:ascii="Arial" w:cs="Arial" w:eastAsia="Arial" w:hAnsi="Arial"/>
          <w:sz w:val="19"/>
          <w:szCs w:val="19"/>
          <w:color w:val="auto"/>
        </w:rPr>
        <w:t>, any indorsements,</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assignments or other instruments of conveyance or transfer with respect to the Collateral; and</w:t>
      </w:r>
    </w:p>
    <w:p>
      <w:pPr>
        <w:spacing w:after="0" w:line="199" w:lineRule="exact"/>
        <w:rPr>
          <w:rFonts w:ascii="Arial" w:cs="Arial" w:eastAsia="Arial" w:hAnsi="Arial"/>
          <w:sz w:val="19"/>
          <w:szCs w:val="19"/>
          <w:color w:val="auto"/>
        </w:rPr>
      </w:pPr>
    </w:p>
    <w:p>
      <w:pPr>
        <w:jc w:val="both"/>
        <w:ind w:firstLine="1952"/>
        <w:spacing w:after="0" w:line="256" w:lineRule="auto"/>
        <w:tabs>
          <w:tab w:leader="none" w:pos="2654" w:val="left"/>
        </w:tabs>
        <w:numPr>
          <w:ilvl w:val="1"/>
          <w:numId w:val="206"/>
        </w:numPr>
        <w:rPr>
          <w:rFonts w:ascii="Arial" w:cs="Arial" w:eastAsia="Arial" w:hAnsi="Arial"/>
          <w:sz w:val="19"/>
          <w:szCs w:val="19"/>
          <w:color w:val="auto"/>
        </w:rPr>
      </w:pPr>
      <w:r>
        <w:rPr>
          <w:rFonts w:ascii="Arial" w:cs="Arial" w:eastAsia="Arial" w:hAnsi="Arial"/>
          <w:sz w:val="19"/>
          <w:szCs w:val="19"/>
          <w:color w:val="auto"/>
        </w:rPr>
        <w:t>(A) direct any party liable for any payment under any of the Collateral to make payment of any and all moneys due or to become due thereunder directly to the Administrative Agent or as the Administrative Agent shall direct; (B) ask or demand for, collect, and receive payment of and receipt for, any and all moneys, claims and other amounts due or to become due at any time in respect of or arising out of any Collateral; (C) sign and indorse any invoices, freight or express bills, bills of lading, storage or warehouse receipts, drafts against debtors, assignments, verifications, notices and other documents in connection with any of the Collateral; (D) commence and prosecute any suits, actions or proceedings at law or in equity in any court of competent jurisdiction to collect the Collateral or any portion thereof and to enforce any other right in respect of any Collateral; (E) defend any suit, action or proceeding brought against such Grantor with respect to any Collateral; (F) settle, compromise or adjust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7" w:name="page198"/>
    <w:bookmarkEnd w:id="197"/>
    <w:p>
      <w:pPr>
        <w:jc w:val="both"/>
        <w:spacing w:after="0" w:line="255" w:lineRule="auto"/>
        <w:rPr>
          <w:sz w:val="20"/>
          <w:szCs w:val="20"/>
          <w:color w:val="auto"/>
        </w:rPr>
      </w:pPr>
      <w:r>
        <w:rPr>
          <w:rFonts w:ascii="Arial" w:cs="Arial" w:eastAsia="Arial" w:hAnsi="Arial"/>
          <w:sz w:val="19"/>
          <w:szCs w:val="19"/>
          <w:color w:val="auto"/>
        </w:rPr>
        <w:t>any such suit, action or proceeding and, in connection therewith, give such discharges or releases as the Administrative Agent may deem appropriate; (G)(i) assign any Copyright, Patent or Trademark (along with the goodwill of the business to which any such Copyright, Patent or Trademark pertains), throughout the world for such term or terms, on such conditions, and in such manner, as the Administrative Agent shall in its sole discretion determine and (ii) assign any Intellectual Property Licenses that are included as Collateral to which a Grantor is a party except to the extent any implied prohibitions on assignment and any anti-assignment provision therein is invalidated by Section 9-408 of the UCC; and (H) generally, sell, transfer, pledge and make any agreement with respect to or otherwise deal with any of the Collateral as fully and completely as though the Administrative Agent were the absolute owner thereof for all purposes, and do, at the Administrative Agent’s option and such Grantor’s expense, at any time, or from time to time, all acts and things which the Administrative Agent deems reasonably necessary to protect, preserve or realize upon the Collateral and the Administrative Agent’s and the other Secured Parties’ security interests therein and to effect the intent of this Agreement, all as fully and effectively as such Grantor might do.</w:t>
      </w:r>
    </w:p>
    <w:p>
      <w:pPr>
        <w:spacing w:after="0" w:line="18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 xml:space="preserve">Anything in this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to the contrary notwithstanding, the Administrative Agent agrees that it will not exercise any rights under the power of attorney provided for in this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unless an Event of Default shall have occurred and be continuing.</w:t>
      </w:r>
    </w:p>
    <w:p>
      <w:pPr>
        <w:spacing w:after="0" w:line="186" w:lineRule="exact"/>
        <w:rPr>
          <w:sz w:val="20"/>
          <w:szCs w:val="20"/>
          <w:color w:val="auto"/>
        </w:rPr>
      </w:pPr>
    </w:p>
    <w:p>
      <w:pPr>
        <w:jc w:val="both"/>
        <w:ind w:firstLine="1304"/>
        <w:spacing w:after="0" w:line="291" w:lineRule="auto"/>
        <w:tabs>
          <w:tab w:leader="none" w:pos="215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any Grantor fails to perform or comply with any of its agreements contained herein and any Default or Event of Default shall have occurred and is continuing, the Administrative Agent, at its option, but without any obligation so to do, may perform or comply, or otherwise cause performance or compliance, with such agreement.</w:t>
      </w:r>
    </w:p>
    <w:p>
      <w:pPr>
        <w:spacing w:after="0" w:line="151" w:lineRule="exact"/>
        <w:rPr>
          <w:rFonts w:ascii="Arial" w:cs="Arial" w:eastAsia="Arial" w:hAnsi="Arial"/>
          <w:sz w:val="18"/>
          <w:szCs w:val="18"/>
          <w:color w:val="auto"/>
        </w:rPr>
      </w:pPr>
    </w:p>
    <w:p>
      <w:pPr>
        <w:ind w:left="1960" w:hanging="656"/>
        <w:spacing w:after="0"/>
        <w:tabs>
          <w:tab w:leader="none" w:pos="196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1304"/>
        <w:spacing w:after="0" w:line="269" w:lineRule="auto"/>
        <w:tabs>
          <w:tab w:leader="none" w:pos="2051" w:val="left"/>
        </w:tabs>
        <w:numPr>
          <w:ilvl w:val="0"/>
          <w:numId w:val="207"/>
        </w:numPr>
        <w:rPr>
          <w:rFonts w:ascii="Arial" w:cs="Arial" w:eastAsia="Arial" w:hAnsi="Arial"/>
          <w:sz w:val="19"/>
          <w:szCs w:val="19"/>
          <w:color w:val="auto"/>
        </w:rPr>
      </w:pPr>
      <w:r>
        <w:rPr>
          <w:rFonts w:ascii="Arial" w:cs="Arial" w:eastAsia="Arial" w:hAnsi="Arial"/>
          <w:sz w:val="19"/>
          <w:szCs w:val="19"/>
          <w:color w:val="auto"/>
        </w:rPr>
        <w:t>Each Grantor hereby ratifies all that said attorneys shall lawfully do or cause to be done by virtue hereof. All powers, authorizations and agencies contained in this Agreement are coupled with an interest and are irrevocable until this Agreement is terminated and the security interests created hereby are released.</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Duty of Administrative Agent</w:t>
      </w:r>
      <w:r>
        <w:rPr>
          <w:rFonts w:ascii="Arial" w:cs="Arial" w:eastAsia="Arial" w:hAnsi="Arial"/>
          <w:sz w:val="18"/>
          <w:szCs w:val="18"/>
          <w:color w:val="auto"/>
        </w:rPr>
        <w:t>. The Administrative Agent’s sole duty with respect to the custody, safekeeping and physical preservation of the Collateral in its possession and accounting of money, under Section 9-207 of the UCC or otherwise, shall be to deal with it in the same manner as the Administrative Agent deals with similar property for its own account. Neither the Administrative Agent, any other Secured Party nor any of their respective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the Administrative Agent and the other Secured Parties hereunder are solely to protect the Administrative Agent’s and the other Secured Parties’ interests in the Collateral and shall not impose any duty upon the Administrative Agent or any other Secured Party to exercise any such powers. The Administrative Agent and the other Secured Parties shall be accountable only for amounts that they actually receive as a result of the exercise of such powers, and neither they nor any of their officers, directors, employees or agents shall be responsible to any Grantor for any act or failure to act hereunder, except as a result of their own gross negligence, bad faith or willful misconduct as found by a final nonappealable decision of a court of competent jurisdiction.</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Authority of Administrative Agent</w:t>
      </w:r>
      <w:r>
        <w:rPr>
          <w:rFonts w:ascii="Arial" w:cs="Arial" w:eastAsia="Arial" w:hAnsi="Arial"/>
          <w:sz w:val="20"/>
          <w:szCs w:val="20"/>
          <w:color w:val="auto"/>
        </w:rPr>
        <w:t>. Each Grantor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8" w:name="page199"/>
    <w:bookmarkEnd w:id="198"/>
    <w:p>
      <w:pPr>
        <w:jc w:val="both"/>
        <w:spacing w:after="0" w:line="260" w:lineRule="auto"/>
        <w:rPr>
          <w:sz w:val="20"/>
          <w:szCs w:val="20"/>
          <w:color w:val="auto"/>
        </w:rPr>
      </w:pPr>
      <w:r>
        <w:rPr>
          <w:rFonts w:ascii="Arial" w:cs="Arial" w:eastAsia="Arial" w:hAnsi="Arial"/>
          <w:sz w:val="19"/>
          <w:szCs w:val="19"/>
          <w:color w:val="auto"/>
        </w:rPr>
        <w:t>Agreement shall, as between the Administrative Agent and the other Secured Parties, be governed by the Credit Agreement and by such other agreements with respect thereto as may exist from time to time among them, but, as between the Administrative Agent and the Grantors, the Administrative Agent shall be conclusively presumed to be acting as agent for the Secured Parties with full and valid authority so to act or refrain from acting, and no Grantor shall be under any obligation, or entitlement, to make any inquiry respecting such authority.</w:t>
      </w:r>
    </w:p>
    <w:p>
      <w:pPr>
        <w:spacing w:after="0" w:line="180"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20"/>
          <w:szCs w:val="20"/>
          <w:color w:val="auto"/>
        </w:rPr>
        <w:t>SECTION 8.</w:t>
      </w:r>
      <w:r>
        <w:rPr>
          <w:sz w:val="20"/>
          <w:szCs w:val="20"/>
          <w:color w:val="auto"/>
        </w:rPr>
        <w:tab/>
      </w:r>
      <w:r>
        <w:rPr>
          <w:rFonts w:ascii="Arial" w:cs="Arial" w:eastAsia="Arial" w:hAnsi="Arial"/>
          <w:sz w:val="19"/>
          <w:szCs w:val="19"/>
          <w:color w:val="auto"/>
        </w:rPr>
        <w:t>MISCELLANEOUS</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Amendments in Writing</w:t>
      </w:r>
      <w:r>
        <w:rPr>
          <w:rFonts w:ascii="Arial" w:cs="Arial" w:eastAsia="Arial" w:hAnsi="Arial"/>
          <w:sz w:val="19"/>
          <w:szCs w:val="19"/>
          <w:color w:val="auto"/>
        </w:rPr>
        <w:t>. None of the terms or provisions of this Agreement may be waived, amended, supplemented or otherwise modified except in accordance with Section 10.1 of the Credit Agreement.</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requests and demands to or upon the Administrative Agent or any Grantor hereunder shall be effected in the manner provided for in Section 10.2 of the Credit Agreement.</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 Waiver by Course of Conduct; Cumulative Remedies</w:t>
      </w:r>
      <w:r>
        <w:rPr>
          <w:rFonts w:ascii="Arial" w:cs="Arial" w:eastAsia="Arial" w:hAnsi="Arial"/>
          <w:sz w:val="18"/>
          <w:szCs w:val="18"/>
          <w:color w:val="auto"/>
        </w:rPr>
        <w:t xml:space="preserve">. Neither the Administrative Agent nor any other Secured Party shall by any act (except by a written instrument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delay, indulgence, omission or otherwise be deemed to have waived any right or remedy hereunder or to have acquiesced in any Default or Event of Default, as applicable. No failure to exercise, nor any delay in exercising, on the part of the Administrative Agent or any other Secured Party,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other Secured Party of any right or remedy hereunder on any one occasion shall not be construed as a bar to any right or remedy which the Administrative Agent or such other Secured Party would otherwise have on any future occasion. The rights and remedies herein provided are cumulative, may be exercised singly or concurrently and are not exclusive of any other rights or remedies provided by law.</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78" w:lineRule="auto"/>
        <w:tabs>
          <w:tab w:leader="none" w:pos="201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Each Guarantor agrees to pay or reimburse the Administrative Agent and each other Secured Party for all its reasonable and documented out-of-pocket costs and expenses incurred in collecting against such Guarantor under the guaranty contained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Agreement or otherwise enforcing or preserving any rights under this Agreement and the other Loan Documents to which such Guarantor is a party, including the reasonable and documented out-of-pocket fees and disbursements of counsel to the Administrative Agent and of counsel to each other Secured Party.</w:t>
      </w:r>
    </w:p>
    <w:p>
      <w:pPr>
        <w:spacing w:after="0" w:line="164" w:lineRule="exact"/>
        <w:rPr>
          <w:rFonts w:ascii="Arial" w:cs="Arial" w:eastAsia="Arial" w:hAnsi="Arial"/>
          <w:sz w:val="18"/>
          <w:szCs w:val="18"/>
          <w:color w:val="auto"/>
        </w:rPr>
      </w:pPr>
    </w:p>
    <w:p>
      <w:pPr>
        <w:jc w:val="both"/>
        <w:ind w:firstLine="1304"/>
        <w:spacing w:after="0" w:line="246" w:lineRule="auto"/>
        <w:tabs>
          <w:tab w:leader="none" w:pos="2119" w:val="left"/>
        </w:tabs>
        <w:numPr>
          <w:ilvl w:val="0"/>
          <w:numId w:val="208"/>
        </w:numPr>
        <w:rPr>
          <w:rFonts w:ascii="Arial" w:cs="Arial" w:eastAsia="Arial" w:hAnsi="Arial"/>
          <w:sz w:val="20"/>
          <w:szCs w:val="20"/>
          <w:color w:val="auto"/>
        </w:rPr>
      </w:pPr>
      <w:r>
        <w:rPr>
          <w:rFonts w:ascii="Arial" w:cs="Arial" w:eastAsia="Arial" w:hAnsi="Arial"/>
          <w:sz w:val="20"/>
          <w:szCs w:val="20"/>
          <w:color w:val="auto"/>
        </w:rPr>
        <w:t>Each Grantor agrees to pay, and to save the Administrative Agent and each other Secured Party harmless from, any and all liabilities with respect to, or resulting from any delay in paying, any and all stamp, excise, sales or other taxes which may be payable or determined to be payable with respect to any of the Collateral or in connection with any of the transactions contemplated by this Agreement.</w:t>
      </w:r>
    </w:p>
    <w:p>
      <w:pPr>
        <w:spacing w:after="0" w:line="191" w:lineRule="exact"/>
        <w:rPr>
          <w:rFonts w:ascii="Arial" w:cs="Arial" w:eastAsia="Arial" w:hAnsi="Arial"/>
          <w:sz w:val="20"/>
          <w:szCs w:val="20"/>
          <w:color w:val="auto"/>
        </w:rPr>
      </w:pPr>
    </w:p>
    <w:p>
      <w:pPr>
        <w:jc w:val="both"/>
        <w:ind w:firstLine="1304"/>
        <w:spacing w:after="0" w:line="328" w:lineRule="auto"/>
        <w:tabs>
          <w:tab w:leader="none" w:pos="204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Each Guarantor agrees to pay, and to save the Administrative Agent and each other Secured Party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Borrower would be required to do so pursuant to the Credit Agreement.</w:t>
      </w:r>
    </w:p>
    <w:p>
      <w:pPr>
        <w:spacing w:after="0" w:line="128" w:lineRule="exact"/>
        <w:rPr>
          <w:rFonts w:ascii="Arial" w:cs="Arial" w:eastAsia="Arial" w:hAnsi="Arial"/>
          <w:sz w:val="16"/>
          <w:szCs w:val="16"/>
          <w:color w:val="auto"/>
        </w:rPr>
      </w:pPr>
    </w:p>
    <w:p>
      <w:pPr>
        <w:ind w:left="1980" w:hanging="676"/>
        <w:spacing w:after="0"/>
        <w:tabs>
          <w:tab w:leader="none" w:pos="198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 xml:space="preserve">The agreements in this </w:t>
      </w:r>
      <w:r>
        <w:rPr>
          <w:rFonts w:ascii="Arial" w:cs="Arial" w:eastAsia="Arial" w:hAnsi="Arial"/>
          <w:sz w:val="20"/>
          <w:szCs w:val="20"/>
          <w:u w:val="single" w:color="auto"/>
          <w:color w:val="auto"/>
        </w:rPr>
        <w:t>Section 8.4</w:t>
      </w:r>
      <w:r>
        <w:rPr>
          <w:rFonts w:ascii="Arial" w:cs="Arial" w:eastAsia="Arial" w:hAnsi="Arial"/>
          <w:sz w:val="20"/>
          <w:szCs w:val="20"/>
          <w:color w:val="auto"/>
        </w:rPr>
        <w:t xml:space="preserve"> shall survive the Discharge of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9" w:name="page200"/>
    <w:bookmarkEnd w:id="199"/>
    <w:p>
      <w:pPr>
        <w:jc w:val="both"/>
        <w:ind w:firstLine="648"/>
        <w:spacing w:after="0" w:line="246"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xml:space="preserve">. This Agreement shall be binding upon the successors and assigns of each Grantor and shall inure to the benefit of the Administrative Agent and each other Secured Party and their respective permitted successors and assigns;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Grantor may assign, transfer or delegate any of its rights or obligations under this Agreement without the prior written consent of the Administrative Agent.</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Set Off</w:t>
      </w:r>
      <w:r>
        <w:rPr>
          <w:rFonts w:ascii="Arial" w:cs="Arial" w:eastAsia="Arial" w:hAnsi="Arial"/>
          <w:sz w:val="18"/>
          <w:szCs w:val="18"/>
          <w:color w:val="auto"/>
        </w:rPr>
        <w:t xml:space="preserve">. Each Grantor hereby irrevocably authorizes the Administrative Agent and each other Secured Party and any Affiliate thereof at any time and from time to time after the occurrence and during the continuance of an Event of Default, without notice to such Grantor or any other Grantor, any such notice being expressly waived by each Grantor, to setoff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the Administrative Agent or such Secured Party or such Affiliate to or for the credit or the account of such Grantor, or any part thereof in such amounts as the Administrative Agent or such Secured Party may elect, against and on account of the Secured Obligations and liabilities of such Grantor to the Administrative Agent or such Secured Party hereunder and under the other Loan Documents and claims of every nature and description of the Administrative Agent or such Secured Party against such Grantor, in any currency, whether arising hereunder, under the Credit Agreement, any other Loan Document or otherwise, as the Administrative Agent or such Secured Party may elect, whether or not the Administrative Agent or any other Secured Party has made any demand for payment and although such obligations, liabilities and claims may be contingent or unmatured. The rights of the Administrative Agent and each other Secured Party under this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are in addition to other rights and remedies (including, without limitation, other rights of setoff) which the Administrative Agent or such other Secured Party may have.</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by one or more of the parties to this Agreement on any number of separate counterparts (including by facsimile and/or electronic mail), and all of said counterparts taken together shall be deemed to constitute one and the same instrument.</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8.9 </w:t>
      </w:r>
      <w:r>
        <w:rPr>
          <w:rFonts w:ascii="Arial" w:cs="Arial" w:eastAsia="Arial" w:hAnsi="Arial"/>
          <w:sz w:val="20"/>
          <w:szCs w:val="20"/>
          <w:u w:val="single" w:color="auto"/>
          <w:color w:val="auto"/>
        </w:rPr>
        <w:t>Section Headings</w:t>
      </w:r>
      <w:r>
        <w:rPr>
          <w:rFonts w:ascii="Arial" w:cs="Arial" w:eastAsia="Arial" w:hAnsi="Arial"/>
          <w:sz w:val="20"/>
          <w:szCs w:val="20"/>
          <w:color w:val="auto"/>
        </w:rPr>
        <w:t>. The Section headings used in this Agreement are for convenience of reference only and are not to affect the construction hereof or be taken into consideration in the interpretation hereof.</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the other Loan Documents represent the agreement of the Grantors, the Administrative Agent and the other Secured Parties with respect to the subject matter hereof and thereof, and there are no promises, undertakings, representations or warranties by the Administrative Agent or any other Secured Party relative to subject matter hereof and thereof not expressly set forth or referred to herein or in the other Loan Documents.</w:t>
      </w:r>
    </w:p>
    <w:p>
      <w:pPr>
        <w:spacing w:after="0" w:line="155" w:lineRule="exact"/>
        <w:rPr>
          <w:sz w:val="20"/>
          <w:szCs w:val="20"/>
          <w:color w:val="auto"/>
        </w:rPr>
      </w:pPr>
    </w:p>
    <w:p>
      <w:pPr>
        <w:ind w:left="660"/>
        <w:spacing w:after="0"/>
        <w:tabs>
          <w:tab w:leader="none" w:pos="1500" w:val="left"/>
          <w:tab w:leader="none" w:pos="352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color w:val="auto"/>
        </w:rPr>
        <w:t>THIS AGREEMENT AND ANY CLAIM, CONTROVERSY, DISPUTE,</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b w:val="1"/>
          <w:bCs w:val="1"/>
          <w:color w:val="auto"/>
        </w:rPr>
        <w:t>CAUSE OF ACTION, OR PROCEEDING (WHETHER BASED IN CONTRACT, TORT, OR OTHERWISE) BASED UPON, ARISING OUT OF, CONNECTED WITH, OR RELATING TO THIS AGREEMENT, AND THE TRANSACTIONS CONTEMPLATED HEREBY, AND THE RIGHTS AND OBLIGATIONS OF THE PARTIES HEREUNDER, SHALL BE GOVERNED BY, AND CONSTRUED AND INTERPRETED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0" w:name="page201"/>
    <w:bookmarkEnd w:id="200"/>
    <w:p>
      <w:pPr>
        <w:jc w:val="both"/>
        <w:spacing w:after="0" w:line="267" w:lineRule="auto"/>
        <w:rPr>
          <w:sz w:val="20"/>
          <w:szCs w:val="20"/>
          <w:color w:val="auto"/>
        </w:rPr>
      </w:pPr>
      <w:r>
        <w:rPr>
          <w:rFonts w:ascii="Arial" w:cs="Arial" w:eastAsia="Arial" w:hAnsi="Arial"/>
          <w:sz w:val="20"/>
          <w:szCs w:val="20"/>
          <w:b w:val="1"/>
          <w:bCs w:val="1"/>
          <w:color w:val="auto"/>
        </w:rPr>
        <w:t xml:space="preserve">THE LAWS (AND NOT THE CONFLICT OF LAW RULES) OF THE STATE OF NEW YORK. </w:t>
      </w:r>
      <w:r>
        <w:rPr>
          <w:rFonts w:ascii="Arial" w:cs="Arial" w:eastAsia="Arial" w:hAnsi="Arial"/>
          <w:sz w:val="20"/>
          <w:szCs w:val="20"/>
          <w:color w:val="auto"/>
        </w:rPr>
        <w:t>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8.11</w:t>
      </w:r>
      <w:r>
        <w:rPr>
          <w:rFonts w:ascii="Arial" w:cs="Arial" w:eastAsia="Arial" w:hAnsi="Arial"/>
          <w:sz w:val="20"/>
          <w:szCs w:val="20"/>
          <w:b w:val="1"/>
          <w:bCs w:val="1"/>
          <w:color w:val="auto"/>
        </w:rPr>
        <w:t xml:space="preserve"> </w:t>
      </w:r>
      <w:r>
        <w:rPr>
          <w:rFonts w:ascii="Arial" w:cs="Arial" w:eastAsia="Arial" w:hAnsi="Arial"/>
          <w:sz w:val="20"/>
          <w:szCs w:val="20"/>
          <w:color w:val="auto"/>
        </w:rPr>
        <w:t>shall survive the Discharge of Obligations.</w:t>
      </w:r>
    </w:p>
    <w:p>
      <w:pPr>
        <w:spacing w:after="0" w:line="16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xml:space="preserve">. Each Grantor hereby irrevocably and unconditionally agrees that the provisions of Sections 10.14(a) and (c) of the Credit Agreement (relating to submission to jurisdiction and waivers and the waiver of the right to claim or recover any special, exemplary, punitive or consequential damages) shall be incorporated herein,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as if set forth herein in full. This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shall survive the Discharge of Obligations.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8.13</w:t>
      </w:r>
      <w:r>
        <w:rPr>
          <w:sz w:val="20"/>
          <w:szCs w:val="20"/>
          <w:color w:val="auto"/>
        </w:rPr>
        <w:tab/>
      </w:r>
      <w:r>
        <w:rPr>
          <w:rFonts w:ascii="Arial" w:cs="Arial" w:eastAsia="Arial" w:hAnsi="Arial"/>
          <w:sz w:val="18"/>
          <w:szCs w:val="18"/>
          <w:u w:val="single" w:color="auto"/>
          <w:color w:val="auto"/>
        </w:rPr>
        <w:t>Acknowledgements</w:t>
      </w:r>
      <w:r>
        <w:rPr>
          <w:rFonts w:ascii="Arial" w:cs="Arial" w:eastAsia="Arial" w:hAnsi="Arial"/>
          <w:sz w:val="18"/>
          <w:szCs w:val="18"/>
          <w:color w:val="auto"/>
        </w:rPr>
        <w:t>. Each Grantor hereby acknowledges that:</w:t>
      </w:r>
    </w:p>
    <w:p>
      <w:pPr>
        <w:spacing w:after="0" w:line="216" w:lineRule="exact"/>
        <w:rPr>
          <w:sz w:val="20"/>
          <w:szCs w:val="20"/>
          <w:color w:val="auto"/>
        </w:rPr>
      </w:pPr>
    </w:p>
    <w:p>
      <w:pPr>
        <w:ind w:firstLine="1304"/>
        <w:spacing w:after="0" w:line="260" w:lineRule="auto"/>
        <w:tabs>
          <w:tab w:leader="none" w:pos="200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it has been advised by counsel in the negotiation, execution and delivery of this Agreement and the other Loan Documents to which it is a party;</w:t>
      </w:r>
    </w:p>
    <w:p>
      <w:pPr>
        <w:spacing w:after="0" w:line="176" w:lineRule="exact"/>
        <w:rPr>
          <w:rFonts w:ascii="Arial" w:cs="Arial" w:eastAsia="Arial" w:hAnsi="Arial"/>
          <w:sz w:val="20"/>
          <w:szCs w:val="20"/>
          <w:color w:val="auto"/>
        </w:rPr>
      </w:pPr>
    </w:p>
    <w:p>
      <w:pPr>
        <w:jc w:val="both"/>
        <w:ind w:firstLine="1304"/>
        <w:spacing w:after="0" w:line="263" w:lineRule="auto"/>
        <w:tabs>
          <w:tab w:leader="none" w:pos="1993" w:val="left"/>
        </w:tabs>
        <w:numPr>
          <w:ilvl w:val="0"/>
          <w:numId w:val="209"/>
        </w:numPr>
        <w:rPr>
          <w:rFonts w:ascii="Arial" w:cs="Arial" w:eastAsia="Arial" w:hAnsi="Arial"/>
          <w:sz w:val="19"/>
          <w:szCs w:val="19"/>
          <w:color w:val="auto"/>
        </w:rPr>
      </w:pPr>
      <w:r>
        <w:rPr>
          <w:rFonts w:ascii="Arial" w:cs="Arial" w:eastAsia="Arial" w:hAnsi="Arial"/>
          <w:sz w:val="19"/>
          <w:szCs w:val="19"/>
          <w:color w:val="auto"/>
        </w:rPr>
        <w:t>neither the Administrative Agent nor any other Secured Party has any fiduciary relationship with or duty to any Grantor arising out of or in connection with this Agreement or any of the other Loan Documents, and the relationship between the Grantors, on the one hand, and the Administrative Agent and the other Secured Parties, on the other hand, in connection herewith or therewith is solely that of debtor and creditor; and</w:t>
      </w:r>
    </w:p>
    <w:p>
      <w:pPr>
        <w:spacing w:after="0" w:line="176" w:lineRule="exact"/>
        <w:rPr>
          <w:rFonts w:ascii="Arial" w:cs="Arial" w:eastAsia="Arial" w:hAnsi="Arial"/>
          <w:sz w:val="19"/>
          <w:szCs w:val="19"/>
          <w:color w:val="auto"/>
        </w:rPr>
      </w:pPr>
    </w:p>
    <w:p>
      <w:pPr>
        <w:jc w:val="both"/>
        <w:ind w:firstLine="1304"/>
        <w:spacing w:after="0" w:line="250" w:lineRule="auto"/>
        <w:tabs>
          <w:tab w:leader="none" w:pos="2022" w:val="left"/>
        </w:tabs>
        <w:numPr>
          <w:ilvl w:val="0"/>
          <w:numId w:val="209"/>
        </w:numPr>
        <w:rPr>
          <w:rFonts w:ascii="Arial" w:cs="Arial" w:eastAsia="Arial" w:hAnsi="Arial"/>
          <w:sz w:val="20"/>
          <w:szCs w:val="20"/>
          <w:color w:val="auto"/>
        </w:rPr>
      </w:pPr>
      <w:r>
        <w:rPr>
          <w:rFonts w:ascii="Arial" w:cs="Arial" w:eastAsia="Arial" w:hAnsi="Arial"/>
          <w:sz w:val="20"/>
          <w:szCs w:val="20"/>
          <w:color w:val="auto"/>
        </w:rPr>
        <w:t>no joint venture is created hereby or by the other Loan Documents or otherwise exists by virtue of the transactions contemplated hereby among any of the Secured Parties or among the Grantors and any of the Secured Parties.</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8.14 </w:t>
      </w:r>
      <w:r>
        <w:rPr>
          <w:rFonts w:ascii="Arial" w:cs="Arial" w:eastAsia="Arial" w:hAnsi="Arial"/>
          <w:sz w:val="19"/>
          <w:szCs w:val="19"/>
          <w:u w:val="single" w:color="auto"/>
          <w:color w:val="auto"/>
        </w:rPr>
        <w:t>Additional Grantors</w:t>
      </w:r>
      <w:r>
        <w:rPr>
          <w:rFonts w:ascii="Arial" w:cs="Arial" w:eastAsia="Arial" w:hAnsi="Arial"/>
          <w:sz w:val="19"/>
          <w:szCs w:val="19"/>
          <w:color w:val="auto"/>
        </w:rPr>
        <w:t xml:space="preserve">. Each Subsidiary of a Grantor that is required to become a party to this Agreement pursuant to Section 6.12 of the Credit Agreement shall become a Grantor for all purposes of this Agreement upon execution and delivery by such Subsidiary of an Assumption Agreement in the form of </w:t>
      </w:r>
      <w:r>
        <w:rPr>
          <w:rFonts w:ascii="Arial" w:cs="Arial" w:eastAsia="Arial" w:hAnsi="Arial"/>
          <w:sz w:val="19"/>
          <w:szCs w:val="19"/>
          <w:u w:val="single" w:color="auto"/>
          <w:color w:val="auto"/>
        </w:rPr>
        <w:t>Annex 1</w:t>
      </w:r>
      <w:r>
        <w:rPr>
          <w:rFonts w:ascii="Arial" w:cs="Arial" w:eastAsia="Arial" w:hAnsi="Arial"/>
          <w:sz w:val="19"/>
          <w:szCs w:val="19"/>
          <w:color w:val="auto"/>
        </w:rPr>
        <w:t xml:space="preserve"> hereto.</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8.15</w:t>
      </w:r>
      <w:r>
        <w:rPr>
          <w:sz w:val="20"/>
          <w:szCs w:val="20"/>
          <w:color w:val="auto"/>
        </w:rPr>
        <w:tab/>
      </w:r>
      <w:r>
        <w:rPr>
          <w:rFonts w:ascii="Arial" w:cs="Arial" w:eastAsia="Arial" w:hAnsi="Arial"/>
          <w:sz w:val="16"/>
          <w:szCs w:val="16"/>
          <w:u w:val="single" w:color="auto"/>
          <w:color w:val="auto"/>
        </w:rPr>
        <w:t>Releases</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71" w:lineRule="auto"/>
        <w:tabs>
          <w:tab w:leader="none" w:pos="200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Upon the Discharge of Obligations, the Collateral shall be automatically released from the Liens in favor of the Administrative Agent and the other Secured Parties created hereby, this Agreement shall terminate with respect to the Administrative Agent and the other Secured Parties, and all obligations (other than those expressly stated to survive such termination) of each Grantor to the Administrative Agent or any other Secured Party hereunder shall terminate, all without delivery of any instrument or performance of any act by any party. At the sole expense of any Grantor following any such termination, disposition or release, the Administrative Agent shall (i) execute and deliver or otherwise authorize the filing of such documents as Grantors shall reasonably request, in form and substance reasonably satisfactory to the Administrative Agent, including financing statement amendments to evidence such release, (ii) deliver to the Grantors such of the Collateral to be released as may be in possession of the Administrative Agent and as shall not have been sold or otherwise applied pursuant to the terms hereof and (iii) deliver all possessory Collateral to be released in the Administrative Agent’s possession, custody or control to the applicable Grantor (or designee).</w:t>
      </w:r>
    </w:p>
    <w:p>
      <w:pPr>
        <w:spacing w:after="0" w:line="169" w:lineRule="exact"/>
        <w:rPr>
          <w:rFonts w:ascii="Arial" w:cs="Arial" w:eastAsia="Arial" w:hAnsi="Arial"/>
          <w:sz w:val="18"/>
          <w:szCs w:val="18"/>
          <w:color w:val="auto"/>
        </w:rPr>
      </w:pPr>
    </w:p>
    <w:p>
      <w:pPr>
        <w:jc w:val="both"/>
        <w:ind w:firstLine="1304"/>
        <w:spacing w:after="0" w:line="276" w:lineRule="auto"/>
        <w:tabs>
          <w:tab w:leader="none" w:pos="216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any of the Collateral shall be sold, transferred or otherwise disposed of by any Grantor in a transaction permitted by Section 7 of the Credit Agreement, the Liens on such Collateral shall be automatically released, and the Administrative Agent, at the request and sole expense of such Grantor, shall promptly execute and deliver to such Grantor all releases or other documents reasonably necessary or desirable for the release or evidence of release of the Liens created hereby on such Collateral, as applicable. At the request and sole expense of the Borrower, a Guarantor shall be released from its obligations hereunder in the event that all the Capital Stock of such Guarantor shall be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01" w:name="page202"/>
    <w:bookmarkEnd w:id="201"/>
    <w:p>
      <w:pPr>
        <w:jc w:val="both"/>
        <w:spacing w:after="0" w:line="276" w:lineRule="auto"/>
        <w:rPr>
          <w:sz w:val="20"/>
          <w:szCs w:val="20"/>
          <w:color w:val="auto"/>
        </w:rPr>
      </w:pPr>
      <w:r>
        <w:rPr>
          <w:rFonts w:ascii="Arial" w:cs="Arial" w:eastAsia="Arial" w:hAnsi="Arial"/>
          <w:sz w:val="18"/>
          <w:szCs w:val="18"/>
          <w:color w:val="auto"/>
        </w:rPr>
        <w:t xml:space="preserve">transferred or otherwise disposed of to a Person other than a Grantor in a transaction permitted by Section 7 of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have delivered to the Administrative Agent, at least ten days, or such shorter period as the Administrative Agent may agree, prior to the date of the proposed release, a written request for release identifying the relevant Guarantor and the terms of the sale or other disposition in reasonable detail, including the price thereof and any expenses in connection therewith, together with a certification by the Borrower stating that such transaction is in compliance with terms and provisions of the Credit Agreement and the other Loan Documents.</w:t>
      </w:r>
    </w:p>
    <w:p>
      <w:pPr>
        <w:spacing w:after="0" w:line="15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8.16 </w:t>
      </w:r>
      <w:r>
        <w:rPr>
          <w:rFonts w:ascii="Arial" w:cs="Arial" w:eastAsia="Arial" w:hAnsi="Arial"/>
          <w:sz w:val="19"/>
          <w:szCs w:val="19"/>
          <w:b w:val="1"/>
          <w:bCs w:val="1"/>
          <w:u w:val="single" w:color="auto"/>
          <w:color w:val="auto"/>
        </w:rPr>
        <w:t>WAIVER OF JURY TRIAL</w:t>
      </w:r>
      <w:r>
        <w:rPr>
          <w:rFonts w:ascii="Arial" w:cs="Arial" w:eastAsia="Arial" w:hAnsi="Arial"/>
          <w:sz w:val="19"/>
          <w:szCs w:val="19"/>
          <w:color w:val="auto"/>
        </w:rPr>
        <w:t xml:space="preserve">. </w:t>
      </w:r>
      <w:r>
        <w:rPr>
          <w:rFonts w:ascii="Arial" w:cs="Arial" w:eastAsia="Arial" w:hAnsi="Arial"/>
          <w:sz w:val="19"/>
          <w:szCs w:val="19"/>
          <w:b w:val="1"/>
          <w:bCs w:val="1"/>
          <w:color w:val="auto"/>
        </w:rPr>
        <w:t>EACH GRANTOR AND THE ADMINISTRATIVE AGENT EACH</w:t>
      </w:r>
      <w:r>
        <w:rPr>
          <w:rFonts w:ascii="Arial" w:cs="Arial" w:eastAsia="Arial" w:hAnsi="Arial"/>
          <w:sz w:val="19"/>
          <w:szCs w:val="19"/>
          <w:color w:val="auto"/>
        </w:rPr>
        <w:t xml:space="preserve"> </w:t>
      </w:r>
      <w:r>
        <w:rPr>
          <w:rFonts w:ascii="Arial" w:cs="Arial" w:eastAsia="Arial" w:hAnsi="Arial"/>
          <w:sz w:val="19"/>
          <w:szCs w:val="19"/>
          <w:b w:val="1"/>
          <w:bCs w:val="1"/>
          <w:color w:val="auto"/>
        </w:rPr>
        <w:t>HEREBY IRREVOCABLY AND UNCONDITIONALLY (A) WAIVES, TO THE EXTENT PERMITTED BY APPLICABLE LAW, ITS RIGHT TO A JURY TRIAL OF ANY CLAIM OR CAUSE OF ACTION ARISING OUT OF, CONNECTED WITH, OR BASED UPON THIS AGREEMENT OR ANY TRANSACTION CONTEMPLATED HEREBY; AND (B) AGREES, WITHOUT INTENDING IN ANY WAY TO LIMIT ITS AGREEMENT TO WAIVE ITS RIGHT TO A TRIAL BY JURY</w:t>
      </w:r>
      <w:r>
        <w:rPr>
          <w:rFonts w:ascii="Arial" w:cs="Arial" w:eastAsia="Arial" w:hAnsi="Arial"/>
          <w:sz w:val="19"/>
          <w:szCs w:val="19"/>
          <w:color w:val="auto"/>
        </w:rPr>
        <w:t>,</w:t>
      </w:r>
      <w:r>
        <w:rPr>
          <w:rFonts w:ascii="Arial" w:cs="Arial" w:eastAsia="Arial" w:hAnsi="Arial"/>
          <w:sz w:val="19"/>
          <w:szCs w:val="19"/>
          <w:b w:val="1"/>
          <w:bCs w:val="1"/>
          <w:color w:val="auto"/>
        </w:rPr>
        <w:t xml:space="preserve"> THAT THE PROVISIONS OF SECTION 10.14(b) OF THE CREDIT</w:t>
      </w:r>
    </w:p>
    <w:p>
      <w:pPr>
        <w:spacing w:after="0" w:line="1" w:lineRule="exact"/>
        <w:rPr>
          <w:sz w:val="20"/>
          <w:szCs w:val="20"/>
          <w:color w:val="auto"/>
        </w:rPr>
      </w:pPr>
    </w:p>
    <w:p>
      <w:pPr>
        <w:jc w:val="both"/>
        <w:spacing w:after="0"/>
        <w:rPr>
          <w:sz w:val="20"/>
          <w:szCs w:val="20"/>
          <w:color w:val="auto"/>
        </w:rPr>
      </w:pPr>
      <w:r>
        <w:rPr>
          <w:rFonts w:ascii="Arial" w:cs="Arial" w:eastAsia="Arial" w:hAnsi="Arial"/>
          <w:sz w:val="20"/>
          <w:szCs w:val="20"/>
          <w:b w:val="1"/>
          <w:bCs w:val="1"/>
          <w:color w:val="auto"/>
        </w:rPr>
        <w:t xml:space="preserve">AGREEMENT (RELATING TO THE WAIVER OF THE RIGHT TO JURY TRIAL) SHALL BE INCORPORATED HEREIN, </w:t>
      </w:r>
      <w:r>
        <w:rPr>
          <w:rFonts w:ascii="Arial" w:cs="Arial" w:eastAsia="Arial" w:hAnsi="Arial"/>
          <w:sz w:val="20"/>
          <w:szCs w:val="20"/>
          <w:b w:val="1"/>
          <w:bCs w:val="1"/>
          <w:i w:val="1"/>
          <w:iCs w:val="1"/>
          <w:color w:val="auto"/>
        </w:rPr>
        <w:t>MUTATIS MUTANDIS</w:t>
      </w:r>
      <w:r>
        <w:rPr>
          <w:rFonts w:ascii="Arial" w:cs="Arial" w:eastAsia="Arial" w:hAnsi="Arial"/>
          <w:sz w:val="20"/>
          <w:szCs w:val="20"/>
          <w:b w:val="1"/>
          <w:bCs w:val="1"/>
          <w:color w:val="auto"/>
        </w:rPr>
        <w:t xml:space="preserve">, AS IF SET FORTH HEREIN IN FULL. THIS WAIVER OF THE RIGHT TO JURY TRIAL IS A MATERIAL INDUCEMENT FOR THE PARTIES HERETO TO ENTER INTO THIS AGREEMENT. EACH PARTY HERETO HAS REVIEWED THIS WAIVER WITH ITS COUNSEL. THIS </w:t>
      </w:r>
      <w:r>
        <w:rPr>
          <w:rFonts w:ascii="Arial" w:cs="Arial" w:eastAsia="Arial" w:hAnsi="Arial"/>
          <w:sz w:val="20"/>
          <w:szCs w:val="20"/>
          <w:b w:val="1"/>
          <w:bCs w:val="1"/>
          <w:u w:val="single" w:color="auto"/>
          <w:color w:val="auto"/>
        </w:rPr>
        <w:t>SECTION 8.16</w:t>
      </w:r>
      <w:r>
        <w:rPr>
          <w:rFonts w:ascii="Arial" w:cs="Arial" w:eastAsia="Arial" w:hAnsi="Arial"/>
          <w:sz w:val="20"/>
          <w:szCs w:val="20"/>
          <w:b w:val="1"/>
          <w:bCs w:val="1"/>
          <w:color w:val="auto"/>
        </w:rPr>
        <w:t xml:space="preserve"> SHALL SURVIVE THE DISCHARGE OF OBLIGATIONS.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8.17 </w:t>
      </w:r>
      <w:r>
        <w:rPr>
          <w:rFonts w:ascii="Arial" w:cs="Arial" w:eastAsia="Arial" w:hAnsi="Arial"/>
          <w:sz w:val="18"/>
          <w:szCs w:val="18"/>
          <w:u w:val="single" w:color="auto"/>
          <w:color w:val="auto"/>
        </w:rPr>
        <w:t>Patriot Act</w:t>
      </w:r>
      <w:r>
        <w:rPr>
          <w:rFonts w:ascii="Arial" w:cs="Arial" w:eastAsia="Arial" w:hAnsi="Arial"/>
          <w:sz w:val="18"/>
          <w:szCs w:val="18"/>
          <w:color w:val="auto"/>
        </w:rPr>
        <w:t>. Each Lender and the Administrative Agent (for itself and not on behalf of any other party) hereby notifies each Grantor that, pursuant to the requirements of “know your customer” and anti-money laundering rules and regulations, including the Patriot Act and 31 C.F.R. § 1010.230, it is required to obtain, verify and record information that identifies such Grantor, which information includes the names and addresses and other information that will allow such Lender or the Administrative Agent, as applicable, to identify such Grantor and certain of its beneficial owners and other officers in accordance with the Patriot Act and 31 C.F.R. § 1010.230. Each Grantor will, and will cause each of its Subsidiaries to, provide, to the extent commercially reasonable or required by any Requirement of Law, such information and take such actions as are reasonably requested in writing by the Administrative Agent or any Lender to assist the Administrative Agent and the Lenders in maintaining compliance with “know your customer” requirements under the PATRIOT Act, 31 C.F.R. § 1010.230 or other applicable anti-money laundering laws.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2" w:name="page203"/>
    <w:bookmarkEnd w:id="202"/>
    <w:p>
      <w:pPr>
        <w:ind w:firstLine="648"/>
        <w:spacing w:after="0" w:line="260" w:lineRule="auto"/>
        <w:rPr>
          <w:sz w:val="20"/>
          <w:szCs w:val="20"/>
          <w:color w:val="auto"/>
        </w:rPr>
      </w:pPr>
      <w:r>
        <w:rPr>
          <w:rFonts w:ascii="Arial" w:cs="Arial" w:eastAsia="Arial" w:hAnsi="Arial"/>
          <w:sz w:val="20"/>
          <w:szCs w:val="20"/>
          <w:color w:val="auto"/>
        </w:rPr>
        <w:t>IN WITNESS WHEREOF, each of the undersigned has caused this Guarantee and Collateral Agreement to be duly executed and delivered as of the date first above written.</w:t>
      </w:r>
    </w:p>
    <w:p>
      <w:pPr>
        <w:spacing w:after="0" w:line="184"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GRANTORS</w:t>
      </w:r>
      <w:r>
        <w:rPr>
          <w:rFonts w:ascii="Arial" w:cs="Arial" w:eastAsia="Arial" w:hAnsi="Arial"/>
          <w:sz w:val="20"/>
          <w:szCs w:val="20"/>
          <w:color w:val="auto"/>
        </w:rPr>
        <w:t>:</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AXCELIS TECHNOLOGIES, INC.</w:t>
      </w:r>
    </w:p>
    <w:p>
      <w:pPr>
        <w:spacing w:after="0" w:line="200" w:lineRule="exact"/>
        <w:rPr>
          <w:sz w:val="20"/>
          <w:szCs w:val="20"/>
          <w:color w:val="auto"/>
        </w:rPr>
      </w:pPr>
    </w:p>
    <w:p>
      <w:pPr>
        <w:spacing w:after="0" w:line="26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20"/>
          <w:szCs w:val="20"/>
          <w:color w:val="auto"/>
        </w:rPr>
        <w:t>By:</w:t>
        <w:tab/>
        <w:t>/s/ Mary G. Puma</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Name: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-144780</wp:posOffset>
            </wp:positionV>
            <wp:extent cx="27774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0"/>
          <w:szCs w:val="20"/>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Guarantee and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3" w:name="page204"/>
    <w:bookmarkEnd w:id="203"/>
    <w:p>
      <w:pPr>
        <w:ind w:left="4520"/>
        <w:spacing w:after="0"/>
        <w:rPr>
          <w:sz w:val="20"/>
          <w:szCs w:val="20"/>
          <w:color w:val="auto"/>
        </w:rPr>
      </w:pPr>
      <w:r>
        <w:rPr>
          <w:rFonts w:ascii="Arial" w:cs="Arial" w:eastAsia="Arial" w:hAnsi="Arial"/>
          <w:sz w:val="20"/>
          <w:szCs w:val="20"/>
          <w:b w:val="1"/>
          <w:bCs w:val="1"/>
          <w:color w:val="auto"/>
        </w:rPr>
        <w:t>ADMINISTRATIVE AGENT</w:t>
      </w:r>
      <w:r>
        <w:rPr>
          <w:rFonts w:ascii="Arial" w:cs="Arial" w:eastAsia="Arial" w:hAnsi="Arial"/>
          <w:sz w:val="20"/>
          <w:szCs w:val="20"/>
          <w:color w:val="auto"/>
        </w:rPr>
        <w: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SILICON VALLEY BANK</w:t>
      </w:r>
    </w:p>
    <w:p>
      <w:pPr>
        <w:spacing w:after="0" w:line="200" w:lineRule="exact"/>
        <w:rPr>
          <w:sz w:val="20"/>
          <w:szCs w:val="20"/>
          <w:color w:val="auto"/>
        </w:rPr>
      </w:pPr>
    </w:p>
    <w:p>
      <w:pPr>
        <w:spacing w:after="0" w:line="26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20"/>
          <w:szCs w:val="20"/>
          <w:color w:val="auto"/>
        </w:rPr>
        <w:t>By:</w:t>
        <w:tab/>
        <w:t>/s/ Michael Shuhy</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Michael Shuhy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-144780</wp:posOffset>
            </wp:positionV>
            <wp:extent cx="27774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Guarantee and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382270</wp:posOffset>
            </wp:positionV>
            <wp:extent cx="629221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204" w:name="page205"/>
    <w:bookmarkEnd w:id="204"/>
    <w:p>
      <w:pPr>
        <w:jc w:val="center"/>
        <w:ind w:right="-119"/>
        <w:spacing w:after="0"/>
        <w:rPr>
          <w:sz w:val="20"/>
          <w:szCs w:val="20"/>
          <w:color w:val="auto"/>
        </w:rPr>
      </w:pPr>
      <w:r>
        <w:rPr>
          <w:rFonts w:ascii="Arial" w:cs="Arial" w:eastAsia="Arial" w:hAnsi="Arial"/>
          <w:sz w:val="20"/>
          <w:szCs w:val="20"/>
          <w:b w:val="1"/>
          <w:bCs w:val="1"/>
          <w:u w:val="single" w:color="auto"/>
          <w:color w:val="auto"/>
        </w:rPr>
        <w:t>Note on Omitted Annexes and Schedules</w:t>
      </w:r>
    </w:p>
    <w:p>
      <w:pPr>
        <w:spacing w:after="0" w:line="229" w:lineRule="exact"/>
        <w:rPr>
          <w:sz w:val="20"/>
          <w:szCs w:val="20"/>
          <w:color w:val="auto"/>
        </w:rPr>
      </w:pPr>
    </w:p>
    <w:p>
      <w:pPr>
        <w:ind w:right="360"/>
        <w:spacing w:after="0" w:line="293" w:lineRule="auto"/>
        <w:rPr>
          <w:sz w:val="20"/>
          <w:szCs w:val="20"/>
          <w:color w:val="auto"/>
        </w:rPr>
      </w:pPr>
      <w:r>
        <w:rPr>
          <w:rFonts w:ascii="Arial" w:cs="Arial" w:eastAsia="Arial" w:hAnsi="Arial"/>
          <w:sz w:val="19"/>
          <w:szCs w:val="19"/>
          <w:b w:val="1"/>
          <w:bCs w:val="1"/>
          <w:color w:val="auto"/>
        </w:rPr>
        <w:t>to the Guarantee and Collateral Agreement dated as of July 31, 2020 made by Axcelis Technologies, Inc. and the other grantors referred to herein in favor of Silicon Valley Bank, as Administrative Agent</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as filed with the Securities Exchange Commission (the “Commission”)</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on Form 10-Q for the quarter ending September 30, 2020</w:t>
      </w:r>
    </w:p>
    <w:p>
      <w:pPr>
        <w:spacing w:after="0" w:line="213" w:lineRule="exact"/>
        <w:rPr>
          <w:sz w:val="20"/>
          <w:szCs w:val="20"/>
          <w:color w:val="auto"/>
        </w:rPr>
      </w:pPr>
    </w:p>
    <w:p>
      <w:pPr>
        <w:ind w:firstLine="49"/>
        <w:spacing w:after="0" w:line="259" w:lineRule="auto"/>
        <w:rPr>
          <w:sz w:val="20"/>
          <w:szCs w:val="20"/>
          <w:color w:val="auto"/>
        </w:rPr>
      </w:pPr>
      <w:r>
        <w:rPr>
          <w:rFonts w:ascii="Arial" w:cs="Arial" w:eastAsia="Arial" w:hAnsi="Arial"/>
          <w:sz w:val="19"/>
          <w:szCs w:val="19"/>
          <w:color w:val="auto"/>
        </w:rPr>
        <w:t>In accordance with Paragraph (b)(2) of the Instructions to Item 601 of Regulation S-K issued by the Commission, all of the annexes and schedules to this Guarantee and Collateral Agreement have not been filed on the basis that they do not contain information which is material to an investment decision and which is otherwise not disclosed in the agreement, another exhibit or otherwise in the Form 10-Q to which the Guarantee and Collateral Agreement is an exhibit. Axcelis will furnish supplementally a copy of any omitted annex or schedule to the Commission upon request. Below is a list of the omitted annex and schedules with a brief description of the document:</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List of Omitted Annexes and Schedules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SCHEDULES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Schedule 1 [Reserved]</w:t>
      </w:r>
    </w:p>
    <w:p>
      <w:pPr>
        <w:spacing w:after="0"/>
        <w:rPr>
          <w:sz w:val="20"/>
          <w:szCs w:val="20"/>
          <w:color w:val="auto"/>
        </w:rPr>
      </w:pPr>
      <w:r>
        <w:rPr>
          <w:rFonts w:ascii="Arial" w:cs="Arial" w:eastAsia="Arial" w:hAnsi="Arial"/>
          <w:sz w:val="20"/>
          <w:szCs w:val="20"/>
          <w:color w:val="auto"/>
        </w:rPr>
        <w:t>Schedule 2 Investment Property</w:t>
      </w:r>
    </w:p>
    <w:p>
      <w:pPr>
        <w:spacing w:after="0"/>
        <w:rPr>
          <w:sz w:val="20"/>
          <w:szCs w:val="20"/>
          <w:color w:val="auto"/>
        </w:rPr>
      </w:pPr>
      <w:r>
        <w:rPr>
          <w:rFonts w:ascii="Arial" w:cs="Arial" w:eastAsia="Arial" w:hAnsi="Arial"/>
          <w:sz w:val="20"/>
          <w:szCs w:val="20"/>
          <w:color w:val="auto"/>
        </w:rPr>
        <w:t>Schedule 3 Perfection Matters</w:t>
      </w:r>
    </w:p>
    <w:p>
      <w:pPr>
        <w:spacing w:after="0"/>
        <w:rPr>
          <w:sz w:val="20"/>
          <w:szCs w:val="20"/>
          <w:color w:val="auto"/>
        </w:rPr>
      </w:pPr>
      <w:r>
        <w:rPr>
          <w:rFonts w:ascii="Arial" w:cs="Arial" w:eastAsia="Arial" w:hAnsi="Arial"/>
          <w:sz w:val="20"/>
          <w:szCs w:val="20"/>
          <w:color w:val="auto"/>
        </w:rPr>
        <w:t>Schedule 4 Jurisdictions of Organization and Chief Executive Offices, etc.</w:t>
      </w:r>
    </w:p>
    <w:p>
      <w:pPr>
        <w:spacing w:after="0"/>
        <w:rPr>
          <w:sz w:val="20"/>
          <w:szCs w:val="20"/>
          <w:color w:val="auto"/>
        </w:rPr>
      </w:pPr>
      <w:r>
        <w:rPr>
          <w:rFonts w:ascii="Arial" w:cs="Arial" w:eastAsia="Arial" w:hAnsi="Arial"/>
          <w:sz w:val="20"/>
          <w:szCs w:val="20"/>
          <w:color w:val="auto"/>
        </w:rPr>
        <w:t>Schedule 5 Equipment and Inventory Locations</w:t>
      </w:r>
    </w:p>
    <w:p>
      <w:pPr>
        <w:spacing w:after="0"/>
        <w:rPr>
          <w:sz w:val="20"/>
          <w:szCs w:val="20"/>
          <w:color w:val="auto"/>
        </w:rPr>
      </w:pPr>
      <w:r>
        <w:rPr>
          <w:rFonts w:ascii="Arial" w:cs="Arial" w:eastAsia="Arial" w:hAnsi="Arial"/>
          <w:sz w:val="20"/>
          <w:szCs w:val="20"/>
          <w:color w:val="auto"/>
        </w:rPr>
        <w:t>Schedule 6 Intellectual Property</w:t>
      </w:r>
    </w:p>
    <w:p>
      <w:pPr>
        <w:spacing w:after="0"/>
        <w:rPr>
          <w:sz w:val="20"/>
          <w:szCs w:val="20"/>
          <w:color w:val="auto"/>
        </w:rPr>
      </w:pPr>
      <w:r>
        <w:rPr>
          <w:rFonts w:ascii="Arial" w:cs="Arial" w:eastAsia="Arial" w:hAnsi="Arial"/>
          <w:sz w:val="20"/>
          <w:szCs w:val="20"/>
          <w:color w:val="auto"/>
        </w:rPr>
        <w:t>Schedule 7 Letter of Credit Rights</w:t>
      </w:r>
    </w:p>
    <w:p>
      <w:pPr>
        <w:spacing w:after="0"/>
        <w:rPr>
          <w:sz w:val="20"/>
          <w:szCs w:val="20"/>
          <w:color w:val="auto"/>
        </w:rPr>
      </w:pPr>
      <w:r>
        <w:rPr>
          <w:rFonts w:ascii="Arial" w:cs="Arial" w:eastAsia="Arial" w:hAnsi="Arial"/>
          <w:sz w:val="20"/>
          <w:szCs w:val="20"/>
          <w:color w:val="auto"/>
        </w:rPr>
        <w:t>Schedule 8 Commercial Tort Claims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ANNEXES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Annex 1 Form of Assumption Agreement</w:t>
      </w:r>
    </w:p>
    <w:p>
      <w:pPr>
        <w:spacing w:after="0"/>
        <w:rPr>
          <w:sz w:val="20"/>
          <w:szCs w:val="20"/>
          <w:color w:val="auto"/>
        </w:rPr>
      </w:pPr>
      <w:r>
        <w:rPr>
          <w:rFonts w:ascii="Arial" w:cs="Arial" w:eastAsia="Arial" w:hAnsi="Arial"/>
          <w:sz w:val="20"/>
          <w:szCs w:val="20"/>
          <w:color w:val="auto"/>
        </w:rPr>
        <w:t>Annex 2 Form of Pledge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102" w:right="1099" w:bottom="1440" w:gutter="0" w:footer="0" w:header="0"/>
        </w:sectPr>
      </w:pPr>
    </w:p>
    <w:bookmarkStart w:id="205" w:name="page206"/>
    <w:bookmarkEnd w:id="20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Principal Executive Officer</w:t>
      </w:r>
    </w:p>
    <w:p>
      <w:pPr>
        <w:jc w:val="center"/>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Mary G. Puma, certify that:</w:t>
      </w:r>
    </w:p>
    <w:p>
      <w:pPr>
        <w:spacing w:after="0" w:line="198" w:lineRule="exact"/>
        <w:rPr>
          <w:sz w:val="20"/>
          <w:szCs w:val="20"/>
          <w:color w:val="auto"/>
        </w:rPr>
      </w:pPr>
    </w:p>
    <w:p>
      <w:pPr>
        <w:ind w:left="540" w:hanging="490"/>
        <w:spacing w:after="0"/>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Axcelis Technologies, Inc.;</w:t>
      </w:r>
    </w:p>
    <w:p>
      <w:pPr>
        <w:spacing w:after="0" w:line="198" w:lineRule="exact"/>
        <w:rPr>
          <w:rFonts w:ascii="Arial" w:cs="Arial" w:eastAsia="Arial" w:hAnsi="Arial"/>
          <w:sz w:val="18"/>
          <w:szCs w:val="18"/>
          <w:color w:val="auto"/>
        </w:rPr>
      </w:pPr>
    </w:p>
    <w:p>
      <w:pPr>
        <w:ind w:left="540" w:right="459" w:hanging="490"/>
        <w:spacing w:after="0" w:line="248" w:lineRule="auto"/>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40" w:right="339" w:hanging="490"/>
        <w:spacing w:after="0" w:line="248" w:lineRule="auto"/>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40" w:right="179" w:hanging="490"/>
        <w:spacing w:after="0" w:line="270" w:lineRule="auto"/>
        <w:tabs>
          <w:tab w:leader="none" w:pos="53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60" w:right="179" w:hanging="495"/>
        <w:spacing w:after="0" w:line="243" w:lineRule="auto"/>
        <w:tabs>
          <w:tab w:leader="none" w:pos="1057"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60" w:right="279" w:hanging="495"/>
        <w:spacing w:after="0" w:line="243" w:lineRule="auto"/>
        <w:tabs>
          <w:tab w:leader="none" w:pos="1067"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60" w:right="159" w:hanging="495"/>
        <w:spacing w:after="0" w:line="248" w:lineRule="auto"/>
        <w:tabs>
          <w:tab w:leader="none" w:pos="1057" w:val="left"/>
        </w:tabs>
        <w:numPr>
          <w:ilvl w:val="1"/>
          <w:numId w:val="2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60" w:right="79" w:hanging="495"/>
        <w:spacing w:after="0" w:line="243" w:lineRule="auto"/>
        <w:tabs>
          <w:tab w:leader="none" w:pos="1067"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40" w:right="499" w:hanging="490"/>
        <w:spacing w:after="0" w:line="248" w:lineRule="auto"/>
        <w:tabs>
          <w:tab w:leader="none" w:pos="53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60" w:right="239" w:hanging="495"/>
        <w:spacing w:after="0" w:line="248" w:lineRule="auto"/>
        <w:tabs>
          <w:tab w:leader="none" w:pos="1057"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60" w:right="379" w:hanging="495"/>
        <w:spacing w:after="0" w:line="261" w:lineRule="auto"/>
        <w:tabs>
          <w:tab w:leader="none" w:pos="1067"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tabs>
          <w:tab w:leader="none" w:pos="4480" w:val="left"/>
        </w:tabs>
        <w:rPr>
          <w:sz w:val="20"/>
          <w:szCs w:val="20"/>
          <w:color w:val="auto"/>
        </w:rPr>
      </w:pPr>
      <w:r>
        <w:rPr>
          <w:rFonts w:ascii="Arial" w:cs="Arial" w:eastAsia="Arial" w:hAnsi="Arial"/>
          <w:sz w:val="18"/>
          <w:szCs w:val="18"/>
          <w:color w:val="auto"/>
        </w:rPr>
        <w:t>Date: November 6, 2020</w:t>
      </w:r>
      <w:r>
        <w:rPr>
          <w:sz w:val="20"/>
          <w:szCs w:val="20"/>
          <w:color w:val="auto"/>
        </w:rPr>
        <w:tab/>
      </w:r>
      <w:r>
        <w:rPr>
          <w:rFonts w:ascii="Arial" w:cs="Arial" w:eastAsia="Arial" w:hAnsi="Arial"/>
          <w:sz w:val="17"/>
          <w:szCs w:val="17"/>
          <w:color w:val="auto"/>
        </w:rPr>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00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Mary G. Puma,</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6" w:name="page207"/>
    <w:bookmarkEnd w:id="206"/>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Principal Financial Officer</w:t>
      </w:r>
    </w:p>
    <w:p>
      <w:pPr>
        <w:jc w:val="center"/>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Kevin J. Brewer, certify that:</w:t>
      </w:r>
    </w:p>
    <w:p>
      <w:pPr>
        <w:spacing w:after="0" w:line="198" w:lineRule="exact"/>
        <w:rPr>
          <w:sz w:val="20"/>
          <w:szCs w:val="20"/>
          <w:color w:val="auto"/>
        </w:rPr>
      </w:pPr>
    </w:p>
    <w:p>
      <w:pPr>
        <w:ind w:left="540" w:hanging="490"/>
        <w:spacing w:after="0"/>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Axcelis Technologies, Inc.;</w:t>
      </w:r>
    </w:p>
    <w:p>
      <w:pPr>
        <w:spacing w:after="0" w:line="198" w:lineRule="exact"/>
        <w:rPr>
          <w:rFonts w:ascii="Arial" w:cs="Arial" w:eastAsia="Arial" w:hAnsi="Arial"/>
          <w:sz w:val="18"/>
          <w:szCs w:val="18"/>
          <w:color w:val="auto"/>
        </w:rPr>
      </w:pPr>
    </w:p>
    <w:p>
      <w:pPr>
        <w:ind w:left="540" w:right="459" w:hanging="490"/>
        <w:spacing w:after="0" w:line="248" w:lineRule="auto"/>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40" w:right="339" w:hanging="490"/>
        <w:spacing w:after="0" w:line="248" w:lineRule="auto"/>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40" w:right="179" w:hanging="490"/>
        <w:spacing w:after="0" w:line="270" w:lineRule="auto"/>
        <w:tabs>
          <w:tab w:leader="none" w:pos="53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60" w:right="179" w:hanging="495"/>
        <w:spacing w:after="0" w:line="243" w:lineRule="auto"/>
        <w:tabs>
          <w:tab w:leader="none" w:pos="105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60" w:right="279" w:hanging="495"/>
        <w:spacing w:after="0" w:line="243" w:lineRule="auto"/>
        <w:tabs>
          <w:tab w:leader="none" w:pos="106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60" w:right="159" w:hanging="495"/>
        <w:spacing w:after="0" w:line="248" w:lineRule="auto"/>
        <w:tabs>
          <w:tab w:leader="none" w:pos="105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60" w:right="79" w:hanging="495"/>
        <w:spacing w:after="0" w:line="243" w:lineRule="auto"/>
        <w:tabs>
          <w:tab w:leader="none" w:pos="106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40" w:right="499" w:hanging="490"/>
        <w:spacing w:after="0" w:line="248" w:lineRule="auto"/>
        <w:tabs>
          <w:tab w:leader="none" w:pos="53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60" w:right="239" w:hanging="495"/>
        <w:spacing w:after="0" w:line="248" w:lineRule="auto"/>
        <w:tabs>
          <w:tab w:leader="none" w:pos="105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60" w:right="379" w:hanging="495"/>
        <w:spacing w:after="0" w:line="261" w:lineRule="auto"/>
        <w:tabs>
          <w:tab w:leader="none" w:pos="106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tabs>
          <w:tab w:leader="none" w:pos="4480" w:val="left"/>
        </w:tabs>
        <w:rPr>
          <w:sz w:val="20"/>
          <w:szCs w:val="20"/>
          <w:color w:val="auto"/>
        </w:rPr>
      </w:pPr>
      <w:r>
        <w:rPr>
          <w:rFonts w:ascii="Arial" w:cs="Arial" w:eastAsia="Arial" w:hAnsi="Arial"/>
          <w:sz w:val="18"/>
          <w:szCs w:val="18"/>
          <w:color w:val="auto"/>
        </w:rPr>
        <w:t>Date: November 6, 2020</w:t>
      </w:r>
      <w:r>
        <w:rPr>
          <w:sz w:val="20"/>
          <w:szCs w:val="20"/>
          <w:color w:val="auto"/>
        </w:rPr>
        <w:tab/>
      </w:r>
      <w:r>
        <w:rPr>
          <w:rFonts w:ascii="Arial" w:cs="Arial" w:eastAsia="Arial" w:hAnsi="Arial"/>
          <w:sz w:val="17"/>
          <w:szCs w:val="17"/>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00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J. Brewer,</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207" w:name="page208"/>
    <w:bookmarkEnd w:id="207"/>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Executive Officer</w:t>
      </w:r>
    </w:p>
    <w:p>
      <w:pPr>
        <w:jc w:val="center"/>
        <w:ind w:right="19"/>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182" w:lineRule="exact"/>
        <w:rPr>
          <w:sz w:val="20"/>
          <w:szCs w:val="20"/>
          <w:color w:val="auto"/>
        </w:rPr>
      </w:pPr>
    </w:p>
    <w:p>
      <w:pPr>
        <w:ind w:left="40" w:right="59" w:firstLine="495"/>
        <w:spacing w:after="0" w:line="248" w:lineRule="auto"/>
        <w:rPr>
          <w:sz w:val="20"/>
          <w:szCs w:val="20"/>
          <w:color w:val="auto"/>
        </w:rPr>
      </w:pPr>
      <w:r>
        <w:rPr>
          <w:rFonts w:ascii="Arial" w:cs="Arial" w:eastAsia="Arial" w:hAnsi="Arial"/>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68" w:lineRule="exact"/>
        <w:rPr>
          <w:sz w:val="20"/>
          <w:szCs w:val="20"/>
          <w:color w:val="auto"/>
        </w:rPr>
      </w:pPr>
    </w:p>
    <w:p>
      <w:pPr>
        <w:ind w:left="40" w:right="439" w:firstLine="495"/>
        <w:spacing w:after="0" w:line="248" w:lineRule="auto"/>
        <w:rPr>
          <w:sz w:val="20"/>
          <w:szCs w:val="20"/>
          <w:color w:val="auto"/>
        </w:rPr>
      </w:pPr>
      <w:r>
        <w:rPr>
          <w:rFonts w:ascii="Arial" w:cs="Arial" w:eastAsia="Arial" w:hAnsi="Arial"/>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executed this Certification as of November 6, 2020.</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Mary G. Puma</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President and Chief Executive Officer of Axcelis</w:t>
      </w:r>
    </w:p>
    <w:p>
      <w:pPr>
        <w:ind w:left="4500"/>
        <w:spacing w:after="0"/>
        <w:rPr>
          <w:sz w:val="20"/>
          <w:szCs w:val="20"/>
          <w:color w:val="auto"/>
        </w:rPr>
      </w:pPr>
      <w:r>
        <w:rPr>
          <w:rFonts w:ascii="Arial" w:cs="Arial" w:eastAsia="Arial" w:hAnsi="Arial"/>
          <w:sz w:val="18"/>
          <w:szCs w:val="18"/>
          <w:i w:val="1"/>
          <w:iCs w:val="1"/>
          <w:color w:val="auto"/>
        </w:rPr>
        <w:t>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208" w:name="page209"/>
    <w:bookmarkEnd w:id="208"/>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Financial Officer</w:t>
      </w:r>
    </w:p>
    <w:p>
      <w:pPr>
        <w:jc w:val="center"/>
        <w:ind w:right="19"/>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182" w:lineRule="exact"/>
        <w:rPr>
          <w:sz w:val="20"/>
          <w:szCs w:val="20"/>
          <w:color w:val="auto"/>
        </w:rPr>
      </w:pPr>
    </w:p>
    <w:p>
      <w:pPr>
        <w:ind w:left="40" w:right="119" w:firstLine="495"/>
        <w:spacing w:after="0" w:line="248" w:lineRule="auto"/>
        <w:rPr>
          <w:sz w:val="20"/>
          <w:szCs w:val="20"/>
          <w:color w:val="auto"/>
        </w:rPr>
      </w:pPr>
      <w:r>
        <w:rPr>
          <w:rFonts w:ascii="Arial" w:cs="Arial" w:eastAsia="Arial" w:hAnsi="Arial"/>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68" w:lineRule="exact"/>
        <w:rPr>
          <w:sz w:val="20"/>
          <w:szCs w:val="20"/>
          <w:color w:val="auto"/>
        </w:rPr>
      </w:pPr>
    </w:p>
    <w:p>
      <w:pPr>
        <w:ind w:left="40" w:right="439" w:firstLine="495"/>
        <w:spacing w:after="0" w:line="248" w:lineRule="auto"/>
        <w:rPr>
          <w:sz w:val="20"/>
          <w:szCs w:val="20"/>
          <w:color w:val="auto"/>
        </w:rPr>
      </w:pPr>
      <w:r>
        <w:rPr>
          <w:rFonts w:ascii="Arial" w:cs="Arial" w:eastAsia="Arial" w:hAnsi="Arial"/>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executed this Certification as of November 6, 2020.</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J. Brewer</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Executive Vice President and Chief Financial Officer of</w:t>
      </w:r>
    </w:p>
    <w:p>
      <w:pPr>
        <w:ind w:left="4500"/>
        <w:spacing w:after="0"/>
        <w:rPr>
          <w:sz w:val="20"/>
          <w:szCs w:val="20"/>
          <w:color w:val="auto"/>
        </w:rPr>
      </w:pPr>
      <w:r>
        <w:rPr>
          <w:rFonts w:ascii="Arial" w:cs="Arial" w:eastAsia="Arial" w:hAnsi="Arial"/>
          <w:sz w:val="18"/>
          <w:szCs w:val="18"/>
          <w:i w:val="1"/>
          <w:iCs w:val="1"/>
          <w:color w:val="auto"/>
        </w:rPr>
        <w:t>Axcelis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3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
      <w:numFmt w:val="bullet"/>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
      <w:numFmt w:val="bullet"/>
      <w:start w:val="1"/>
    </w:lvl>
    <w:lvl w:ilvl="1">
      <w:lvlJc w:val="left"/>
      <w:lvlText w:val="%2."/>
      <w:numFmt w:val="upperLetter"/>
      <w:start w:val="1"/>
    </w:lvl>
  </w:abstractNum>
  <w:abstractNum w:abstractNumId="5">
    <w:nsid w:val="1D9F6E5F"/>
    <w:multiLevelType w:val="hybridMultilevel"/>
    <w:lvl w:ilvl="0">
      <w:lvlJc w:val="left"/>
      <w:lvlText w:val="●"/>
      <w:numFmt w:val="bullet"/>
      <w:start w:val="1"/>
    </w:lvl>
  </w:abstractNum>
  <w:abstractNum w:abstractNumId="6">
    <w:nsid w:val="97E1B4E"/>
    <w:multiLevelType w:val="hybridMultilevel"/>
    <w:lvl w:ilvl="0">
      <w:lvlJc w:val="left"/>
      <w:lvlText w:val="●"/>
      <w:numFmt w:val="bullet"/>
      <w:start w:val="1"/>
    </w:lvl>
  </w:abstractNum>
  <w:abstractNum w:abstractNumId="7">
    <w:nsid w:val="51088277"/>
    <w:multiLevelType w:val="hybridMultilevel"/>
    <w:lvl w:ilvl="0">
      <w:lvlJc w:val="left"/>
      <w:lvlText w:val="%1"/>
      <w:numFmt w:val="decimal"/>
      <w:start w:val="101"/>
    </w:lvl>
  </w:abstractNum>
  <w:abstractNum w:abstractNumId="8">
    <w:nsid w:val="1CA0C5FA"/>
    <w:multiLevelType w:val="hybridMultilevel"/>
    <w:lvl w:ilvl="0">
      <w:lvlJc w:val="left"/>
      <w:lvlText w:val="%1"/>
      <w:numFmt w:val="decimal"/>
      <w:start w:val="104"/>
    </w:lvl>
  </w:abstractNum>
  <w:abstractNum w:abstractNumId="9">
    <w:nsid w:val="53584BCB"/>
    <w:multiLevelType w:val="hybridMultilevel"/>
    <w:lvl w:ilvl="0">
      <w:lvlJc w:val="left"/>
      <w:lvlText w:val="(%1)"/>
      <w:numFmt w:val="lowerLetter"/>
      <w:start w:val="1"/>
    </w:lvl>
    <w:lvl w:ilvl="1">
      <w:lvlJc w:val="left"/>
      <w:lvlText w:val="(%2)"/>
      <w:numFmt w:val="lowerRoman"/>
      <w:start w:val="1"/>
    </w:lvl>
  </w:abstractNum>
  <w:abstractNum w:abstractNumId="10">
    <w:nsid w:val="415E286C"/>
    <w:multiLevelType w:val="hybridMultilevel"/>
    <w:lvl w:ilvl="0">
      <w:lvlJc w:val="left"/>
      <w:lvlText w:val="%1"/>
      <w:numFmt w:val="lowerLetter"/>
      <w:start w:val="1"/>
    </w:lvl>
    <w:lvl w:ilvl="1">
      <w:lvlJc w:val="left"/>
      <w:lvlText w:val="(%2)"/>
      <w:numFmt w:val="lowerRoman"/>
      <w:start w:val="11"/>
    </w:lvl>
  </w:abstractNum>
  <w:abstractNum w:abstractNumId="11">
    <w:nsid w:val="7C58FD05"/>
    <w:multiLevelType w:val="hybridMultilevel"/>
    <w:lvl w:ilvl="0">
      <w:lvlJc w:val="left"/>
      <w:lvlText w:val="(%1)"/>
      <w:numFmt w:val="lowerLetter"/>
      <w:start w:val="3"/>
    </w:lvl>
    <w:lvl w:ilvl="1">
      <w:lvlJc w:val="left"/>
      <w:lvlText w:val="%2"/>
      <w:numFmt w:val="lowerRoman"/>
      <w:start w:val="1"/>
    </w:lvl>
  </w:abstractNum>
  <w:abstractNum w:abstractNumId="12">
    <w:nsid w:val="23D86AAC"/>
    <w:multiLevelType w:val="hybridMultilevel"/>
    <w:lvl w:ilvl="0">
      <w:lvlJc w:val="left"/>
      <w:lvlText w:val="(%1)"/>
      <w:numFmt w:val="lowerRoman"/>
      <w:start w:val="1"/>
    </w:lvl>
  </w:abstractNum>
  <w:abstractNum w:abstractNumId="13">
    <w:nsid w:val="45E6D486"/>
    <w:multiLevelType w:val="hybridMultilevel"/>
    <w:lvl w:ilvl="0">
      <w:lvlJc w:val="left"/>
      <w:lvlText w:val="(%1)"/>
      <w:numFmt w:val="lowerLetter"/>
      <w:start w:val="4"/>
    </w:lvl>
  </w:abstractNum>
  <w:abstractNum w:abstractNumId="14">
    <w:nsid w:val="5C10FE21"/>
    <w:multiLevelType w:val="hybridMultilevel"/>
    <w:lvl w:ilvl="0">
      <w:lvlJc w:val="left"/>
      <w:lvlText w:val="(%1)"/>
      <w:numFmt w:val="lowerLetter"/>
      <w:start w:val="1"/>
    </w:lvl>
  </w:abstractNum>
  <w:abstractNum w:abstractNumId="15">
    <w:nsid w:val="E7FFA2B"/>
    <w:multiLevelType w:val="hybridMultilevel"/>
    <w:lvl w:ilvl="0">
      <w:lvlJc w:val="left"/>
      <w:lvlText w:val="(%1)"/>
      <w:numFmt w:val="lowerRoman"/>
      <w:start w:val="1"/>
    </w:lvl>
  </w:abstractNum>
  <w:abstractNum w:abstractNumId="16">
    <w:nsid w:val="3C5991AA"/>
    <w:multiLevelType w:val="hybridMultilevel"/>
    <w:lvl w:ilvl="0">
      <w:lvlJc w:val="left"/>
      <w:lvlText w:val="(%1)"/>
      <w:numFmt w:val="lowerRoman"/>
      <w:start w:val="6"/>
    </w:lvl>
  </w:abstractNum>
  <w:abstractNum w:abstractNumId="17">
    <w:nsid w:val="4BD8591A"/>
    <w:multiLevelType w:val="hybridMultilevel"/>
    <w:lvl w:ilvl="0">
      <w:lvlJc w:val="left"/>
      <w:lvlText w:val="(%1)"/>
      <w:numFmt w:val="lowerRoman"/>
      <w:start w:val="2"/>
    </w:lvl>
  </w:abstractNum>
  <w:abstractNum w:abstractNumId="18">
    <w:nsid w:val="78DF6A55"/>
    <w:multiLevelType w:val="hybridMultilevel"/>
    <w:lvl w:ilvl="0">
      <w:lvlJc w:val="left"/>
      <w:lvlText w:val="(%1)"/>
      <w:numFmt w:val="lowerLetter"/>
      <w:start w:val="1"/>
    </w:lvl>
  </w:abstractNum>
  <w:abstractNum w:abstractNumId="19">
    <w:nsid w:val="39B7AAA2"/>
    <w:multiLevelType w:val="hybridMultilevel"/>
    <w:lvl w:ilvl="0">
      <w:lvlJc w:val="left"/>
      <w:lvlText w:val="(%1)"/>
      <w:numFmt w:val="lowerLetter"/>
      <w:start w:val="2"/>
    </w:lvl>
  </w:abstractNum>
  <w:abstractNum w:abstractNumId="20">
    <w:nsid w:val="2B0D8DBE"/>
    <w:multiLevelType w:val="hybridMultilevel"/>
    <w:lvl w:ilvl="0">
      <w:lvlJc w:val="left"/>
      <w:lvlText w:val="(%1)"/>
      <w:numFmt w:val="lowerRoman"/>
      <w:start w:val="1"/>
    </w:lvl>
  </w:abstractNum>
  <w:abstractNum w:abstractNumId="21">
    <w:nsid w:val="6C80EC70"/>
    <w:multiLevelType w:val="hybridMultilevel"/>
    <w:lvl w:ilvl="0">
      <w:lvlJc w:val="left"/>
      <w:lvlText w:val="(%1)"/>
      <w:numFmt w:val="lowerLetter"/>
      <w:start w:val="1"/>
    </w:lvl>
  </w:abstractNum>
  <w:abstractNum w:abstractNumId="22">
    <w:nsid w:val="379E21B5"/>
    <w:multiLevelType w:val="hybridMultilevel"/>
    <w:lvl w:ilvl="0">
      <w:lvlJc w:val="left"/>
      <w:lvlText w:val="%1"/>
      <w:numFmt w:val="upperLetter"/>
      <w:start w:val="1"/>
    </w:lvl>
    <w:lvl w:ilvl="1">
      <w:lvlJc w:val="left"/>
      <w:lvlText w:val="(%2)"/>
      <w:numFmt w:val="lowerLetter"/>
      <w:start w:val="1"/>
    </w:lvl>
  </w:abstractNum>
  <w:abstractNum w:abstractNumId="23">
    <w:nsid w:val="69E373"/>
    <w:multiLevelType w:val="hybridMultilevel"/>
    <w:lvl w:ilvl="0">
      <w:lvlJc w:val="left"/>
      <w:lvlText w:val="(%1)"/>
      <w:numFmt w:val="upperLetter"/>
      <w:start w:val="2"/>
    </w:lvl>
    <w:lvl w:ilvl="1">
      <w:lvlJc w:val="left"/>
      <w:lvlText w:val="%2"/>
      <w:numFmt w:val="lowerLetter"/>
      <w:start w:val="1"/>
    </w:lvl>
  </w:abstractNum>
  <w:abstractNum w:abstractNumId="24">
    <w:nsid w:val="2C27173B"/>
    <w:multiLevelType w:val="hybridMultilevel"/>
    <w:lvl w:ilvl="0">
      <w:lvlJc w:val="left"/>
      <w:lvlText w:val="(%1)"/>
      <w:numFmt w:val="lowerLetter"/>
      <w:start w:val="1"/>
    </w:lvl>
  </w:abstractNum>
  <w:abstractNum w:abstractNumId="25">
    <w:nsid w:val="4C9B0904"/>
    <w:multiLevelType w:val="hybridMultilevel"/>
    <w:lvl w:ilvl="0">
      <w:lvlJc w:val="left"/>
      <w:lvlText w:val="(%1)"/>
      <w:numFmt w:val="lowerLetter"/>
      <w:start w:val="2"/>
    </w:lvl>
  </w:abstractNum>
  <w:abstractNum w:abstractNumId="26">
    <w:nsid w:val="6AA7B75C"/>
    <w:multiLevelType w:val="hybridMultilevel"/>
    <w:lvl w:ilvl="0">
      <w:lvlJc w:val="left"/>
      <w:lvlText w:val="(%1)"/>
      <w:numFmt w:val="lowerLetter"/>
      <w:start w:val="2"/>
    </w:lvl>
  </w:abstractNum>
  <w:abstractNum w:abstractNumId="27">
    <w:nsid w:val="1DF029D3"/>
    <w:multiLevelType w:val="hybridMultilevel"/>
    <w:lvl w:ilvl="0">
      <w:lvlJc w:val="left"/>
      <w:lvlText w:val="%1"/>
      <w:numFmt w:val="lowerLetter"/>
      <w:start w:val="1"/>
    </w:lvl>
    <w:lvl w:ilvl="1">
      <w:lvlJc w:val="left"/>
      <w:lvlText w:val="(%2)"/>
      <w:numFmt w:val="lowerLetter"/>
      <w:start w:val="1"/>
    </w:lvl>
  </w:abstractNum>
  <w:abstractNum w:abstractNumId="28">
    <w:nsid w:val="5675FF36"/>
    <w:multiLevelType w:val="hybridMultilevel"/>
    <w:lvl w:ilvl="0">
      <w:lvlJc w:val="left"/>
      <w:lvlText w:val="(%1)"/>
      <w:numFmt w:val="lowerLetter"/>
      <w:start w:val="22"/>
    </w:lvl>
    <w:lvl w:ilvl="1">
      <w:lvlJc w:val="left"/>
      <w:lvlText w:val="(%2)"/>
      <w:numFmt w:val="lowerLetter"/>
      <w:start w:val="3"/>
    </w:lvl>
  </w:abstractNum>
  <w:abstractNum w:abstractNumId="29">
    <w:nsid w:val="3DD15094"/>
    <w:multiLevelType w:val="hybridMultilevel"/>
    <w:lvl w:ilvl="0">
      <w:lvlJc w:val="left"/>
      <w:lvlText w:val="(%1)"/>
      <w:numFmt w:val="lowerLetter"/>
      <w:start w:val="35"/>
    </w:lvl>
    <w:lvl w:ilvl="1">
      <w:lvlJc w:val="left"/>
      <w:lvlText w:val="(%2)"/>
      <w:numFmt w:val="lowerLetter"/>
      <w:start w:val="4"/>
    </w:lvl>
  </w:abstractNum>
  <w:abstractNum w:abstractNumId="30">
    <w:nsid w:val="3DB012B3"/>
    <w:multiLevelType w:val="hybridMultilevel"/>
    <w:lvl w:ilvl="0">
      <w:lvlJc w:val="left"/>
      <w:lvlText w:val="(%1)"/>
      <w:numFmt w:val="lowerLetter"/>
      <w:start w:val="1"/>
    </w:lvl>
  </w:abstractNum>
  <w:abstractNum w:abstractNumId="31">
    <w:nsid w:val="2708C9AF"/>
    <w:multiLevelType w:val="hybridMultilevel"/>
    <w:lvl w:ilvl="0">
      <w:lvlJc w:val="left"/>
      <w:lvlText w:val="(%1)"/>
      <w:numFmt w:val="lowerLetter"/>
      <w:start w:val="2"/>
    </w:lvl>
  </w:abstractNum>
  <w:abstractNum w:abstractNumId="32">
    <w:nsid w:val="5B25ACE2"/>
    <w:multiLevelType w:val="hybridMultilevel"/>
    <w:lvl w:ilvl="0">
      <w:lvlJc w:val="left"/>
      <w:lvlText w:val="(%1)"/>
      <w:numFmt w:val="lowerLetter"/>
      <w:start w:val="1"/>
    </w:lvl>
  </w:abstractNum>
  <w:abstractNum w:abstractNumId="33">
    <w:nsid w:val="175DFCF0"/>
    <w:multiLevelType w:val="hybridMultilevel"/>
    <w:lvl w:ilvl="0">
      <w:lvlJc w:val="left"/>
      <w:lvlText w:val="%1"/>
      <w:numFmt w:val="lowerLetter"/>
      <w:start w:val="1"/>
    </w:lvl>
    <w:lvl w:ilvl="1">
      <w:lvlJc w:val="left"/>
      <w:lvlText w:val="(%2)"/>
      <w:numFmt w:val="lowerLetter"/>
      <w:start w:val="5"/>
    </w:lvl>
  </w:abstractNum>
  <w:abstractNum w:abstractNumId="34">
    <w:nsid w:val="4F97E3E4"/>
    <w:multiLevelType w:val="hybridMultilevel"/>
    <w:lvl w:ilvl="0">
      <w:lvlJc w:val="left"/>
      <w:lvlText w:val="(%1)"/>
      <w:numFmt w:val="lowerLetter"/>
      <w:start w:val="61"/>
    </w:lvl>
    <w:lvl w:ilvl="1">
      <w:lvlJc w:val="left"/>
      <w:lvlText w:val="(%2)"/>
      <w:numFmt w:val="lowerLetter"/>
      <w:start w:val="6"/>
    </w:lvl>
  </w:abstractNum>
  <w:abstractNum w:abstractNumId="35">
    <w:nsid w:val="53B0A9E"/>
    <w:multiLevelType w:val="hybridMultilevel"/>
    <w:lvl w:ilvl="0">
      <w:lvlJc w:val="left"/>
      <w:lvlText w:val="(%1)"/>
      <w:numFmt w:val="lowerLetter"/>
      <w:start w:val="1"/>
    </w:lvl>
  </w:abstractNum>
  <w:abstractNum w:abstractNumId="36">
    <w:nsid w:val="34FD6B4F"/>
    <w:multiLevelType w:val="hybridMultilevel"/>
    <w:lvl w:ilvl="0">
      <w:lvlJc w:val="left"/>
      <w:lvlText w:val="(%1)"/>
      <w:numFmt w:val="lowerLetter"/>
      <w:start w:val="3"/>
    </w:lvl>
  </w:abstractNum>
  <w:abstractNum w:abstractNumId="37">
    <w:nsid w:val="5915FF32"/>
    <w:multiLevelType w:val="hybridMultilevel"/>
    <w:lvl w:ilvl="0">
      <w:lvlJc w:val="left"/>
      <w:lvlText w:val="(%1)"/>
      <w:numFmt w:val="lowerLetter"/>
      <w:start w:val="1"/>
    </w:lvl>
  </w:abstractNum>
  <w:abstractNum w:abstractNumId="38">
    <w:nsid w:val="56438D15"/>
    <w:multiLevelType w:val="hybridMultilevel"/>
    <w:lvl w:ilvl="0">
      <w:lvlJc w:val="left"/>
      <w:lvlText w:val="(%1)"/>
      <w:numFmt w:val="lowerLetter"/>
      <w:start w:val="1"/>
    </w:lvl>
  </w:abstractNum>
  <w:abstractNum w:abstractNumId="39">
    <w:nsid w:val="519E3149"/>
    <w:multiLevelType w:val="hybridMultilevel"/>
    <w:lvl w:ilvl="0">
      <w:lvlJc w:val="left"/>
      <w:lvlText w:val="(%1)"/>
      <w:numFmt w:val="lowerLetter"/>
      <w:start w:val="4"/>
    </w:lvl>
  </w:abstractNum>
  <w:abstractNum w:abstractNumId="40">
    <w:nsid w:val="2C6E4AFD"/>
    <w:multiLevelType w:val="hybridMultilevel"/>
    <w:lvl w:ilvl="0">
      <w:lvlJc w:val="left"/>
      <w:lvlText w:val="(%1)"/>
      <w:numFmt w:val="lowerLetter"/>
      <w:start w:val="1"/>
    </w:lvl>
  </w:abstractNum>
  <w:abstractNum w:abstractNumId="41">
    <w:nsid w:val="17A1B582"/>
    <w:multiLevelType w:val="hybridMultilevel"/>
    <w:lvl w:ilvl="0">
      <w:lvlJc w:val="left"/>
      <w:lvlText w:val="(%1)"/>
      <w:numFmt w:val="lowerLetter"/>
      <w:start w:val="1"/>
    </w:lvl>
  </w:abstractNum>
  <w:abstractNum w:abstractNumId="42">
    <w:nsid w:val="4DF72E4E"/>
    <w:multiLevelType w:val="hybridMultilevel"/>
    <w:lvl w:ilvl="0">
      <w:lvlJc w:val="left"/>
      <w:lvlText w:val="(%1)"/>
      <w:numFmt w:val="lowerLetter"/>
      <w:start w:val="1"/>
    </w:lvl>
  </w:abstractNum>
  <w:abstractNum w:abstractNumId="43">
    <w:nsid w:val="5046B5A9"/>
    <w:multiLevelType w:val="hybridMultilevel"/>
    <w:lvl w:ilvl="0">
      <w:lvlJc w:val="left"/>
      <w:lvlText w:val="(%1)"/>
      <w:numFmt w:val="lowerLetter"/>
      <w:start w:val="6"/>
    </w:lvl>
  </w:abstractNum>
  <w:abstractNum w:abstractNumId="44">
    <w:nsid w:val="5D888A08"/>
    <w:multiLevelType w:val="hybridMultilevel"/>
    <w:lvl w:ilvl="0">
      <w:lvlJc w:val="left"/>
      <w:lvlText w:val="%1"/>
      <w:numFmt w:val="lowerLetter"/>
      <w:start w:val="1"/>
    </w:lvl>
    <w:lvl w:ilvl="1">
      <w:lvlJc w:val="left"/>
      <w:lvlText w:val="(%2)"/>
      <w:numFmt w:val="lowerLetter"/>
      <w:start w:val="11"/>
    </w:lvl>
  </w:abstractNum>
  <w:abstractNum w:abstractNumId="45">
    <w:nsid w:val="2A082C70"/>
    <w:multiLevelType w:val="hybridMultilevel"/>
    <w:lvl w:ilvl="0">
      <w:lvlJc w:val="left"/>
      <w:lvlText w:val="(%1)"/>
      <w:numFmt w:val="lowerLetter"/>
      <w:start w:val="61"/>
    </w:lvl>
    <w:lvl w:ilvl="1">
      <w:lvlJc w:val="left"/>
      <w:lvlText w:val="(%2)"/>
      <w:numFmt w:val="lowerLetter"/>
      <w:start w:val="12"/>
    </w:lvl>
  </w:abstractNum>
  <w:abstractNum w:abstractNumId="46">
    <w:nsid w:val="5EC6AFD4"/>
    <w:multiLevelType w:val="hybridMultilevel"/>
    <w:lvl w:ilvl="0">
      <w:lvlJc w:val="left"/>
      <w:lvlText w:val="(%1)"/>
      <w:numFmt w:val="lowerLetter"/>
      <w:start w:val="1"/>
    </w:lvl>
    <w:lvl w:ilvl="1">
      <w:lvlJc w:val="left"/>
      <w:lvlText w:val="(%2)"/>
      <w:numFmt w:val="lowerRoman"/>
      <w:start w:val="1"/>
    </w:lvl>
  </w:abstractNum>
  <w:abstractNum w:abstractNumId="47">
    <w:nsid w:val="19E21BB2"/>
    <w:multiLevelType w:val="hybridMultilevel"/>
    <w:lvl w:ilvl="0">
      <w:lvlJc w:val="left"/>
      <w:lvlText w:val="(%1)"/>
      <w:numFmt w:val="lowerLetter"/>
      <w:start w:val="3"/>
    </w:lvl>
  </w:abstractNum>
  <w:abstractNum w:abstractNumId="48">
    <w:nsid w:val="75E0858A"/>
    <w:multiLevelType w:val="hybridMultilevel"/>
    <w:lvl w:ilvl="0">
      <w:lvlJc w:val="left"/>
      <w:lvlText w:val="(%1)"/>
      <w:numFmt w:val="lowerLetter"/>
      <w:start w:val="4"/>
    </w:lvl>
  </w:abstractNum>
  <w:abstractNum w:abstractNumId="49">
    <w:nsid w:val="57A61A29"/>
    <w:multiLevelType w:val="hybridMultilevel"/>
    <w:lvl w:ilvl="0">
      <w:lvlJc w:val="left"/>
      <w:lvlText w:val="(%1)"/>
      <w:numFmt w:val="lowerLetter"/>
      <w:start w:val="1"/>
    </w:lvl>
  </w:abstractNum>
  <w:abstractNum w:abstractNumId="50">
    <w:nsid w:val="5399C654"/>
    <w:multiLevelType w:val="hybridMultilevel"/>
    <w:lvl w:ilvl="0">
      <w:lvlJc w:val="left"/>
      <w:lvlText w:val="(%1)"/>
      <w:numFmt w:val="lowerLetter"/>
      <w:start w:val="2"/>
    </w:lvl>
    <w:lvl w:ilvl="1">
      <w:lvlJc w:val="left"/>
      <w:lvlText w:val="(%2)"/>
      <w:numFmt w:val="lowerLetter"/>
      <w:start w:val="9"/>
    </w:lvl>
  </w:abstractNum>
  <w:abstractNum w:abstractNumId="51">
    <w:nsid w:val="20EE1348"/>
    <w:multiLevelType w:val="hybridMultilevel"/>
    <w:lvl w:ilvl="0">
      <w:lvlJc w:val="left"/>
      <w:lvlText w:val="(%1)"/>
      <w:numFmt w:val="lowerRoman"/>
      <w:start w:val="2"/>
    </w:lvl>
  </w:abstractNum>
  <w:abstractNum w:abstractNumId="52">
    <w:nsid w:val="4427069A"/>
    <w:multiLevelType w:val="hybridMultilevel"/>
    <w:lvl w:ilvl="0">
      <w:lvlJc w:val="left"/>
      <w:lvlText w:val="(%1)"/>
      <w:numFmt w:val="upperLetter"/>
      <w:start w:val="1"/>
    </w:lvl>
    <w:lvl w:ilvl="1">
      <w:lvlJc w:val="left"/>
      <w:lvlText w:val="(%2)"/>
      <w:numFmt w:val="decimal"/>
      <w:start w:val="1"/>
    </w:lvl>
  </w:abstractNum>
  <w:abstractNum w:abstractNumId="53">
    <w:nsid w:val="B37E80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54">
    <w:nsid w:val="2157F6BC"/>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55">
    <w:nsid w:val="704E1DD5"/>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abstractNum>
  <w:abstractNum w:abstractNumId="56">
    <w:nsid w:val="57D2F10E"/>
    <w:multiLevelType w:val="hybridMultilevel"/>
    <w:lvl w:ilvl="0">
      <w:lvlJc w:val="left"/>
      <w:lvlText w:val="(%1)"/>
      <w:numFmt w:val="lowerLetter"/>
      <w:start w:val="1"/>
    </w:lvl>
    <w:lvl w:ilvl="1">
      <w:lvlJc w:val="left"/>
      <w:lvlText w:val="(%2)"/>
      <w:numFmt w:val="lowerLetter"/>
      <w:start w:val="1"/>
    </w:lvl>
  </w:abstractNum>
  <w:abstractNum w:abstractNumId="57">
    <w:nsid w:val="BFFAE18"/>
    <w:multiLevelType w:val="hybridMultilevel"/>
    <w:lvl w:ilvl="0">
      <w:lvlJc w:val="left"/>
      <w:lvlText w:val="(%1)"/>
      <w:numFmt w:val="lowerLetter"/>
      <w:start w:val="1"/>
    </w:lvl>
    <w:lvl w:ilvl="1">
      <w:lvlJc w:val="left"/>
      <w:lvlText w:val="(%2)"/>
      <w:numFmt w:val="lowerRoman"/>
      <w:start w:val="1"/>
    </w:lvl>
  </w:abstractNum>
  <w:abstractNum w:abstractNumId="58">
    <w:nsid w:val="E3E47A8"/>
    <w:multiLevelType w:val="hybridMultilevel"/>
    <w:lvl w:ilvl="0">
      <w:lvlJc w:val="left"/>
      <w:lvlText w:val="(%1)"/>
      <w:numFmt w:val="lowerLetter"/>
      <w:start w:val="24"/>
    </w:lvl>
    <w:lvl w:ilvl="1">
      <w:lvlJc w:val="left"/>
      <w:lvlText w:val="(%2)"/>
      <w:numFmt w:val="lowerRoman"/>
      <w:start w:val="3"/>
    </w:lvl>
    <w:lvl w:ilvl="2">
      <w:lvlJc w:val="left"/>
      <w:lvlText w:val="(%3)"/>
      <w:numFmt w:val="upperLetter"/>
      <w:start w:val="1"/>
    </w:lvl>
  </w:abstractNum>
  <w:abstractNum w:abstractNumId="59">
    <w:nsid w:val="2E48F04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5"/>
    </w:lvl>
  </w:abstractNum>
  <w:abstractNum w:abstractNumId="60">
    <w:nsid w:val="49D0FEAC"/>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61">
    <w:nsid w:val="4BEE5A5B"/>
    <w:multiLevelType w:val="hybridMultilevel"/>
    <w:lvl w:ilvl="0">
      <w:lvlJc w:val="left"/>
      <w:lvlText w:val="(%1)"/>
      <w:numFmt w:val="lowerLetter"/>
      <w:start w:val="1"/>
    </w:lvl>
  </w:abstractNum>
  <w:abstractNum w:abstractNumId="62">
    <w:nsid w:val="5551B9F3"/>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63">
    <w:nsid w:val="24F6AB8E"/>
    <w:multiLevelType w:val="hybridMultilevel"/>
    <w:lvl w:ilvl="0">
      <w:lvlJc w:val="left"/>
      <w:lvlText w:val="(%1)"/>
      <w:numFmt w:val="lowerRoman"/>
      <w:start w:val="1"/>
    </w:lvl>
  </w:abstractNum>
  <w:abstractNum w:abstractNumId="64">
    <w:nsid w:val="634C574C"/>
    <w:multiLevelType w:val="hybridMultilevel"/>
    <w:lvl w:ilvl="0">
      <w:lvlJc w:val="left"/>
      <w:lvlText w:val="%1"/>
      <w:numFmt w:val="lowerLetter"/>
      <w:start w:val="1"/>
    </w:lvl>
    <w:lvl w:ilvl="1">
      <w:lvlJc w:val="left"/>
      <w:lvlText w:val="(%2)"/>
      <w:numFmt w:val="lowerLetter"/>
      <w:start w:val="10"/>
    </w:lvl>
  </w:abstractNum>
  <w:abstractNum w:abstractNumId="65">
    <w:nsid w:val="24E99DD7"/>
    <w:multiLevelType w:val="hybridMultilevel"/>
    <w:lvl w:ilvl="0">
      <w:lvlJc w:val="left"/>
      <w:lvlText w:val="(%1)"/>
      <w:numFmt w:val="lowerLetter"/>
      <w:start w:val="2"/>
    </w:lvl>
    <w:lvl w:ilvl="1">
      <w:lvlJc w:val="left"/>
      <w:lvlText w:val="%2"/>
      <w:numFmt w:val="lowerLetter"/>
      <w:start w:val="1"/>
    </w:lvl>
  </w:abstractNum>
  <w:abstractNum w:abstractNumId="66">
    <w:nsid w:val="2A31B62D"/>
    <w:multiLevelType w:val="hybridMultilevel"/>
    <w:lvl w:ilvl="0">
      <w:lvlJc w:val="left"/>
      <w:lvlText w:val="(%1)"/>
      <w:numFmt w:val="lowerLetter"/>
      <w:start w:val="13"/>
    </w:lvl>
  </w:abstractNum>
  <w:abstractNum w:abstractNumId="67">
    <w:nsid w:val="1849C29B"/>
    <w:multiLevelType w:val="hybridMultilevel"/>
    <w:lvl w:ilvl="0">
      <w:lvlJc w:val="left"/>
      <w:lvlText w:val="(%1)"/>
      <w:numFmt w:val="lowerLetter"/>
      <w:start w:val="1"/>
    </w:lvl>
    <w:lvl w:ilvl="1">
      <w:lvlJc w:val="left"/>
      <w:lvlText w:val="(%2)"/>
      <w:numFmt w:val="lowerLetter"/>
      <w:start w:val="9"/>
    </w:lvl>
  </w:abstractNum>
  <w:abstractNum w:abstractNumId="68">
    <w:nsid w:val="7DFF9D09"/>
    <w:multiLevelType w:val="hybridMultilevel"/>
    <w:lvl w:ilvl="0">
      <w:lvlJc w:val="left"/>
      <w:lvlText w:val="%1"/>
      <w:numFmt w:val="lowerRoman"/>
      <w:start w:val="1"/>
    </w:lvl>
    <w:lvl w:ilvl="1">
      <w:lvlJc w:val="left"/>
      <w:lvlText w:val="(%2)"/>
      <w:numFmt w:val="lowerRoman"/>
      <w:start w:val="2"/>
    </w:lvl>
  </w:abstractNum>
  <w:abstractNum w:abstractNumId="69">
    <w:nsid w:val="754342"/>
    <w:multiLevelType w:val="hybridMultilevel"/>
    <w:lvl w:ilvl="0">
      <w:lvlJc w:val="left"/>
      <w:lvlText w:val="(%1)"/>
      <w:numFmt w:val="lowerRoman"/>
      <w:start w:val="10"/>
    </w:lvl>
    <w:lvl w:ilvl="1">
      <w:lvlJc w:val="left"/>
      <w:lvlText w:val="(%2)"/>
      <w:numFmt w:val="lowerRoman"/>
      <w:start w:val="7"/>
    </w:lvl>
  </w:abstractNum>
  <w:abstractNum w:abstractNumId="70">
    <w:nsid w:val="69E7F3E5"/>
    <w:multiLevelType w:val="hybridMultilevel"/>
    <w:lvl w:ilvl="0">
      <w:lvlJc w:val="left"/>
      <w:lvlText w:val="(%1)"/>
      <w:numFmt w:val="lowerLetter"/>
      <w:start w:val="3"/>
    </w:lvl>
  </w:abstractNum>
  <w:abstractNum w:abstractNumId="71">
    <w:nsid w:val="2A6DE806"/>
    <w:multiLevelType w:val="hybridMultilevel"/>
    <w:lvl w:ilvl="0">
      <w:lvlJc w:val="left"/>
      <w:lvlText w:val="(%1)"/>
      <w:numFmt w:val="lowerLetter"/>
      <w:start w:val="1"/>
    </w:lvl>
    <w:lvl w:ilvl="1">
      <w:lvlJc w:val="left"/>
      <w:lvlText w:val="(%2)"/>
      <w:numFmt w:val="lowerRoman"/>
      <w:start w:val="1"/>
    </w:lvl>
  </w:abstractNum>
  <w:abstractNum w:abstractNumId="72">
    <w:nsid w:val="1816F8C4"/>
    <w:multiLevelType w:val="hybridMultilevel"/>
    <w:lvl w:ilvl="0">
      <w:lvlJc w:val="left"/>
      <w:lvlText w:val="(%1)"/>
      <w:numFmt w:val="lowerRoman"/>
      <w:start w:val="3"/>
    </w:lvl>
  </w:abstractNum>
  <w:abstractNum w:abstractNumId="73">
    <w:nsid w:val="37DF2233"/>
    <w:multiLevelType w:val="hybridMultilevel"/>
    <w:lvl w:ilvl="0">
      <w:lvlJc w:val="left"/>
      <w:lvlText w:val="%1"/>
      <w:numFmt w:val="lowerLetter"/>
      <w:start w:val="1"/>
    </w:lvl>
    <w:lvl w:ilvl="1">
      <w:lvlJc w:val="left"/>
      <w:lvlText w:val="(%2)"/>
      <w:numFmt w:val="lowerLetter"/>
      <w:start w:val="1"/>
    </w:lvl>
  </w:abstractNum>
  <w:abstractNum w:abstractNumId="74">
    <w:nsid w:val="7AB49DAF"/>
    <w:multiLevelType w:val="hybridMultilevel"/>
    <w:lvl w:ilvl="0">
      <w:lvlJc w:val="left"/>
      <w:lvlText w:val="(%1)"/>
      <w:numFmt w:val="lowerLetter"/>
      <w:start w:val="35"/>
    </w:lvl>
    <w:lvl w:ilvl="1">
      <w:lvlJc w:val="left"/>
      <w:lvlText w:val="%2"/>
      <w:numFmt w:val="lowerLetter"/>
      <w:start w:val="1"/>
    </w:lvl>
  </w:abstractNum>
  <w:abstractNum w:abstractNumId="75">
    <w:nsid w:val="759F82CD"/>
    <w:multiLevelType w:val="hybridMultilevel"/>
    <w:lvl w:ilvl="0">
      <w:lvlJc w:val="left"/>
      <w:lvlText w:val="(%1)"/>
      <w:numFmt w:val="lowerLetter"/>
      <w:start w:val="2"/>
    </w:lvl>
  </w:abstractNum>
  <w:abstractNum w:abstractNumId="76">
    <w:nsid w:val="61E74EA3"/>
    <w:multiLevelType w:val="hybridMultilevel"/>
    <w:lvl w:ilvl="0">
      <w:lvlJc w:val="left"/>
      <w:lvlText w:val="(%1)"/>
      <w:numFmt w:val="lowerLetter"/>
      <w:start w:val="1"/>
    </w:lvl>
  </w:abstractNum>
  <w:abstractNum w:abstractNumId="77">
    <w:nsid w:val="597B4D84"/>
    <w:multiLevelType w:val="hybridMultilevel"/>
    <w:lvl w:ilvl="0">
      <w:lvlJc w:val="left"/>
      <w:lvlText w:val="(%1)"/>
      <w:numFmt w:val="lowerLetter"/>
      <w:start w:val="2"/>
    </w:lvl>
  </w:abstractNum>
  <w:abstractNum w:abstractNumId="78">
    <w:nsid w:val="F819E7F"/>
    <w:multiLevelType w:val="hybridMultilevel"/>
    <w:lvl w:ilvl="0">
      <w:lvlJc w:val="left"/>
      <w:lvlText w:val="(%1)"/>
      <w:numFmt w:val="lowerLetter"/>
      <w:start w:val="1"/>
    </w:lvl>
  </w:abstractNum>
  <w:abstractNum w:abstractNumId="79">
    <w:nsid w:val="57C7D42D"/>
    <w:multiLevelType w:val="hybridMultilevel"/>
    <w:lvl w:ilvl="0">
      <w:lvlJc w:val="left"/>
      <w:lvlText w:val="%1"/>
      <w:numFmt w:val="lowerLetter"/>
      <w:start w:val="1"/>
    </w:lvl>
    <w:lvl w:ilvl="1">
      <w:lvlJc w:val="left"/>
      <w:lvlText w:val="(%2)"/>
      <w:numFmt w:val="lowerLetter"/>
      <w:start w:val="1"/>
    </w:lvl>
  </w:abstractNum>
  <w:abstractNum w:abstractNumId="80">
    <w:nsid w:val="312167AD"/>
    <w:multiLevelType w:val="hybridMultilevel"/>
    <w:lvl w:ilvl="0">
      <w:lvlJc w:val="left"/>
      <w:lvlText w:val="(%1)"/>
      <w:numFmt w:val="lowerLetter"/>
      <w:start w:val="9"/>
    </w:lvl>
    <w:lvl w:ilvl="1">
      <w:lvlJc w:val="left"/>
      <w:lvlText w:val="%2"/>
      <w:numFmt w:val="lowerLetter"/>
      <w:start w:val="1"/>
    </w:lvl>
  </w:abstractNum>
  <w:abstractNum w:abstractNumId="81">
    <w:nsid w:val="631B64D4"/>
    <w:multiLevelType w:val="hybridMultilevel"/>
    <w:lvl w:ilvl="0">
      <w:lvlJc w:val="left"/>
      <w:lvlText w:val="%1"/>
      <w:numFmt w:val="lowerLetter"/>
      <w:start w:val="1"/>
    </w:lvl>
    <w:lvl w:ilvl="1">
      <w:lvlJc w:val="left"/>
      <w:lvlText w:val="(%2)"/>
      <w:numFmt w:val="lowerLetter"/>
      <w:start w:val="2"/>
    </w:lvl>
  </w:abstractNum>
  <w:abstractNum w:abstractNumId="82">
    <w:nsid w:val="78B5E776"/>
    <w:multiLevelType w:val="hybridMultilevel"/>
    <w:lvl w:ilvl="0">
      <w:lvlJc w:val="left"/>
      <w:lvlText w:val="(%1)"/>
      <w:numFmt w:val="lowerLetter"/>
      <w:start w:val="35"/>
    </w:lvl>
    <w:lvl w:ilvl="1">
      <w:lvlJc w:val="left"/>
      <w:lvlText w:val="%2"/>
      <w:numFmt w:val="lowerLetter"/>
      <w:start w:val="1"/>
    </w:lvl>
  </w:abstractNum>
  <w:abstractNum w:abstractNumId="83">
    <w:nsid w:val="75486E47"/>
    <w:multiLevelType w:val="hybridMultilevel"/>
    <w:lvl w:ilvl="0">
      <w:lvlJc w:val="left"/>
      <w:lvlText w:val="(%1)"/>
      <w:numFmt w:val="lowerLetter"/>
      <w:start w:val="1"/>
    </w:lvl>
  </w:abstractNum>
  <w:abstractNum w:abstractNumId="84">
    <w:nsid w:val="6E534CDE"/>
    <w:multiLevelType w:val="hybridMultilevel"/>
    <w:lvl w:ilvl="0">
      <w:lvlJc w:val="left"/>
      <w:lvlText w:val="(%1)"/>
      <w:numFmt w:val="lowerLetter"/>
      <w:start w:val="1"/>
    </w:lvl>
  </w:abstractNum>
  <w:abstractNum w:abstractNumId="85">
    <w:nsid w:val="1A0DDE32"/>
    <w:multiLevelType w:val="hybridMultilevel"/>
    <w:lvl w:ilvl="0">
      <w:lvlJc w:val="left"/>
      <w:lvlText w:val="(%1)"/>
      <w:numFmt w:val="lowerLetter"/>
      <w:start w:val="1"/>
    </w:lvl>
  </w:abstractNum>
  <w:abstractNum w:abstractNumId="86">
    <w:nsid w:val="65968C1C"/>
    <w:multiLevelType w:val="hybridMultilevel"/>
    <w:lvl w:ilvl="0">
      <w:lvlJc w:val="left"/>
      <w:lvlText w:val="(%1)"/>
      <w:numFmt w:val="lowerLetter"/>
      <w:start w:val="1"/>
    </w:lvl>
  </w:abstractNum>
  <w:abstractNum w:abstractNumId="87">
    <w:nsid w:val="46263DEC"/>
    <w:multiLevelType w:val="hybridMultilevel"/>
    <w:lvl w:ilvl="0">
      <w:lvlJc w:val="left"/>
      <w:lvlText w:val="%1"/>
      <w:numFmt w:val="lowerLetter"/>
      <w:start w:val="1"/>
    </w:lvl>
    <w:lvl w:ilvl="1">
      <w:lvlJc w:val="left"/>
      <w:lvlText w:val="(%2)"/>
      <w:numFmt w:val="lowerLetter"/>
      <w:start w:val="9"/>
    </w:lvl>
  </w:abstractNum>
  <w:abstractNum w:abstractNumId="88">
    <w:nsid w:val="260D8C4A"/>
    <w:multiLevelType w:val="hybridMultilevel"/>
    <w:lvl w:ilvl="0">
      <w:lvlJc w:val="left"/>
      <w:lvlText w:val="(%1)"/>
      <w:numFmt w:val="lowerLetter"/>
      <w:start w:val="35"/>
    </w:lvl>
    <w:lvl w:ilvl="1">
      <w:lvlJc w:val="left"/>
      <w:lvlText w:val="%2"/>
      <w:numFmt w:val="lowerLetter"/>
      <w:start w:val="1"/>
    </w:lvl>
  </w:abstractNum>
  <w:abstractNum w:abstractNumId="89">
    <w:nsid w:val="73D4D3C4"/>
    <w:multiLevelType w:val="hybridMultilevel"/>
    <w:lvl w:ilvl="0">
      <w:lvlJc w:val="left"/>
      <w:lvlText w:val="(%1)"/>
      <w:numFmt w:val="lowerLetter"/>
      <w:start w:val="1"/>
    </w:lvl>
  </w:abstractNum>
  <w:abstractNum w:abstractNumId="90">
    <w:nsid w:val="746F2E30"/>
    <w:multiLevelType w:val="hybridMultilevel"/>
    <w:lvl w:ilvl="0">
      <w:lvlJc w:val="left"/>
      <w:lvlText w:val="(%1)"/>
      <w:numFmt w:val="lowerLetter"/>
      <w:start w:val="1"/>
    </w:lvl>
  </w:abstractNum>
  <w:abstractNum w:abstractNumId="91">
    <w:nsid w:val="6FDE8AF6"/>
    <w:multiLevelType w:val="hybridMultilevel"/>
    <w:lvl w:ilvl="0">
      <w:lvlJc w:val="left"/>
      <w:lvlText w:val="(%1)"/>
      <w:numFmt w:val="lowerLetter"/>
      <w:start w:val="3"/>
    </w:lvl>
  </w:abstractNum>
  <w:abstractNum w:abstractNumId="92">
    <w:nsid w:val="3FC32E20"/>
    <w:multiLevelType w:val="hybridMultilevel"/>
    <w:lvl w:ilvl="0">
      <w:lvlJc w:val="left"/>
      <w:lvlText w:val="(%1)"/>
      <w:numFmt w:val="lowerLetter"/>
      <w:start w:val="1"/>
    </w:lvl>
  </w:abstractNum>
  <w:abstractNum w:abstractNumId="93">
    <w:nsid w:val="49C0E823"/>
    <w:multiLevelType w:val="hybridMultilevel"/>
    <w:lvl w:ilvl="0">
      <w:lvlJc w:val="left"/>
      <w:lvlText w:val="(%1)"/>
      <w:numFmt w:val="lowerLetter"/>
      <w:start w:val="2"/>
    </w:lvl>
  </w:abstractNum>
  <w:abstractNum w:abstractNumId="94">
    <w:nsid w:val="14D53685"/>
    <w:multiLevelType w:val="hybridMultilevel"/>
    <w:lvl w:ilvl="0">
      <w:lvlJc w:val="left"/>
      <w:lvlText w:val="(%1)"/>
      <w:numFmt w:val="lowerLetter"/>
      <w:start w:val="1"/>
    </w:lvl>
    <w:lvl w:ilvl="1">
      <w:lvlJc w:val="left"/>
      <w:lvlText w:val="(%2)"/>
      <w:numFmt w:val="lowerRoman"/>
      <w:start w:val="1"/>
    </w:lvl>
  </w:abstractNum>
  <w:abstractNum w:abstractNumId="95">
    <w:nsid w:val="230F856C"/>
    <w:multiLevelType w:val="hybridMultilevel"/>
    <w:lvl w:ilvl="0">
      <w:lvlJc w:val="left"/>
      <w:lvlText w:val="(%1)"/>
      <w:numFmt w:val="lowerLetter"/>
      <w:start w:val="4"/>
    </w:lvl>
    <w:lvl w:ilvl="1">
      <w:lvlJc w:val="left"/>
      <w:lvlText w:val="(%2)"/>
      <w:numFmt w:val="lowerRoman"/>
      <w:start w:val="1"/>
    </w:lvl>
  </w:abstractNum>
  <w:abstractNum w:abstractNumId="96">
    <w:nsid w:val="6EAA85FB"/>
    <w:multiLevelType w:val="hybridMultilevel"/>
    <w:lvl w:ilvl="0">
      <w:lvlJc w:val="left"/>
      <w:lvlText w:val="%1"/>
      <w:numFmt w:val="lowerLetter"/>
      <w:start w:val="1"/>
    </w:lvl>
    <w:lvl w:ilvl="1">
      <w:lvlJc w:val="left"/>
      <w:lvlText w:val="(%2)"/>
      <w:numFmt w:val="lowerRoman"/>
      <w:start w:val="1"/>
    </w:lvl>
  </w:abstractNum>
  <w:abstractNum w:abstractNumId="97">
    <w:nsid w:val="3F06ECB2"/>
    <w:multiLevelType w:val="hybridMultilevel"/>
    <w:lvl w:ilvl="0">
      <w:lvlJc w:val="left"/>
      <w:lvlText w:val="(%1)"/>
      <w:numFmt w:val="lowerLetter"/>
      <w:start w:val="10"/>
    </w:lvl>
    <w:lvl w:ilvl="1">
      <w:lvlJc w:val="left"/>
      <w:lvlText w:val="%2"/>
      <w:numFmt w:val="lowerRoman"/>
      <w:start w:val="1"/>
    </w:lvl>
  </w:abstractNum>
  <w:abstractNum w:abstractNumId="98">
    <w:nsid w:val="3B594807"/>
    <w:multiLevelType w:val="hybridMultilevel"/>
    <w:lvl w:ilvl="0">
      <w:lvlJc w:val="left"/>
      <w:lvlText w:val="(%1)"/>
      <w:numFmt w:val="lowerLetter"/>
      <w:start w:val="1"/>
    </w:lvl>
  </w:abstractNum>
  <w:abstractNum w:abstractNumId="99">
    <w:nsid w:val="6CAA2304"/>
    <w:multiLevelType w:val="hybridMultilevel"/>
    <w:lvl w:ilvl="0">
      <w:lvlJc w:val="left"/>
      <w:lvlText w:val="(%1)"/>
      <w:numFmt w:val="lowerRoman"/>
      <w:start w:val="10"/>
    </w:lvl>
  </w:abstractNum>
  <w:abstractNum w:abstractNumId="100">
    <w:nsid w:val="3F7C2FF4"/>
    <w:multiLevelType w:val="hybridMultilevel"/>
    <w:lvl w:ilvl="0">
      <w:lvlJc w:val="left"/>
      <w:lvlText w:val="(%1)"/>
      <w:numFmt w:val="lowerLetter"/>
      <w:start w:val="1"/>
    </w:lvl>
  </w:abstractNum>
  <w:abstractNum w:abstractNumId="101">
    <w:nsid w:val="25413BEC"/>
    <w:multiLevelType w:val="hybridMultilevel"/>
    <w:lvl w:ilvl="0">
      <w:lvlJc w:val="left"/>
      <w:lvlText w:val="(%1)"/>
      <w:numFmt w:val="lowerLetter"/>
      <w:start w:val="1"/>
    </w:lvl>
  </w:abstractNum>
  <w:abstractNum w:abstractNumId="102">
    <w:nsid w:val="17180B0B"/>
    <w:multiLevelType w:val="hybridMultilevel"/>
    <w:lvl w:ilvl="0">
      <w:lvlJc w:val="left"/>
      <w:lvlText w:val="%1"/>
      <w:numFmt w:val="lowerLetter"/>
      <w:start w:val="1"/>
    </w:lvl>
    <w:lvl w:ilvl="1">
      <w:lvlJc w:val="left"/>
      <w:lvlText w:val="(%2)"/>
      <w:numFmt w:val="lowerLetter"/>
      <w:start w:val="1"/>
    </w:lvl>
  </w:abstractNum>
  <w:abstractNum w:abstractNumId="103">
    <w:nsid w:val="579328B9"/>
    <w:multiLevelType w:val="hybridMultilevel"/>
    <w:lvl w:ilvl="0">
      <w:lvlJc w:val="left"/>
      <w:lvlText w:val="(%1)"/>
      <w:numFmt w:val="lowerLetter"/>
      <w:start w:val="25"/>
    </w:lvl>
    <w:lvl w:ilvl="1">
      <w:lvlJc w:val="left"/>
      <w:lvlText w:val="(%2)"/>
      <w:numFmt w:val="lowerLetter"/>
      <w:start w:val="3"/>
    </w:lvl>
  </w:abstractNum>
  <w:abstractNum w:abstractNumId="104">
    <w:nsid w:val="5D205E20"/>
    <w:multiLevelType w:val="hybridMultilevel"/>
    <w:lvl w:ilvl="0">
      <w:lvlJc w:val="left"/>
      <w:lvlText w:val="(%1)"/>
      <w:numFmt w:val="lowerLetter"/>
      <w:start w:val="4"/>
    </w:lvl>
  </w:abstractNum>
  <w:abstractNum w:abstractNumId="105">
    <w:nsid w:val="11CCA8BA"/>
    <w:multiLevelType w:val="hybridMultilevel"/>
    <w:lvl w:ilvl="0">
      <w:lvlJc w:val="left"/>
      <w:lvlText w:val="(%1)"/>
      <w:numFmt w:val="lowerLetter"/>
      <w:start w:val="24"/>
    </w:lvl>
  </w:abstractNum>
  <w:abstractNum w:abstractNumId="106">
    <w:nsid w:val="4D32AB86"/>
    <w:multiLevelType w:val="hybridMultilevel"/>
    <w:lvl w:ilvl="0">
      <w:lvlJc w:val="left"/>
      <w:lvlText w:val="(%1)"/>
      <w:numFmt w:val="lowerLetter"/>
      <w:start w:val="1"/>
    </w:lvl>
    <w:lvl w:ilvl="1">
      <w:lvlJc w:val="left"/>
      <w:lvlText w:val="(%2)"/>
      <w:numFmt w:val="lowerLetter"/>
      <w:start w:val="35"/>
    </w:lvl>
  </w:abstractNum>
  <w:abstractNum w:abstractNumId="107">
    <w:nsid w:val="3F07ACC3"/>
    <w:multiLevelType w:val="hybridMultilevel"/>
    <w:lvl w:ilvl="0">
      <w:lvlJc w:val="left"/>
      <w:lvlText w:val="(%1)"/>
      <w:numFmt w:val="lowerLetter"/>
      <w:start w:val="1"/>
    </w:lvl>
  </w:abstractNum>
  <w:abstractNum w:abstractNumId="108">
    <w:nsid w:val="6B47F63E"/>
    <w:multiLevelType w:val="hybridMultilevel"/>
    <w:lvl w:ilvl="0">
      <w:lvlJc w:val="left"/>
      <w:lvlText w:val="(%1)"/>
      <w:numFmt w:val="lowerLetter"/>
      <w:start w:val="1"/>
    </w:lvl>
  </w:abstractNum>
  <w:abstractNum w:abstractNumId="109">
    <w:nsid w:val="5CB44A05"/>
    <w:multiLevelType w:val="hybridMultilevel"/>
    <w:lvl w:ilvl="0">
      <w:lvlJc w:val="left"/>
      <w:lvlText w:val="(%1)"/>
      <w:numFmt w:val="upperLetter"/>
      <w:start w:val="4"/>
    </w:lvl>
    <w:lvl w:ilvl="1">
      <w:lvlJc w:val="left"/>
      <w:lvlText w:val="(%2)"/>
      <w:numFmt w:val="lowerLetter"/>
      <w:start w:val="3"/>
    </w:lvl>
  </w:abstractNum>
  <w:abstractNum w:abstractNumId="110">
    <w:nsid w:val="16CF80F1"/>
    <w:multiLevelType w:val="hybridMultilevel"/>
    <w:lvl w:ilvl="0">
      <w:lvlJc w:val="left"/>
      <w:lvlText w:val="(%1)"/>
      <w:numFmt w:val="lowerLetter"/>
      <w:start w:val="35"/>
    </w:lvl>
    <w:lvl w:ilvl="1">
      <w:lvlJc w:val="left"/>
      <w:lvlText w:val="(%2)"/>
      <w:numFmt w:val="lowerLetter"/>
      <w:start w:val="5"/>
    </w:lvl>
  </w:abstractNum>
  <w:abstractNum w:abstractNumId="111">
    <w:nsid w:val="1C695DEC"/>
    <w:multiLevelType w:val="hybridMultilevel"/>
    <w:lvl w:ilvl="0">
      <w:lvlJc w:val="left"/>
      <w:lvlText w:val="(%1)"/>
      <w:numFmt w:val="lowerLetter"/>
      <w:start w:val="1"/>
    </w:lvl>
  </w:abstractNum>
  <w:abstractNum w:abstractNumId="112">
    <w:nsid w:val="3FCFAED9"/>
    <w:multiLevelType w:val="hybridMultilevel"/>
    <w:lvl w:ilvl="0">
      <w:lvlJc w:val="left"/>
      <w:lvlText w:val="(%1)"/>
      <w:numFmt w:val="lowerLetter"/>
      <w:start w:val="2"/>
    </w:lvl>
  </w:abstractNum>
  <w:abstractNum w:abstractNumId="113">
    <w:nsid w:val="F856867"/>
    <w:multiLevelType w:val="hybridMultilevel"/>
    <w:lvl w:ilvl="0">
      <w:lvlJc w:val="left"/>
      <w:lvlText w:val="(%1)"/>
      <w:numFmt w:val="lowerLetter"/>
      <w:start w:val="1"/>
    </w:lvl>
  </w:abstractNum>
  <w:abstractNum w:abstractNumId="114">
    <w:nsid w:val="11B1CC33"/>
    <w:multiLevelType w:val="hybridMultilevel"/>
    <w:lvl w:ilvl="0">
      <w:lvlJc w:val="left"/>
      <w:lvlText w:val="%1"/>
      <w:numFmt w:val="lowerLetter"/>
      <w:start w:val="1"/>
    </w:lvl>
    <w:lvl w:ilvl="1">
      <w:lvlJc w:val="left"/>
      <w:lvlText w:val="(%2)"/>
      <w:numFmt w:val="lowerLetter"/>
      <w:start w:val="2"/>
    </w:lvl>
  </w:abstractNum>
  <w:abstractNum w:abstractNumId="115">
    <w:nsid w:val="2E22FBB7"/>
    <w:multiLevelType w:val="hybridMultilevel"/>
    <w:lvl w:ilvl="0">
      <w:lvlJc w:val="left"/>
      <w:lvlText w:val="(%1)"/>
      <w:numFmt w:val="lowerLetter"/>
      <w:start w:val="35"/>
    </w:lvl>
    <w:lvl w:ilvl="1">
      <w:lvlJc w:val="left"/>
      <w:lvlText w:val="%2"/>
      <w:numFmt w:val="lowerLetter"/>
      <w:start w:val="1"/>
    </w:lvl>
  </w:abstractNum>
  <w:abstractNum w:abstractNumId="116">
    <w:nsid w:val="29934699"/>
    <w:multiLevelType w:val="hybridMultilevel"/>
    <w:lvl w:ilvl="0">
      <w:lvlJc w:val="left"/>
      <w:lvlText w:val="(%1)"/>
      <w:numFmt w:val="lowerLetter"/>
      <w:start w:val="11"/>
    </w:lvl>
  </w:abstractNum>
  <w:abstractNum w:abstractNumId="117">
    <w:nsid w:val="77485850"/>
    <w:multiLevelType w:val="hybridMultilevel"/>
    <w:lvl w:ilvl="0">
      <w:lvlJc w:val="left"/>
      <w:lvlText w:val="(%1)"/>
      <w:numFmt w:val="lowerLetter"/>
      <w:start w:val="1"/>
    </w:lvl>
  </w:abstractNum>
  <w:abstractNum w:abstractNumId="118">
    <w:nsid w:val="744939A3"/>
    <w:multiLevelType w:val="hybridMultilevel"/>
    <w:lvl w:ilvl="0">
      <w:lvlJc w:val="left"/>
      <w:lvlText w:val="%1"/>
      <w:numFmt w:val="lowerLetter"/>
      <w:start w:val="1"/>
    </w:lvl>
    <w:lvl w:ilvl="1">
      <w:lvlJc w:val="left"/>
      <w:lvlText w:val="(%2)"/>
      <w:numFmt w:val="lowerLetter"/>
      <w:start w:val="5"/>
    </w:lvl>
  </w:abstractNum>
  <w:abstractNum w:abstractNumId="119">
    <w:nsid w:val="4FA0D2E3"/>
    <w:multiLevelType w:val="hybridMultilevel"/>
    <w:lvl w:ilvl="0">
      <w:lvlJc w:val="left"/>
      <w:lvlText w:val="(%1)"/>
      <w:numFmt w:val="lowerLetter"/>
      <w:start w:val="9"/>
    </w:lvl>
    <w:lvl w:ilvl="1">
      <w:lvlJc w:val="left"/>
      <w:lvlText w:val="(%2)"/>
      <w:numFmt w:val="lowerLetter"/>
      <w:start w:val="7"/>
    </w:lvl>
  </w:abstractNum>
  <w:abstractNum w:abstractNumId="120">
    <w:nsid w:val="6B1D2C14"/>
    <w:multiLevelType w:val="hybridMultilevel"/>
    <w:lvl w:ilvl="0">
      <w:lvlJc w:val="left"/>
      <w:lvlText w:val="(%1)"/>
      <w:numFmt w:val="lowerLetter"/>
      <w:start w:val="15"/>
    </w:lvl>
  </w:abstractNum>
  <w:abstractNum w:abstractNumId="121">
    <w:nsid w:val="68B867D3"/>
    <w:multiLevelType w:val="hybridMultilevel"/>
    <w:lvl w:ilvl="0">
      <w:lvlJc w:val="left"/>
      <w:lvlText w:val="(%1)"/>
      <w:numFmt w:val="lowerLetter"/>
      <w:start w:val="1"/>
    </w:lvl>
  </w:abstractNum>
  <w:abstractNum w:abstractNumId="122">
    <w:nsid w:val="3F7F5DD9"/>
    <w:multiLevelType w:val="hybridMultilevel"/>
    <w:lvl w:ilvl="0">
      <w:lvlJc w:val="left"/>
      <w:lvlText w:val="(%1)"/>
      <w:numFmt w:val="lowerLetter"/>
      <w:start w:val="2"/>
    </w:lvl>
  </w:abstractNum>
  <w:abstractNum w:abstractNumId="123">
    <w:nsid w:val="2AE05A34"/>
    <w:multiLevelType w:val="hybridMultilevel"/>
    <w:lvl w:ilvl="0">
      <w:lvlJc w:val="left"/>
      <w:lvlText w:val="(%1)"/>
      <w:numFmt w:val="lowerLetter"/>
      <w:start w:val="1"/>
    </w:lvl>
  </w:abstractNum>
  <w:abstractNum w:abstractNumId="124">
    <w:nsid w:val="32794FF7"/>
    <w:multiLevelType w:val="hybridMultilevel"/>
    <w:lvl w:ilvl="0">
      <w:lvlJc w:val="left"/>
      <w:lvlText w:val="(%1)"/>
      <w:numFmt w:val="lowerLetter"/>
      <w:start w:val="12"/>
    </w:lvl>
  </w:abstractNum>
  <w:abstractNum w:abstractNumId="125">
    <w:nsid w:val="5454945E"/>
    <w:multiLevelType w:val="hybridMultilevel"/>
    <w:lvl w:ilvl="0">
      <w:lvlJc w:val="left"/>
      <w:lvlText w:val="(%1)"/>
      <w:numFmt w:val="lowerLetter"/>
      <w:start w:val="1"/>
    </w:lvl>
  </w:abstractNum>
  <w:abstractNum w:abstractNumId="126">
    <w:nsid w:val="4DEFDFA0"/>
    <w:multiLevelType w:val="hybridMultilevel"/>
    <w:lvl w:ilvl="0">
      <w:lvlJc w:val="left"/>
      <w:lvlText w:val="(%1)"/>
      <w:numFmt w:val="lowerLetter"/>
      <w:start w:val="4"/>
    </w:lvl>
  </w:abstractNum>
  <w:abstractNum w:abstractNumId="127">
    <w:nsid w:val="2123D5F2"/>
    <w:multiLevelType w:val="hybridMultilevel"/>
    <w:lvl w:ilvl="0">
      <w:lvlJc w:val="left"/>
      <w:lvlText w:val="(%1)"/>
      <w:numFmt w:val="lowerLetter"/>
      <w:start w:val="1"/>
    </w:lvl>
  </w:abstractNum>
  <w:abstractNum w:abstractNumId="128">
    <w:nsid w:val="135B8110"/>
    <w:multiLevelType w:val="hybridMultilevel"/>
    <w:lvl w:ilvl="0">
      <w:lvlJc w:val="left"/>
      <w:lvlText w:val="(%1)"/>
      <w:numFmt w:val="lowerLetter"/>
      <w:start w:val="7"/>
    </w:lvl>
    <w:lvl w:ilvl="1">
      <w:lvlJc w:val="left"/>
      <w:lvlText w:val="(%2)"/>
      <w:numFmt w:val="lowerRoman"/>
      <w:start w:val="1"/>
    </w:lvl>
  </w:abstractNum>
  <w:abstractNum w:abstractNumId="129">
    <w:nsid w:val="94927A8"/>
    <w:multiLevelType w:val="hybridMultilevel"/>
    <w:lvl w:ilvl="0">
      <w:lvlJc w:val="left"/>
      <w:lvlText w:val="(%1)"/>
      <w:numFmt w:val="lowerRoman"/>
      <w:start w:val="4"/>
    </w:lvl>
  </w:abstractNum>
  <w:abstractNum w:abstractNumId="130">
    <w:nsid w:val="DCDF8F6"/>
    <w:multiLevelType w:val="hybridMultilevel"/>
    <w:lvl w:ilvl="0">
      <w:lvlJc w:val="left"/>
      <w:lvlText w:val="(%1)"/>
      <w:numFmt w:val="lowerLetter"/>
      <w:start w:val="15"/>
    </w:lvl>
  </w:abstractNum>
  <w:abstractNum w:abstractNumId="131">
    <w:nsid w:val="52D7B105"/>
    <w:multiLevelType w:val="hybridMultilevel"/>
    <w:lvl w:ilvl="0">
      <w:lvlJc w:val="left"/>
      <w:lvlText w:val="(%1)"/>
      <w:numFmt w:val="lowerLetter"/>
      <w:start w:val="1"/>
    </w:lvl>
  </w:abstractNum>
  <w:abstractNum w:abstractNumId="132">
    <w:nsid w:val="2E8A6394"/>
    <w:multiLevelType w:val="hybridMultilevel"/>
    <w:lvl w:ilvl="0">
      <w:lvlJc w:val="left"/>
      <w:lvlText w:val="(%1)"/>
      <w:numFmt w:val="lowerLetter"/>
      <w:start w:val="6"/>
    </w:lvl>
  </w:abstractNum>
  <w:abstractNum w:abstractNumId="133">
    <w:nsid w:val="24E60401"/>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35"/>
    </w:lvl>
  </w:abstractNum>
  <w:abstractNum w:abstractNumId="134">
    <w:nsid w:val="2A6AD9BE"/>
    <w:multiLevelType w:val="hybridMultilevel"/>
    <w:lvl w:ilvl="0">
      <w:lvlJc w:val="left"/>
      <w:lvlText w:val="(%1)"/>
      <w:numFmt w:val="lowerLetter"/>
      <w:start w:val="9"/>
    </w:lvl>
    <w:lvl w:ilvl="1">
      <w:lvlJc w:val="left"/>
      <w:lvlText w:val="(%2)"/>
      <w:numFmt w:val="lowerLetter"/>
      <w:start w:val="13"/>
    </w:lvl>
    <w:lvl w:ilvl="2">
      <w:lvlJc w:val="left"/>
      <w:lvlText w:val="%3"/>
      <w:numFmt w:val="lowerLetter"/>
      <w:start w:val="1"/>
    </w:lvl>
  </w:abstractNum>
  <w:abstractNum w:abstractNumId="135">
    <w:nsid w:val="BAAC1B4"/>
    <w:multiLevelType w:val="hybridMultilevel"/>
    <w:lvl w:ilvl="0">
      <w:lvlJc w:val="left"/>
      <w:lvlText w:val="(%1)"/>
      <w:numFmt w:val="lowerLetter"/>
      <w:start w:val="1"/>
    </w:lvl>
  </w:abstractNum>
  <w:abstractNum w:abstractNumId="136">
    <w:nsid w:val="36B2ACBC"/>
    <w:multiLevelType w:val="hybridMultilevel"/>
    <w:lvl w:ilvl="0">
      <w:lvlJc w:val="left"/>
      <w:lvlText w:val="(%1)"/>
      <w:numFmt w:val="lowerLetter"/>
      <w:start w:val="3"/>
    </w:lvl>
  </w:abstractNum>
  <w:abstractNum w:abstractNumId="137">
    <w:nsid w:val="779D8544"/>
    <w:multiLevelType w:val="hybridMultilevel"/>
    <w:lvl w:ilvl="0">
      <w:lvlJc w:val="left"/>
      <w:lvlText w:val="(%1)"/>
      <w:numFmt w:val="lowerLetter"/>
      <w:start w:val="1"/>
    </w:lvl>
  </w:abstractNum>
  <w:abstractNum w:abstractNumId="138">
    <w:nsid w:val="4AB26E78"/>
    <w:multiLevelType w:val="hybridMultilevel"/>
    <w:lvl w:ilvl="0">
      <w:lvlJc w:val="left"/>
      <w:lvlText w:val="(%1)"/>
      <w:numFmt w:val="lowerLetter"/>
      <w:start w:val="1"/>
    </w:lvl>
  </w:abstractNum>
  <w:abstractNum w:abstractNumId="139">
    <w:nsid w:val="21FAA2FA"/>
    <w:multiLevelType w:val="hybridMultilevel"/>
    <w:lvl w:ilvl="0">
      <w:lvlJc w:val="left"/>
      <w:lvlText w:val="(%1)"/>
      <w:numFmt w:val="lowerLetter"/>
      <w:start w:val="1"/>
    </w:lvl>
  </w:abstractNum>
  <w:abstractNum w:abstractNumId="140">
    <w:nsid w:val="5451CF4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41">
    <w:nsid w:val="6181EF69"/>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142">
    <w:nsid w:val="3E6400E6"/>
    <w:multiLevelType w:val="hybridMultilevel"/>
    <w:lvl w:ilvl="0">
      <w:lvlJc w:val="left"/>
      <w:lvlText w:val="(%1)"/>
      <w:numFmt w:val="lowerRoman"/>
      <w:start w:val="3"/>
    </w:lvl>
  </w:abstractNum>
  <w:abstractNum w:abstractNumId="143">
    <w:nsid w:val="14217E23"/>
    <w:multiLevelType w:val="hybridMultilevel"/>
    <w:lvl w:ilvl="0">
      <w:lvlJc w:val="left"/>
      <w:lvlText w:val="(%1)"/>
      <w:numFmt w:val="lowerLetter"/>
      <w:start w:val="2"/>
    </w:lvl>
  </w:abstractNum>
  <w:abstractNum w:abstractNumId="144">
    <w:nsid w:val="710757D0"/>
    <w:multiLevelType w:val="hybridMultilevel"/>
    <w:lvl w:ilvl="0">
      <w:lvlJc w:val="left"/>
      <w:lvlText w:val="(%1)"/>
      <w:numFmt w:val="lowerLetter"/>
      <w:start w:val="1"/>
    </w:lvl>
  </w:abstractNum>
  <w:abstractNum w:abstractNumId="145">
    <w:nsid w:val="5015CD1A"/>
    <w:multiLevelType w:val="hybridMultilevel"/>
    <w:lvl w:ilvl="0">
      <w:lvlJc w:val="left"/>
      <w:lvlText w:val="%1"/>
      <w:numFmt w:val="upperLetter"/>
      <w:start w:val="1"/>
    </w:lvl>
    <w:lvl w:ilvl="1">
      <w:lvlJc w:val="left"/>
      <w:lvlText w:val="(%2)"/>
      <w:numFmt w:val="lowerLetter"/>
      <w:start w:val="1"/>
    </w:lvl>
  </w:abstractNum>
  <w:abstractNum w:abstractNumId="146">
    <w:nsid w:val="424479DA"/>
    <w:multiLevelType w:val="hybridMultilevel"/>
    <w:lvl w:ilvl="0">
      <w:lvlJc w:val="left"/>
      <w:lvlText w:val="(%1)"/>
      <w:numFmt w:val="upperLetter"/>
      <w:start w:val="4"/>
    </w:lvl>
    <w:lvl w:ilvl="1">
      <w:lvlJc w:val="left"/>
      <w:lvlText w:val="%2"/>
      <w:numFmt w:val="lowerLetter"/>
      <w:start w:val="1"/>
    </w:lvl>
  </w:abstractNum>
  <w:abstractNum w:abstractNumId="147">
    <w:nsid w:val="1A9A9E69"/>
    <w:multiLevelType w:val="hybridMultilevel"/>
    <w:lvl w:ilvl="0">
      <w:lvlJc w:val="left"/>
      <w:lvlText w:val="(%1)"/>
      <w:numFmt w:val="lowerLetter"/>
      <w:start w:val="2"/>
    </w:lvl>
    <w:lvl w:ilvl="1">
      <w:lvlJc w:val="left"/>
      <w:lvlText w:val="(%2)"/>
      <w:numFmt w:val="lowerRoman"/>
      <w:start w:val="1"/>
    </w:lvl>
  </w:abstractNum>
  <w:abstractNum w:abstractNumId="148">
    <w:nsid w:val="475E256A"/>
    <w:multiLevelType w:val="hybridMultilevel"/>
    <w:lvl w:ilvl="0">
      <w:lvlJc w:val="left"/>
      <w:lvlText w:val="(%1)"/>
      <w:numFmt w:val="lowerLetter"/>
      <w:start w:val="3"/>
    </w:lvl>
  </w:abstractNum>
  <w:abstractNum w:abstractNumId="149">
    <w:nsid w:val="368DB37E"/>
    <w:multiLevelType w:val="hybridMultilevel"/>
    <w:lvl w:ilvl="0">
      <w:lvlJc w:val="left"/>
      <w:lvlText w:val="(%1)"/>
      <w:numFmt w:val="lowerLetter"/>
      <w:start w:val="1"/>
    </w:lvl>
  </w:abstractNum>
  <w:abstractNum w:abstractNumId="150">
    <w:nsid w:val="6A3B714C"/>
    <w:multiLevelType w:val="hybridMultilevel"/>
    <w:lvl w:ilvl="0">
      <w:lvlJc w:val="left"/>
      <w:lvlText w:val="(%1)"/>
      <w:numFmt w:val="lowerLetter"/>
      <w:start w:val="2"/>
    </w:lvl>
    <w:lvl w:ilvl="1">
      <w:lvlJc w:val="left"/>
      <w:lvlText w:val="(%2)"/>
      <w:numFmt w:val="lowerLetter"/>
      <w:start w:val="35"/>
    </w:lvl>
  </w:abstractNum>
  <w:abstractNum w:abstractNumId="151">
    <w:nsid w:val="327B517E"/>
    <w:multiLevelType w:val="hybridMultilevel"/>
    <w:lvl w:ilvl="0">
      <w:lvlJc w:val="left"/>
      <w:lvlText w:val="(%1)"/>
      <w:numFmt w:val="lowerLetter"/>
      <w:start w:val="1"/>
    </w:lvl>
  </w:abstractNum>
  <w:abstractNum w:abstractNumId="152">
    <w:nsid w:val="1F461B51"/>
    <w:multiLevelType w:val="hybridMultilevel"/>
    <w:lvl w:ilvl="0">
      <w:lvlJc w:val="left"/>
      <w:lvlText w:val="%1"/>
      <w:numFmt w:val="lowerLetter"/>
      <w:start w:val="1"/>
    </w:lvl>
    <w:lvl w:ilvl="1">
      <w:lvlJc w:val="left"/>
      <w:lvlText w:val="(%2)"/>
      <w:numFmt w:val="lowerLetter"/>
      <w:start w:val="2"/>
    </w:lvl>
  </w:abstractNum>
  <w:abstractNum w:abstractNumId="153">
    <w:nsid w:val="29BACF25"/>
    <w:multiLevelType w:val="hybridMultilevel"/>
    <w:lvl w:ilvl="0">
      <w:lvlJc w:val="left"/>
      <w:lvlText w:val="(%1)"/>
      <w:numFmt w:val="lowerLetter"/>
      <w:start w:val="9"/>
    </w:lvl>
    <w:lvl w:ilvl="1">
      <w:lvlJc w:val="left"/>
      <w:lvlText w:val="(%2)"/>
      <w:numFmt w:val="lowerLetter"/>
      <w:start w:val="3"/>
    </w:lvl>
  </w:abstractNum>
  <w:abstractNum w:abstractNumId="154">
    <w:nsid w:val="5D5BABB3"/>
    <w:multiLevelType w:val="hybridMultilevel"/>
    <w:lvl w:ilvl="0">
      <w:lvlJc w:val="left"/>
      <w:lvlText w:val="(%1)"/>
      <w:numFmt w:val="lowerLetter"/>
      <w:start w:val="4"/>
    </w:lvl>
  </w:abstractNum>
  <w:abstractNum w:abstractNumId="155">
    <w:nsid w:val="51BF6B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6">
    <w:nsid w:val="7E0F638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57">
    <w:nsid w:val="2B4B8B5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58">
    <w:nsid w:val="72E3413A"/>
    <w:multiLevelType w:val="hybridMultilevel"/>
    <w:lvl w:ilvl="0">
      <w:lvlJc w:val="left"/>
      <w:lvlText w:val="(%1)"/>
      <w:numFmt w:val="lowerLetter"/>
      <w:start w:val="25"/>
    </w:lvl>
    <w:lvl w:ilvl="1">
      <w:lvlJc w:val="left"/>
      <w:lvlText w:val="(%2)"/>
      <w:numFmt w:val="lowerRoman"/>
      <w:start w:val="3"/>
    </w:lvl>
    <w:lvl w:ilvl="2">
      <w:lvlJc w:val="left"/>
      <w:lvlText w:val="(%3)"/>
      <w:numFmt w:val="upperLetter"/>
      <w:start w:val="2"/>
    </w:lvl>
  </w:abstractNum>
  <w:abstractNum w:abstractNumId="159">
    <w:nsid w:val="116AE494"/>
    <w:multiLevelType w:val="hybridMultilevel"/>
    <w:lvl w:ilvl="0">
      <w:lvlJc w:val="left"/>
      <w:lvlText w:val="(%1)"/>
      <w:numFmt w:val="lowerRoman"/>
      <w:start w:val="7"/>
    </w:lvl>
  </w:abstractNum>
  <w:abstractNum w:abstractNumId="160">
    <w:nsid w:val="3494B2FB"/>
    <w:multiLevelType w:val="hybridMultilevel"/>
    <w:lvl w:ilvl="0">
      <w:lvlJc w:val="left"/>
      <w:lvlText w:val="%1"/>
      <w:numFmt w:val="lowerLetter"/>
      <w:start w:val="1"/>
    </w:lvl>
    <w:lvl w:ilvl="1">
      <w:lvlJc w:val="left"/>
      <w:lvlText w:val="(%2)"/>
      <w:numFmt w:val="lowerLetter"/>
      <w:start w:val="3"/>
    </w:lvl>
  </w:abstractNum>
  <w:abstractNum w:abstractNumId="161">
    <w:nsid w:val="B13A31"/>
    <w:multiLevelType w:val="hybridMultilevel"/>
    <w:lvl w:ilvl="0">
      <w:lvlJc w:val="left"/>
      <w:lvlText w:val="(%1)"/>
      <w:numFmt w:val="lowerLetter"/>
      <w:start w:val="9"/>
    </w:lvl>
    <w:lvl w:ilvl="1">
      <w:lvlJc w:val="left"/>
      <w:lvlText w:val="%2"/>
      <w:numFmt w:val="lowerLetter"/>
      <w:start w:val="1"/>
    </w:lvl>
  </w:abstractNum>
  <w:abstractNum w:abstractNumId="162">
    <w:nsid w:val="64429599"/>
    <w:multiLevelType w:val="hybridMultilevel"/>
    <w:lvl w:ilvl="0">
      <w:lvlJc w:val="left"/>
      <w:lvlText w:val="(%1)"/>
      <w:numFmt w:val="lowerLetter"/>
      <w:start w:val="5"/>
    </w:lvl>
  </w:abstractNum>
  <w:abstractNum w:abstractNumId="163">
    <w:nsid w:val="631F1690"/>
    <w:multiLevelType w:val="hybridMultilevel"/>
    <w:lvl w:ilvl="0">
      <w:lvlJc w:val="left"/>
      <w:lvlText w:val="(%1)"/>
      <w:numFmt w:val="lowerLetter"/>
      <w:start w:val="1"/>
    </w:lvl>
  </w:abstractNum>
  <w:abstractNum w:abstractNumId="164">
    <w:nsid w:val="25973E32"/>
    <w:multiLevelType w:val="hybridMultilevel"/>
    <w:lvl w:ilvl="0">
      <w:lvlJc w:val="left"/>
      <w:lvlText w:val="(%1)"/>
      <w:numFmt w:val="lowerLetter"/>
      <w:start w:val="2"/>
    </w:lvl>
  </w:abstractNum>
  <w:abstractNum w:abstractNumId="165">
    <w:nsid w:val="EAD6F57"/>
    <w:multiLevelType w:val="hybridMultilevel"/>
    <w:lvl w:ilvl="0">
      <w:lvlJc w:val="left"/>
      <w:lvlText w:val="(%1)"/>
      <w:numFmt w:val="lowerLetter"/>
      <w:start w:val="1"/>
    </w:lvl>
  </w:abstractNum>
  <w:abstractNum w:abstractNumId="166">
    <w:nsid w:val="6EC9D844"/>
    <w:multiLevelType w:val="hybridMultilevel"/>
    <w:lvl w:ilvl="0">
      <w:lvlJc w:val="left"/>
      <w:lvlText w:val="(%1)"/>
      <w:numFmt w:val="lowerLetter"/>
      <w:start w:val="1"/>
    </w:lvl>
  </w:abstractNum>
  <w:abstractNum w:abstractNumId="167">
    <w:nsid w:val="5C49EAEE"/>
    <w:multiLevelType w:val="hybridMultilevel"/>
    <w:lvl w:ilvl="0">
      <w:lvlJc w:val="left"/>
      <w:lvlText w:val="(%1)"/>
      <w:numFmt w:val="lowerLetter"/>
      <w:start w:val="3"/>
    </w:lvl>
  </w:abstractNum>
  <w:abstractNum w:abstractNumId="168">
    <w:nsid w:val="64AF49B"/>
    <w:multiLevelType w:val="hybridMultilevel"/>
    <w:lvl w:ilvl="0">
      <w:lvlJc w:val="left"/>
      <w:lvlText w:val="(%1)"/>
      <w:numFmt w:val="lowerLetter"/>
      <w:start w:val="1"/>
    </w:lvl>
  </w:abstractNum>
  <w:abstractNum w:abstractNumId="169">
    <w:nsid w:val="397C46BC"/>
    <w:multiLevelType w:val="hybridMultilevel"/>
    <w:lvl w:ilvl="0">
      <w:lvlJc w:val="left"/>
      <w:lvlText w:val="(%1)"/>
      <w:numFmt w:val="lowerLetter"/>
      <w:start w:val="1"/>
    </w:lvl>
  </w:abstractNum>
  <w:abstractNum w:abstractNumId="170">
    <w:nsid w:val="7E448DE9"/>
    <w:multiLevelType w:val="hybridMultilevel"/>
    <w:lvl w:ilvl="0">
      <w:lvlJc w:val="left"/>
      <w:lvlText w:val="(%1)"/>
      <w:numFmt w:val="lowerLetter"/>
      <w:start w:val="2"/>
    </w:lvl>
  </w:abstractNum>
  <w:abstractNum w:abstractNumId="171">
    <w:nsid w:val="5A9CC3E5"/>
    <w:multiLevelType w:val="hybridMultilevel"/>
    <w:lvl w:ilvl="0">
      <w:lvlJc w:val="left"/>
      <w:lvlText w:val="(%1)"/>
      <w:numFmt w:val="lowerLetter"/>
      <w:start w:val="1"/>
    </w:lvl>
  </w:abstractNum>
  <w:abstractNum w:abstractNumId="172">
    <w:nsid w:val="1AFE3625"/>
    <w:multiLevelType w:val="hybridMultilevel"/>
    <w:lvl w:ilvl="0">
      <w:lvlJc w:val="left"/>
      <w:lvlText w:val="(%1)"/>
      <w:numFmt w:val="lowerLetter"/>
      <w:start w:val="1"/>
    </w:lvl>
  </w:abstractNum>
  <w:abstractNum w:abstractNumId="173">
    <w:nsid w:val="3CA88ECF"/>
    <w:multiLevelType w:val="hybridMultilevel"/>
    <w:lvl w:ilvl="0">
      <w:lvlJc w:val="left"/>
      <w:lvlText w:val="(%1)"/>
      <w:numFmt w:val="lowerLetter"/>
      <w:start w:val="3"/>
    </w:lvl>
  </w:abstractNum>
  <w:abstractNum w:abstractNumId="174">
    <w:nsid w:val="6EBE4208"/>
    <w:multiLevelType w:val="hybridMultilevel"/>
    <w:lvl w:ilvl="0">
      <w:lvlJc w:val="left"/>
      <w:lvlText w:val="(%1)"/>
      <w:numFmt w:val="lowerLetter"/>
      <w:start w:val="1"/>
    </w:lvl>
  </w:abstractNum>
  <w:abstractNum w:abstractNumId="175">
    <w:nsid w:val="C058DF5"/>
    <w:multiLevelType w:val="hybridMultilevel"/>
    <w:lvl w:ilvl="0">
      <w:lvlJc w:val="left"/>
      <w:lvlText w:val="(%1)"/>
      <w:numFmt w:val="lowerLetter"/>
      <w:start w:val="2"/>
    </w:lvl>
  </w:abstractNum>
  <w:abstractNum w:abstractNumId="176">
    <w:nsid w:val="CBE5BE9"/>
    <w:multiLevelType w:val="hybridMultilevel"/>
    <w:lvl w:ilvl="0">
      <w:lvlJc w:val="left"/>
      <w:lvlText w:val="(%1)"/>
      <w:numFmt w:val="lowerLetter"/>
      <w:start w:val="10"/>
    </w:lvl>
  </w:abstractNum>
  <w:abstractNum w:abstractNumId="177">
    <w:nsid w:val="3102BBE2"/>
    <w:multiLevelType w:val="hybridMultilevel"/>
    <w:lvl w:ilvl="0">
      <w:lvlJc w:val="left"/>
      <w:lvlText w:val="(%1)"/>
      <w:numFmt w:val="lowerLetter"/>
      <w:start w:val="8"/>
    </w:lvl>
  </w:abstractNum>
  <w:abstractNum w:abstractNumId="178">
    <w:nsid w:val="26A02C5E"/>
    <w:multiLevelType w:val="hybridMultilevel"/>
    <w:lvl w:ilvl="0">
      <w:lvlJc w:val="left"/>
      <w:lvlText w:val="(%1)"/>
      <w:numFmt w:val="lowerLetter"/>
      <w:start w:val="1"/>
    </w:lvl>
    <w:lvl w:ilvl="1">
      <w:lvlJc w:val="left"/>
      <w:lvlText w:val="(%2)"/>
      <w:numFmt w:val="lowerLetter"/>
      <w:start w:val="9"/>
    </w:lvl>
  </w:abstractNum>
  <w:abstractNum w:abstractNumId="179">
    <w:nsid w:val="541C8153"/>
    <w:multiLevelType w:val="hybridMultilevel"/>
    <w:lvl w:ilvl="0">
      <w:lvlJc w:val="left"/>
      <w:lvlText w:val="%1"/>
      <w:numFmt w:val="lowerLetter"/>
      <w:start w:val="1"/>
    </w:lvl>
    <w:lvl w:ilvl="1">
      <w:lvlJc w:val="left"/>
      <w:lvlText w:val="(%2)"/>
      <w:numFmt w:val="lowerLetter"/>
      <w:start w:val="35"/>
    </w:lvl>
  </w:abstractNum>
  <w:abstractNum w:abstractNumId="180">
    <w:nsid w:val="67906F60"/>
    <w:multiLevelType w:val="hybridMultilevel"/>
    <w:lvl w:ilvl="0">
      <w:lvlJc w:val="left"/>
      <w:lvlText w:val="(%1)"/>
      <w:numFmt w:val="lowerLetter"/>
      <w:start w:val="2"/>
    </w:lvl>
    <w:lvl w:ilvl="1">
      <w:lvlJc w:val="left"/>
      <w:lvlText w:val="%2"/>
      <w:numFmt w:val="lowerLetter"/>
      <w:start w:val="1"/>
    </w:lvl>
  </w:abstractNum>
  <w:abstractNum w:abstractNumId="181">
    <w:nsid w:val="10DB9DAA"/>
    <w:multiLevelType w:val="hybridMultilevel"/>
    <w:lvl w:ilvl="0">
      <w:lvlJc w:val="left"/>
      <w:lvlText w:val="(%1)"/>
      <w:numFmt w:val="lowerLetter"/>
      <w:start w:val="1"/>
    </w:lvl>
  </w:abstractNum>
  <w:abstractNum w:abstractNumId="182">
    <w:nsid w:val="697D2D2"/>
    <w:multiLevelType w:val="hybridMultilevel"/>
    <w:lvl w:ilvl="0">
      <w:lvlJc w:val="left"/>
      <w:lvlText w:val="(%1)"/>
      <w:numFmt w:val="lowerLetter"/>
      <w:start w:val="4"/>
    </w:lvl>
  </w:abstractNum>
  <w:abstractNum w:abstractNumId="183">
    <w:nsid w:val="6D68AB2"/>
    <w:multiLevelType w:val="hybridMultilevel"/>
    <w:lvl w:ilvl="0">
      <w:lvlJc w:val="left"/>
      <w:lvlText w:val="(%1)"/>
      <w:numFmt w:val="lowerLetter"/>
      <w:start w:val="1"/>
    </w:lvl>
  </w:abstractNum>
  <w:abstractNum w:abstractNumId="184">
    <w:nsid w:val="3A966CD0"/>
    <w:multiLevelType w:val="hybridMultilevel"/>
    <w:lvl w:ilvl="0">
      <w:lvlJc w:val="left"/>
      <w:lvlText w:val="(%1)"/>
      <w:numFmt w:val="lowerLetter"/>
      <w:start w:val="9"/>
    </w:lvl>
  </w:abstractNum>
  <w:abstractNum w:abstractNumId="185">
    <w:nsid w:val="63F37E85"/>
    <w:multiLevelType w:val="hybridMultilevel"/>
    <w:lvl w:ilvl="0">
      <w:lvlJc w:val="left"/>
      <w:lvlText w:val="(%1)"/>
      <w:numFmt w:val="lowerLetter"/>
      <w:start w:val="12"/>
    </w:lvl>
  </w:abstractNum>
  <w:abstractNum w:abstractNumId="186">
    <w:nsid w:val="5895F5FA"/>
    <w:multiLevelType w:val="hybridMultilevel"/>
    <w:lvl w:ilvl="0">
      <w:lvlJc w:val="left"/>
      <w:lvlText w:val="(%1)"/>
      <w:numFmt w:val="lowerLetter"/>
      <w:start w:val="1"/>
    </w:lvl>
  </w:abstractNum>
  <w:abstractNum w:abstractNumId="187">
    <w:nsid w:val="38A5D054"/>
    <w:multiLevelType w:val="hybridMultilevel"/>
    <w:lvl w:ilvl="0">
      <w:lvlJc w:val="left"/>
      <w:lvlText w:val="(%1)"/>
      <w:numFmt w:val="lowerLetter"/>
      <w:start w:val="2"/>
    </w:lvl>
  </w:abstractNum>
  <w:abstractNum w:abstractNumId="188">
    <w:nsid w:val="F3F09D8"/>
    <w:multiLevelType w:val="hybridMultilevel"/>
    <w:lvl w:ilvl="0">
      <w:lvlJc w:val="left"/>
      <w:lvlText w:val="(%1)"/>
      <w:numFmt w:val="lowerLetter"/>
      <w:start w:val="35"/>
    </w:lvl>
    <w:lvl w:ilvl="1">
      <w:lvlJc w:val="left"/>
      <w:lvlText w:val="(%2)"/>
      <w:numFmt w:val="lowerLetter"/>
      <w:start w:val="5"/>
    </w:lvl>
  </w:abstractNum>
  <w:abstractNum w:abstractNumId="189">
    <w:nsid w:val="4B793735"/>
    <w:multiLevelType w:val="hybridMultilevel"/>
    <w:lvl w:ilvl="0">
      <w:lvlJc w:val="left"/>
      <w:lvlText w:val="(%1)"/>
      <w:numFmt w:val="lowerLetter"/>
      <w:start w:val="6"/>
    </w:lvl>
  </w:abstractNum>
  <w:abstractNum w:abstractNumId="190">
    <w:nsid w:val="4A10B4E8"/>
    <w:multiLevelType w:val="hybridMultilevel"/>
    <w:lvl w:ilvl="0">
      <w:lvlJc w:val="left"/>
      <w:lvlText w:val="(%1)"/>
      <w:numFmt w:val="lowerLetter"/>
      <w:start w:val="1"/>
    </w:lvl>
  </w:abstractNum>
  <w:abstractNum w:abstractNumId="191">
    <w:nsid w:val="43D3BCD4"/>
    <w:multiLevelType w:val="hybridMultilevel"/>
    <w:lvl w:ilvl="0">
      <w:lvlJc w:val="left"/>
      <w:lvlText w:val="(%1)"/>
      <w:numFmt w:val="lowerLetter"/>
      <w:start w:val="2"/>
    </w:lvl>
  </w:abstractNum>
  <w:abstractNum w:abstractNumId="192">
    <w:nsid w:val="4C2A7166"/>
    <w:multiLevelType w:val="hybridMultilevel"/>
    <w:lvl w:ilvl="0">
      <w:lvlJc w:val="left"/>
      <w:lvlText w:val="(%1)"/>
      <w:numFmt w:val="lowerLetter"/>
      <w:start w:val="1"/>
    </w:lvl>
  </w:abstractNum>
  <w:abstractNum w:abstractNumId="193">
    <w:nsid w:val="2E534A82"/>
    <w:multiLevelType w:val="hybridMultilevel"/>
    <w:lvl w:ilvl="0">
      <w:lvlJc w:val="left"/>
      <w:lvlText w:val="(%1)"/>
      <w:numFmt w:val="lowerLetter"/>
      <w:start w:val="1"/>
    </w:lvl>
  </w:abstractNum>
  <w:abstractNum w:abstractNumId="194">
    <w:nsid w:val="26F2D364"/>
    <w:multiLevelType w:val="hybridMultilevel"/>
    <w:lvl w:ilvl="0">
      <w:lvlJc w:val="left"/>
      <w:lvlText w:val="(%1)"/>
      <w:numFmt w:val="lowerRoman"/>
      <w:start w:val="1"/>
    </w:lvl>
  </w:abstractNum>
  <w:abstractNum w:abstractNumId="195">
    <w:nsid w:val="71C1AF98"/>
    <w:multiLevelType w:val="hybridMultilevel"/>
    <w:lvl w:ilvl="0">
      <w:lvlJc w:val="left"/>
      <w:lvlText w:val="(%1)"/>
      <w:numFmt w:val="lowerLetter"/>
      <w:start w:val="1"/>
    </w:lvl>
  </w:abstractNum>
  <w:abstractNum w:abstractNumId="196">
    <w:nsid w:val="3D00B9D9"/>
    <w:multiLevelType w:val="hybridMultilevel"/>
    <w:lvl w:ilvl="0">
      <w:lvlJc w:val="left"/>
      <w:lvlText w:val="(%1)"/>
      <w:numFmt w:val="lowerLetter"/>
      <w:start w:val="3"/>
    </w:lvl>
  </w:abstractNum>
  <w:abstractNum w:abstractNumId="197">
    <w:nsid w:val="15BCABA8"/>
    <w:multiLevelType w:val="hybridMultilevel"/>
    <w:lvl w:ilvl="0">
      <w:lvlJc w:val="left"/>
      <w:lvlText w:val="(%1)"/>
      <w:numFmt w:val="lowerLetter"/>
      <w:start w:val="1"/>
    </w:lvl>
  </w:abstractNum>
  <w:abstractNum w:abstractNumId="198">
    <w:nsid w:val="4E0B9A87"/>
    <w:multiLevelType w:val="hybridMultilevel"/>
    <w:lvl w:ilvl="0">
      <w:lvlJc w:val="left"/>
      <w:lvlText w:val="(%1)"/>
      <w:numFmt w:val="lowerLetter"/>
      <w:start w:val="1"/>
    </w:lvl>
  </w:abstractNum>
  <w:abstractNum w:abstractNumId="199">
    <w:nsid w:val="434BAE75"/>
    <w:multiLevelType w:val="hybridMultilevel"/>
    <w:lvl w:ilvl="0">
      <w:lvlJc w:val="left"/>
      <w:lvlText w:val="(%1)"/>
      <w:numFmt w:val="lowerLetter"/>
      <w:start w:val="8"/>
    </w:lvl>
  </w:abstractNum>
  <w:abstractNum w:abstractNumId="200">
    <w:nsid w:val="4F38F265"/>
    <w:multiLevelType w:val="hybridMultilevel"/>
    <w:lvl w:ilvl="0">
      <w:lvlJc w:val="left"/>
      <w:lvlText w:val="(%1)"/>
      <w:numFmt w:val="lowerLetter"/>
      <w:start w:val="1"/>
    </w:lvl>
  </w:abstractNum>
  <w:abstractNum w:abstractNumId="201">
    <w:nsid w:val="4C502870"/>
    <w:multiLevelType w:val="hybridMultilevel"/>
    <w:lvl w:ilvl="0">
      <w:lvlJc w:val="left"/>
      <w:lvlText w:val="(%1)"/>
      <w:numFmt w:val="lowerLetter"/>
      <w:start w:val="1"/>
    </w:lvl>
  </w:abstractNum>
  <w:abstractNum w:abstractNumId="202">
    <w:nsid w:val="1DE8725A"/>
    <w:multiLevelType w:val="hybridMultilevel"/>
    <w:lvl w:ilvl="0">
      <w:lvlJc w:val="left"/>
      <w:lvlText w:val="(%1)"/>
      <w:numFmt w:val="lowerLetter"/>
      <w:start w:val="1"/>
    </w:lvl>
  </w:abstractNum>
  <w:abstractNum w:abstractNumId="203">
    <w:nsid w:val="6A37288A"/>
    <w:multiLevelType w:val="hybridMultilevel"/>
    <w:lvl w:ilvl="0">
      <w:lvlJc w:val="left"/>
      <w:lvlText w:val="(%1)"/>
      <w:numFmt w:val="lowerLetter"/>
      <w:start w:val="1"/>
    </w:lvl>
  </w:abstractNum>
  <w:abstractNum w:abstractNumId="204">
    <w:nsid w:val="8F8B73F"/>
    <w:multiLevelType w:val="hybridMultilevel"/>
    <w:lvl w:ilvl="0">
      <w:lvlJc w:val="left"/>
      <w:lvlText w:val="(%1)"/>
      <w:numFmt w:val="lowerLetter"/>
      <w:start w:val="4"/>
    </w:lvl>
  </w:abstractNum>
  <w:abstractNum w:abstractNumId="205">
    <w:nsid w:val="CA6B462"/>
    <w:multiLevelType w:val="hybridMultilevel"/>
    <w:lvl w:ilvl="0">
      <w:lvlJc w:val="left"/>
      <w:lvlText w:val="(%1)"/>
      <w:numFmt w:val="lowerLetter"/>
      <w:start w:val="1"/>
    </w:lvl>
    <w:lvl w:ilvl="1">
      <w:lvlJc w:val="left"/>
      <w:lvlText w:val="(%2)"/>
      <w:numFmt w:val="lowerRoman"/>
      <w:start w:val="1"/>
    </w:lvl>
  </w:abstractNum>
  <w:abstractNum w:abstractNumId="206">
    <w:nsid w:val="763CB680"/>
    <w:multiLevelType w:val="hybridMultilevel"/>
    <w:lvl w:ilvl="0">
      <w:lvlJc w:val="left"/>
      <w:lvlText w:val="(%1)"/>
      <w:numFmt w:val="lowerLetter"/>
      <w:start w:val="2"/>
    </w:lvl>
  </w:abstractNum>
  <w:abstractNum w:abstractNumId="207">
    <w:nsid w:val="15B71329"/>
    <w:multiLevelType w:val="hybridMultilevel"/>
    <w:lvl w:ilvl="0">
      <w:lvlJc w:val="left"/>
      <w:lvlText w:val="(%1)"/>
      <w:numFmt w:val="lowerLetter"/>
      <w:start w:val="1"/>
    </w:lvl>
  </w:abstractNum>
  <w:abstractNum w:abstractNumId="208">
    <w:nsid w:val="3DA97044"/>
    <w:multiLevelType w:val="hybridMultilevel"/>
    <w:lvl w:ilvl="0">
      <w:lvlJc w:val="left"/>
      <w:lvlText w:val="(%1)"/>
      <w:numFmt w:val="lowerLetter"/>
      <w:start w:val="1"/>
    </w:lvl>
  </w:abstractNum>
  <w:abstractNum w:abstractNumId="209">
    <w:nsid w:val="1CDCE2DE"/>
    <w:multiLevelType w:val="hybridMultilevel"/>
    <w:lvl w:ilvl="0">
      <w:lvlJc w:val="left"/>
      <w:lvlText w:val="(%1)"/>
      <w:numFmt w:val="lowerLetter"/>
      <w:start w:val="1"/>
    </w:lvl>
  </w:abstractNum>
  <w:abstractNum w:abstractNumId="210">
    <w:nsid w:val="69D3947C"/>
    <w:multiLevelType w:val="hybridMultilevel"/>
    <w:lvl w:ilvl="0">
      <w:lvlJc w:val="left"/>
      <w:lvlText w:val="%1."/>
      <w:numFmt w:val="decimal"/>
      <w:start w:val="1"/>
    </w:lvl>
    <w:lvl w:ilvl="1">
      <w:lvlJc w:val="left"/>
      <w:lvlText w:val="(%2)"/>
      <w:numFmt w:val="lowerLetter"/>
      <w:start w:val="1"/>
    </w:lvl>
  </w:abstractNum>
  <w:abstractNum w:abstractNumId="211">
    <w:nsid w:val="2539DFA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32" Type="http://schemas.openxmlformats.org/officeDocument/2006/relationships/hyperlink" Target="http://www.sec.gov/Archives/edgar/data/1113232/000155837020001858/acls-20191231x10k.htm" TargetMode="External"/><Relationship Id="rId46" Type="http://schemas.openxmlformats.org/officeDocument/2006/relationships/hyperlink" Target="http://www.sec.gov/Archives/edgar/data/1113232/000155837017008078/acls-20170930ex31a83feb6.htm" TargetMode="External"/><Relationship Id="rId47" Type="http://schemas.openxmlformats.org/officeDocument/2006/relationships/hyperlink" Target="http://www.sec.gov/Archives/edgar/data/1113232/000110465914040101/a14-8383_4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2020-11-06T13:26:40Z</dcterms:created>
  <dcterms:modified xsi:type="dcterms:W3CDTF">2020-11-06T13:26:40Z</dcterms:modified>
</cp:coreProperties>
</file>