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443230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1" w:lineRule="exact"/>
        <w:rPr>
          <w:sz w:val="24"/>
          <w:szCs w:val="24"/>
          <w:color w:val="auto"/>
        </w:rPr>
      </w:pPr>
    </w:p>
    <w:p>
      <w:pPr>
        <w:ind w:left="640" w:right="1280" w:hanging="326"/>
        <w:spacing w:after="0" w:line="256" w:lineRule="auto"/>
        <w:tabs>
          <w:tab w:leader="none" w:pos="6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00"/>
        <w:spacing w:after="0"/>
        <w:tabs>
          <w:tab w:leader="none" w:pos="6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000-30941</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AXCELIS TECHNOLOGIES,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39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34-1818596</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(State or other jurisdiction of</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incorporation or organization)</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bl>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108 Cherry Hill Drive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(978) 787-4000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2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ACLS</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67" w:lineRule="exact"/>
        <w:rPr>
          <w:sz w:val="24"/>
          <w:szCs w:val="24"/>
          <w:color w:val="auto"/>
        </w:rPr>
      </w:pPr>
    </w:p>
    <w:p>
      <w:pPr>
        <w:ind w:right="300" w:firstLine="23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1" w:lineRule="exact"/>
        <w:rPr>
          <w:sz w:val="24"/>
          <w:szCs w:val="24"/>
          <w:color w:val="auto"/>
        </w:rPr>
      </w:pPr>
    </w:p>
    <w:p>
      <w:pPr>
        <w:ind w:right="40" w:firstLine="23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1" w:lineRule="exact"/>
        <w:rPr>
          <w:sz w:val="24"/>
          <w:szCs w:val="24"/>
          <w:color w:val="auto"/>
        </w:rPr>
      </w:pPr>
    </w:p>
    <w:p>
      <w:pPr>
        <w:jc w:val="both"/>
        <w:ind w:right="180" w:firstLine="23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sectPr>
      </w:pPr>
    </w:p>
    <w:p>
      <w:pPr>
        <w:spacing w:after="0" w:line="31" w:lineRule="exact"/>
        <w:rPr>
          <w:sz w:val="24"/>
          <w:szCs w:val="24"/>
          <w:color w:val="auto"/>
        </w:rPr>
      </w:pPr>
    </w:p>
    <w:p>
      <w:pPr>
        <w:ind w:left="1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ind w:left="16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3">
            <w:col w:w="5880" w:space="720"/>
            <w:col w:w="1960" w:space="100"/>
            <w:col w:w="1580"/>
          </w:cols>
          <w:pgMar w:left="840" w:top="665" w:right="819" w:bottom="1440" w:gutter="0" w:footer="0" w:header="0"/>
          <w:type w:val="continuous"/>
        </w:sectPr>
      </w:pPr>
    </w:p>
    <w:p>
      <w:pPr>
        <w:ind w:right="220" w:firstLine="233"/>
        <w:spacing w:after="0" w:line="238"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220" w:right="860" w:hanging="3"/>
        <w:spacing w:after="0" w:line="28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31, 2023, there were 32,747,459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420370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43180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89"/>
              </w:rPr>
              <w:t>Table of Contents</w:t>
            </w:r>
          </w:p>
        </w:tc>
        <w:tc>
          <w:tcPr>
            <w:tcW w:w="360" w:type="dxa"/>
            <w:vAlign w:val="bottom"/>
          </w:tcPr>
          <w:p>
            <w:pPr>
              <w:spacing w:after="0"/>
              <w:rPr>
                <w:sz w:val="20"/>
                <w:szCs w:val="20"/>
                <w:color w:val="auto"/>
              </w:rPr>
            </w:pPr>
          </w:p>
        </w:tc>
      </w:tr>
      <w:tr>
        <w:trPr>
          <w:trHeight w:val="418"/>
        </w:trPr>
        <w:tc>
          <w:tcPr>
            <w:tcW w:w="31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b w:val="1"/>
                <w:bCs w:val="1"/>
                <w:color w:val="0000EE"/>
              </w:rPr>
              <w:t>PART I - FINANCIAL INFORMATION</w:t>
            </w:r>
          </w:p>
        </w:tc>
        <w:tc>
          <w:tcPr>
            <w:tcW w:w="562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1.</w:t>
            </w: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Financial Statements (Unaudited)</w:t>
            </w:r>
          </w:p>
        </w:tc>
        <w:tc>
          <w:tcPr>
            <w:tcW w:w="36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8"/>
              </w:rPr>
              <w:t>Consolidated Statements of Operations for the three and nine months ended September 30, 2023 and 2022</w:t>
            </w:r>
          </w:p>
        </w:tc>
        <w:tc>
          <w:tcPr>
            <w:tcW w:w="38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6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89"/>
              </w:rPr>
              <w:t>Consolidated Statements of Comprehensive Income for the three and nine months ended September 30, 2023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and 2022</w:t>
            </w:r>
          </w:p>
        </w:tc>
        <w:tc>
          <w:tcPr>
            <w:tcW w:w="7360" w:type="dxa"/>
            <w:vAlign w:val="bottom"/>
            <w:gridSpan w:val="2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5"/>
          </w:tcPr>
          <w:p>
            <w:pPr>
              <w:spacing w:after="0"/>
              <w:rPr>
                <w:sz w:val="20"/>
                <w:szCs w:val="20"/>
                <w:color w:val="auto"/>
              </w:rPr>
            </w:pPr>
            <w:r>
              <w:rPr>
                <w:rFonts w:ascii="Arial" w:cs="Arial" w:eastAsia="Arial" w:hAnsi="Arial"/>
                <w:sz w:val="18"/>
                <w:szCs w:val="18"/>
                <w:color w:val="0000EE"/>
              </w:rPr>
              <w:t>Consolidated Balance Sheets as of September 30, 2023 and December 31, 2022</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Arial" w:cs="Arial" w:eastAsia="Arial" w:hAnsi="Arial"/>
                <w:sz w:val="18"/>
                <w:szCs w:val="18"/>
                <w:color w:val="0000EE"/>
                <w:w w:val="93"/>
              </w:rPr>
              <w:t>Consolidated Statements of Stockholders’ Equity for the three and nine months ended September 30, 2023</w:t>
            </w: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5"/>
              </w:rPr>
              <w:t>and 2022</w:t>
            </w:r>
          </w:p>
        </w:tc>
        <w:tc>
          <w:tcPr>
            <w:tcW w:w="7000" w:type="dxa"/>
            <w:vAlign w:val="bottom"/>
            <w:tcBorders>
              <w:top w:val="single" w:sz="8" w:color="0000EE"/>
            </w:tcBorders>
            <w:gridSpan w:val="21"/>
          </w:tcPr>
          <w:p>
            <w:pPr>
              <w:spacing w:after="0"/>
              <w:rPr>
                <w:sz w:val="19"/>
                <w:szCs w:val="19"/>
                <w:color w:val="auto"/>
              </w:rPr>
            </w:pPr>
          </w:p>
        </w:tc>
        <w:tc>
          <w:tcPr>
            <w:tcW w:w="36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5"/>
          </w:tcPr>
          <w:p>
            <w:pPr>
              <w:spacing w:after="0"/>
              <w:rPr>
                <w:sz w:val="20"/>
                <w:szCs w:val="20"/>
                <w:color w:val="auto"/>
              </w:rPr>
            </w:pPr>
            <w:r>
              <w:rPr>
                <w:rFonts w:ascii="Arial" w:cs="Arial" w:eastAsia="Arial" w:hAnsi="Arial"/>
                <w:sz w:val="18"/>
                <w:szCs w:val="18"/>
                <w:color w:val="0000EE"/>
              </w:rPr>
              <w:t>Consolidated Statements of Cash Flows for the nine months ended September 30, 2023 and 2022</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89"/>
              </w:rPr>
              <w:t>Notes to Consolidated Financial Statements (Unaudited)</w:t>
            </w:r>
          </w:p>
        </w:tc>
        <w:tc>
          <w:tcPr>
            <w:tcW w:w="2920" w:type="dxa"/>
            <w:vAlign w:val="bottom"/>
            <w:tcBorders>
              <w:top w:val="single" w:sz="8" w:color="0000EE"/>
            </w:tcBorders>
            <w:gridSpan w:val="4"/>
          </w:tcPr>
          <w:p>
            <w:pPr>
              <w:spacing w:after="0"/>
              <w:rPr>
                <w:sz w:val="19"/>
                <w:szCs w:val="19"/>
                <w:color w:val="auto"/>
              </w:rPr>
            </w:pPr>
          </w:p>
        </w:tc>
        <w:tc>
          <w:tcPr>
            <w:tcW w:w="1040" w:type="dxa"/>
            <w:vAlign w:val="bottom"/>
            <w:gridSpan w:val="5"/>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2.</w:t>
            </w: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Management’s Discussion and Analysis of Financial Condition and Results of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Overview</w:t>
            </w:r>
          </w:p>
        </w:tc>
        <w:tc>
          <w:tcPr>
            <w:tcW w:w="1200" w:type="dxa"/>
            <w:vAlign w:val="bottom"/>
            <w:gridSpan w:val="6"/>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Arial" w:cs="Arial" w:eastAsia="Arial" w:hAnsi="Arial"/>
                <w:sz w:val="18"/>
                <w:szCs w:val="18"/>
                <w:color w:val="0000EE"/>
              </w:rPr>
              <w:t>Critical Accounting Estimates</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88"/>
              </w:rPr>
              <w:t>Results of Operations</w:t>
            </w:r>
          </w:p>
        </w:tc>
        <w:tc>
          <w:tcPr>
            <w:tcW w:w="600" w:type="dxa"/>
            <w:vAlign w:val="bottom"/>
            <w:tcBorders>
              <w:top w:val="single" w:sz="8" w:color="0000EE"/>
            </w:tcBorders>
            <w:gridSpan w:val="4"/>
          </w:tcPr>
          <w:p>
            <w:pPr>
              <w:spacing w:after="0"/>
              <w:rPr>
                <w:sz w:val="19"/>
                <w:szCs w:val="19"/>
                <w:color w:val="auto"/>
              </w:rPr>
            </w:pPr>
          </w:p>
        </w:tc>
        <w:tc>
          <w:tcPr>
            <w:tcW w:w="5860" w:type="dxa"/>
            <w:vAlign w:val="bottom"/>
            <w:gridSpan w:val="14"/>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Liquidity and Capital Resources</w:t>
            </w:r>
          </w:p>
        </w:tc>
        <w:tc>
          <w:tcPr>
            <w:tcW w:w="5700" w:type="dxa"/>
            <w:vAlign w:val="bottom"/>
            <w:gridSpan w:val="1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3.</w:t>
            </w: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Quantitative and Qualitative Disclosures About Market Risk</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4.</w:t>
            </w: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Controls and Procedures</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8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rPr>
              <w:t>PART II - OTHER INFORMATION</w:t>
            </w:r>
          </w:p>
        </w:tc>
        <w:tc>
          <w:tcPr>
            <w:tcW w:w="5920" w:type="dxa"/>
            <w:vAlign w:val="bottom"/>
            <w:gridSpan w:val="15"/>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1.</w:t>
            </w: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Legal Proceedings</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EE"/>
                <w:w w:val="94"/>
              </w:rPr>
              <w:t>Item 1A.</w:t>
            </w: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Risk Factors</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EE"/>
              </w:rPr>
              <w:t>Item 2.</w:t>
            </w: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w w:val="93"/>
              </w:rPr>
              <w:t>Unregistered Sales of Equity Securities, Use of Proceeds, and Issuer Purchases of Equity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100" w:type="dxa"/>
            <w:vAlign w:val="bottom"/>
            <w:gridSpan w:val="7"/>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3.</w:t>
            </w: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Defaults Upon Senior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4.</w:t>
            </w: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Mine Safety Disclosures</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5.</w:t>
            </w: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Other Information</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58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6.</w:t>
            </w:r>
          </w:p>
        </w:tc>
        <w:tc>
          <w:tcPr>
            <w:tcW w:w="8020" w:type="dxa"/>
            <w:vAlign w:val="bottom"/>
            <w:gridSpan w:val="25"/>
          </w:tcPr>
          <w:p>
            <w:pPr>
              <w:spacing w:after="0"/>
              <w:rPr>
                <w:sz w:val="20"/>
                <w:szCs w:val="20"/>
                <w:color w:val="auto"/>
              </w:rPr>
            </w:pPr>
            <w:r>
              <w:rPr>
                <w:rFonts w:ascii="Arial" w:cs="Arial" w:eastAsia="Arial" w:hAnsi="Arial"/>
                <w:sz w:val="18"/>
                <w:szCs w:val="18"/>
                <w:b w:val="1"/>
                <w:bCs w:val="1"/>
                <w:color w:val="0000EE"/>
              </w:rPr>
              <w:t>Exhibits</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420" w:type="dxa"/>
            <w:vAlign w:val="bottom"/>
            <w:gridSpan w:val="15"/>
          </w:tcPr>
          <w:p>
            <w:pPr>
              <w:jc w:val="right"/>
              <w:ind w:right="11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7" w:right="13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Product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283,367</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221,540</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795,047</w:t>
            </w:r>
          </w:p>
        </w:tc>
        <w:tc>
          <w:tcPr>
            <w:tcW w:w="6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631,998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292,326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229,175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820,316</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653,947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154,798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118,992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444,311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342,387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162,642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125,854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466,911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361,678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129,684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353,405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292,269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46,146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48,519</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135,997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156,272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139,089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175,207</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126,087</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w:t>
            </w:r>
          </w:p>
        </w:tc>
        <w:tc>
          <w:tcPr>
            <w:tcW w:w="2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w:t>
            </w:r>
          </w:p>
        </w:tc>
        <w:tc>
          <w:tcPr>
            <w:tcW w:w="2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5"/>
              </w:rPr>
              <w:t>Basic weighted average shares of common stock</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32,807</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32,775</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33,116</w:t>
            </w: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92"/>
              </w:rPr>
              <w:t>Diluted weighted average shares of common stock</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33,159</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33,389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33,208</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33,638</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7"/>
              </w:rPr>
              <w:t>Three months ended</w:t>
            </w:r>
          </w:p>
        </w:tc>
        <w:tc>
          <w:tcPr>
            <w:tcW w:w="14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9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2023</w:t>
            </w:r>
          </w:p>
        </w:tc>
        <w:tc>
          <w:tcPr>
            <w:tcW w:w="8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$ 65,931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$ 40,283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$ 175,207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$ 126,087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80" w:type="dxa"/>
            <w:vAlign w:val="bottom"/>
          </w:tcPr>
          <w:p>
            <w:pPr>
              <w:ind w:left="200"/>
              <w:spacing w:after="0" w:line="201" w:lineRule="exact"/>
              <w:rPr>
                <w:sz w:val="20"/>
                <w:szCs w:val="20"/>
                <w:color w:val="auto"/>
              </w:rPr>
            </w:pPr>
            <w:r>
              <w:rPr>
                <w:rFonts w:ascii="Arial" w:cs="Arial" w:eastAsia="Arial" w:hAnsi="Arial"/>
                <w:sz w:val="18"/>
                <w:szCs w:val="18"/>
                <w:color w:val="auto"/>
                <w:w w:val="93"/>
              </w:rPr>
              <w:t>Amortization of actuarial net gain and other adjustments from pension</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plan, net of tax</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comprehensive loss</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8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$ 64,700</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$ 36,601</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$ 173,015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$ 118,551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60" w:type="dxa"/>
            <w:vAlign w:val="bottom"/>
            <w:shd w:val="clear" w:color="auto" w:fill="CCEEFF"/>
          </w:tcPr>
          <w:p>
            <w:pPr>
              <w:ind w:left="4160"/>
              <w:spacing w:after="0" w:line="199"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318,710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312,223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1,015,041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Operating lease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assets,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1,201,694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1,013,641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60,061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Warranty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148,299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123,471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finance lease obligation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Long-term finance lease obligation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200"/>
              <w:spacing w:after="0" w:line="201" w:lineRule="exact"/>
              <w:rPr>
                <w:sz w:val="20"/>
                <w:szCs w:val="20"/>
                <w:color w:val="auto"/>
              </w:rPr>
            </w:pPr>
            <w:r>
              <w:rPr>
                <w:rFonts w:ascii="Arial" w:cs="Arial" w:eastAsia="Arial" w:hAnsi="Arial"/>
                <w:sz w:val="18"/>
                <w:szCs w:val="18"/>
                <w:color w:val="auto"/>
                <w:w w:val="92"/>
              </w:rPr>
              <w:t>Common stock, $0.001 par value, 75,000 shares authorized; 32,772 shares issued and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w w:val="91"/>
              </w:rPr>
              <w:t>outstanding at September 30, 2023; 32,775 shares issued and outstanding at December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31, 2022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261,521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118,892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800,971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667,256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1,201,694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1,013,641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(Accumulated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4"/>
            <w:vMerge w:val="restart"/>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0"/>
              <w:spacing w:after="0"/>
              <w:rPr>
                <w:sz w:val="20"/>
                <w:szCs w:val="20"/>
                <w:color w:val="auto"/>
              </w:rPr>
            </w:pPr>
            <w:r>
              <w:rPr>
                <w:rFonts w:ascii="Arial" w:cs="Arial" w:eastAsia="Arial" w:hAnsi="Arial"/>
                <w:sz w:val="14"/>
                <w:szCs w:val="14"/>
                <w:b w:val="1"/>
                <w:bCs w:val="1"/>
                <w:color w:val="auto"/>
                <w:w w:val="98"/>
              </w:rPr>
              <w:t>Retained</w:t>
            </w:r>
          </w:p>
        </w:tc>
        <w:tc>
          <w:tcPr>
            <w:tcW w:w="1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Earnings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33,240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559,883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(22,722)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538,959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41,614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41,614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540" w:type="dxa"/>
            <w:vAlign w:val="bottom"/>
          </w:tcPr>
          <w:p>
            <w:pPr>
              <w:jc w:val="right"/>
              <w:spacing w:after="0"/>
              <w:rPr>
                <w:sz w:val="20"/>
                <w:szCs w:val="20"/>
                <w:color w:val="auto"/>
              </w:rPr>
            </w:pPr>
            <w:r>
              <w:rPr>
                <w:rFonts w:ascii="Arial" w:cs="Arial" w:eastAsia="Arial" w:hAnsi="Arial"/>
                <w:sz w:val="16"/>
                <w:szCs w:val="16"/>
                <w:color w:val="auto"/>
              </w:rPr>
              <w:t>(284)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33,064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554,633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559,273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Issuance of stock under Employee Stock</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205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540" w:type="dxa"/>
            <w:vAlign w:val="bottom"/>
          </w:tcPr>
          <w:p>
            <w:pPr>
              <w:jc w:val="right"/>
              <w:spacing w:after="0"/>
              <w:rPr>
                <w:sz w:val="20"/>
                <w:szCs w:val="20"/>
                <w:color w:val="auto"/>
              </w:rPr>
            </w:pPr>
            <w:r>
              <w:rPr>
                <w:rFonts w:ascii="Arial" w:cs="Arial" w:eastAsia="Arial" w:hAnsi="Arial"/>
                <w:sz w:val="16"/>
                <w:szCs w:val="16"/>
                <w:color w:val="auto"/>
              </w:rPr>
              <w:t>(215)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33,094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549,401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586,927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6"/>
                <w:szCs w:val="16"/>
                <w:color w:val="auto"/>
              </w:rPr>
              <w:t>Net income</w:t>
            </w: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gridSpan w:val="2"/>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40,283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40,283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6"/>
                <w:szCs w:val="16"/>
                <w:color w:val="auto"/>
              </w:rPr>
              <w:t>units, net of stock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540" w:type="dxa"/>
            <w:vAlign w:val="bottom"/>
          </w:tcPr>
          <w:p>
            <w:pPr>
              <w:jc w:val="right"/>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32,937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614,890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4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7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2"/>
                <w:szCs w:val="12"/>
                <w:color w:val="auto"/>
              </w:rPr>
            </w:pPr>
          </w:p>
        </w:tc>
        <w:tc>
          <w:tcPr>
            <w:tcW w:w="740" w:type="dxa"/>
            <w:vAlign w:val="bottom"/>
          </w:tcPr>
          <w:p>
            <w:pPr>
              <w:jc w:val="center"/>
              <w:ind w:right="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32,775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550,299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118,892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667,256</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47,697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47,697</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(3,907)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(10,575)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(12,499)</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March 31, 2023</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32,726</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547,692</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156,014</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(1,918)</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701,821</w:t>
            </w: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Net income</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61,579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61,579</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(1,011)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6"/>
                <w:szCs w:val="16"/>
                <w:color w:val="auto"/>
                <w:w w:val="98"/>
              </w:rPr>
              <w:t>Issuance of stock under Employee Stock Purchase</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Plan</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on restricted stock</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(11,558)</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(1,720)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(10,780)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June 30, 2023</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32,836</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540,120</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206,813</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(2,929)</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744,037</w:t>
            </w: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65,931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65,931</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(1,231)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on restricted stock</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units, net of stock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(1,276)</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(11,223)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(12,499)</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Arial" w:cs="Arial" w:eastAsia="Arial" w:hAnsi="Arial"/>
                <w:sz w:val="16"/>
                <w:szCs w:val="16"/>
                <w:color w:val="auto"/>
              </w:rPr>
              <w:t>Balance at September 30, 2023</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32,772</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543,577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261,521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(4,160)</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800,971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175,207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126,087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9,790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discounts and premiums on marketable securities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Currency loss on foreign denominated transactions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(77,449)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54,814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 assets and liabilities</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Expenditures for property, plant and equipment and capitalized software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short-term investments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(271,583)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Maturities of short-term investments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207,907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(40,452)</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Net settlement on restricted stock grants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(9,281)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 of common stock</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 purchases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finance lease obligation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186,347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295,680</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148,950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309,301</w:t>
            </w:r>
          </w:p>
        </w:tc>
        <w:tc>
          <w:tcPr>
            <w:tcW w:w="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6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1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balance sheet at December 31, 2022 has been derived from the audited consolidated financial statements at that date but does not include all the information and footnotes required by generally accepted accounting principles for complete financial statements. As of September 30, 2023, there have been no material changes in the Company’s significant accounting policies. For further information, refer to the consolidated financial statements and footnotes thereto included in the Company’s Annual Report on Form 10-K for the year ended December 31, 2022.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6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maintain the Axcelis Technologies, Inc. 2012 Equity Incentive Plan, as amended (the “2012 Equity Plan”), an Internal Revenue Code Section 423 plan, which became effective on May 2, 2012, and permits the issuance of options, restricted stock, restricted stock units (“RSUs”) and performance awards to selected employees, directors and consultants of the Company.</w:t>
      </w:r>
    </w:p>
    <w:p>
      <w:pPr>
        <w:spacing w:after="0" w:line="11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2012 Equity Plan is more fully described in Note 13 to the consolidated financial statements in our Annual Report on Form 10-K for the year ended December 31, 2022.</w:t>
      </w:r>
    </w:p>
    <w:p>
      <w:pPr>
        <w:spacing w:after="0" w:line="10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recognized stock-based compensation expense of $5.1 million and $3.6 million for the three-month periods ended September 30, 2023 and 2022, respectively. We recognized stock-based compensation expense of $13.0 million and $9.8 million for the nine-month periods ended September 30, 2023 and 2022, respectively. These amounts include compensation expense related to RSUs, non-qualified stock options and stock issued to participants under the 2020 Employee Stock Purchase Plan (the “2020 ESPP”).</w:t>
      </w:r>
    </w:p>
    <w:p>
      <w:pPr>
        <w:spacing w:after="0" w:line="12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three-month period ended September 30, 2023, we issued 7,320 shares of common stock upon vesting of RSUs. In the three-month period ended September 30, 2022, we issued 38,507 shares of common stock upon vesting of RSUs and stock option exercises. In the three-month period ended September 30, 2023, we received no proceeds in connection with the exercise of stock options. In the three-month period ended September 30, 2022, we received proceeds of $0.4 million in connection with the exercise of stock options.</w:t>
      </w:r>
    </w:p>
    <w:p>
      <w:pPr>
        <w:spacing w:after="0" w:line="12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the nine-month periods ended September 30, 2023 and 2022, we issued 0.3 million and 0.4 million shares of common stock, respectively, upon stock option exercises, purchases under the 2020 ESPP and vesting of RSUs. In the nine-month periods ended September 30, 2023 and 2022, we received proceeds of $1.0 million and $1.9 million, respectively, in connection with the exercise of stock options and purchases under the 2020 ESPP.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62"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w:t>
      </w:r>
    </w:p>
    <w:p>
      <w:pPr>
        <w:sectPr>
          <w:pgSz w:w="11900" w:h="16838" w:orient="portrait"/>
          <w:cols w:equalWidth="0" w:num="1">
            <w:col w:w="9080"/>
          </w:cols>
          <w:pgMar w:left="1380" w:top="517" w:right="143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7" w:right="1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component. An agreement contains a lease component if it provides for the use of a specific physical space or a specific physical item.</w:t>
      </w:r>
    </w:p>
    <w:p>
      <w:pPr>
        <w:spacing w:after="0" w:line="10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We recognize operating lease obligations under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by one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144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3460" w:type="dxa"/>
            <w:vAlign w:val="bottom"/>
          </w:tcPr>
          <w:p>
            <w:pPr>
              <w:ind w:left="170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3460" w:type="dxa"/>
            <w:vAlign w:val="bottom"/>
            <w:shd w:val="clear" w:color="auto" w:fill="CCEEFF"/>
          </w:tcPr>
          <w:p>
            <w:pPr>
              <w:ind w:left="1700"/>
              <w:spacing w:after="0"/>
              <w:rPr>
                <w:sz w:val="20"/>
                <w:szCs w:val="20"/>
                <w:color w:val="auto"/>
              </w:rPr>
            </w:pPr>
            <w:r>
              <w:rPr>
                <w:rFonts w:ascii="Arial" w:cs="Arial" w:eastAsia="Arial" w:hAnsi="Arial"/>
                <w:sz w:val="14"/>
                <w:szCs w:val="14"/>
                <w:color w:val="auto"/>
              </w:rPr>
              <w:t>Operating lease assets</w:t>
            </w: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12,146</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Arial" w:cs="Arial" w:eastAsia="Arial" w:hAnsi="Arial"/>
                <w:sz w:val="14"/>
                <w:szCs w:val="14"/>
                <w:color w:val="auto"/>
              </w:rPr>
              <w:t>Finance lease</w:t>
            </w:r>
          </w:p>
        </w:tc>
        <w:tc>
          <w:tcPr>
            <w:tcW w:w="3460" w:type="dxa"/>
            <w:vAlign w:val="bottom"/>
          </w:tcPr>
          <w:p>
            <w:pPr>
              <w:ind w:left="1700"/>
              <w:spacing w:after="0"/>
              <w:rPr>
                <w:sz w:val="20"/>
                <w:szCs w:val="20"/>
                <w:color w:val="auto"/>
              </w:rPr>
            </w:pPr>
            <w:r>
              <w:rPr>
                <w:rFonts w:ascii="Arial" w:cs="Arial" w:eastAsia="Arial" w:hAnsi="Arial"/>
                <w:sz w:val="14"/>
                <w:szCs w:val="14"/>
                <w:color w:val="auto"/>
              </w:rPr>
              <w:t>Finance lease assets*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16,981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17,942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Total leased assets</w:t>
            </w:r>
          </w:p>
        </w:tc>
        <w:tc>
          <w:tcPr>
            <w:tcW w:w="3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48,063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gridSpan w:val="2"/>
            <w:vMerge w:val="continue"/>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w:t>
            </w:r>
          </w:p>
        </w:tc>
        <w:tc>
          <w:tcPr>
            <w:tcW w:w="3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Arial" w:cs="Arial" w:eastAsia="Arial" w:hAnsi="Arial"/>
                <w:sz w:val="14"/>
                <w:szCs w:val="14"/>
                <w:color w:val="auto"/>
              </w:rPr>
              <w:t>Operating</w:t>
            </w:r>
          </w:p>
        </w:tc>
        <w:tc>
          <w:tcPr>
            <w:tcW w:w="3460" w:type="dxa"/>
            <w:vAlign w:val="bottom"/>
          </w:tcPr>
          <w:p>
            <w:pPr>
              <w:ind w:left="1700"/>
              <w:spacing w:after="0"/>
              <w:rPr>
                <w:sz w:val="20"/>
                <w:szCs w:val="20"/>
                <w:color w:val="auto"/>
              </w:rPr>
            </w:pPr>
            <w:r>
              <w:rPr>
                <w:rFonts w:ascii="Arial" w:cs="Arial" w:eastAsia="Arial" w:hAnsi="Arial"/>
                <w:sz w:val="14"/>
                <w:szCs w:val="14"/>
                <w:color w:val="auto"/>
              </w:rPr>
              <w:t>Other current liabilities</w:t>
            </w:r>
          </w:p>
        </w:tc>
        <w:tc>
          <w:tcPr>
            <w:tcW w:w="5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5,001</w:t>
            </w:r>
          </w:p>
        </w:tc>
        <w:tc>
          <w:tcPr>
            <w:tcW w:w="3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5,367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3460" w:type="dxa"/>
            <w:vAlign w:val="bottom"/>
            <w:shd w:val="clear" w:color="auto" w:fill="CCEEFF"/>
          </w:tcPr>
          <w:p>
            <w:pPr>
              <w:ind w:left="1700"/>
              <w:spacing w:after="0" w:line="130" w:lineRule="exact"/>
              <w:rPr>
                <w:sz w:val="20"/>
                <w:szCs w:val="20"/>
                <w:color w:val="auto"/>
              </w:rPr>
            </w:pPr>
            <w:r>
              <w:rPr>
                <w:rFonts w:ascii="Arial" w:cs="Arial" w:eastAsia="Arial" w:hAnsi="Arial"/>
                <w:sz w:val="14"/>
                <w:szCs w:val="14"/>
                <w:color w:val="auto"/>
              </w:rPr>
              <w:t>Current portion of finance</w:t>
            </w: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Finance</w:t>
            </w:r>
          </w:p>
        </w:tc>
        <w:tc>
          <w:tcPr>
            <w:tcW w:w="3460" w:type="dxa"/>
            <w:vAlign w:val="bottom"/>
            <w:shd w:val="clear" w:color="auto" w:fill="CCEEFF"/>
          </w:tcPr>
          <w:p>
            <w:pPr>
              <w:ind w:left="1700"/>
              <w:spacing w:after="0"/>
              <w:rPr>
                <w:sz w:val="20"/>
                <w:szCs w:val="20"/>
                <w:color w:val="auto"/>
              </w:rPr>
            </w:pPr>
            <w:r>
              <w:rPr>
                <w:rFonts w:ascii="Arial" w:cs="Arial" w:eastAsia="Arial" w:hAnsi="Arial"/>
                <w:sz w:val="14"/>
                <w:szCs w:val="14"/>
                <w:color w:val="auto"/>
              </w:rPr>
              <w:t>lease obligation</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Non-current</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Operating</w:t>
            </w:r>
          </w:p>
        </w:tc>
        <w:tc>
          <w:tcPr>
            <w:tcW w:w="3460" w:type="dxa"/>
            <w:vAlign w:val="bottom"/>
            <w:shd w:val="clear" w:color="auto" w:fill="CCEEFF"/>
          </w:tcPr>
          <w:p>
            <w:pPr>
              <w:ind w:left="1700"/>
              <w:spacing w:after="0"/>
              <w:rPr>
                <w:sz w:val="20"/>
                <w:szCs w:val="20"/>
                <w:color w:val="auto"/>
              </w:rPr>
            </w:pPr>
            <w:r>
              <w:rPr>
                <w:rFonts w:ascii="Arial" w:cs="Arial" w:eastAsia="Arial" w:hAnsi="Arial"/>
                <w:sz w:val="14"/>
                <w:szCs w:val="14"/>
                <w:color w:val="auto"/>
              </w:rPr>
              <w:t>Other long-term liabilities</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6,931</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Arial" w:cs="Arial" w:eastAsia="Arial" w:hAnsi="Arial"/>
                <w:sz w:val="14"/>
                <w:szCs w:val="14"/>
                <w:color w:val="auto"/>
              </w:rPr>
              <w:t>Finance</w:t>
            </w:r>
          </w:p>
        </w:tc>
        <w:tc>
          <w:tcPr>
            <w:tcW w:w="3460" w:type="dxa"/>
            <w:vAlign w:val="bottom"/>
          </w:tcPr>
          <w:p>
            <w:pPr>
              <w:ind w:left="1700"/>
              <w:spacing w:after="0"/>
              <w:rPr>
                <w:sz w:val="20"/>
                <w:szCs w:val="20"/>
                <w:color w:val="auto"/>
              </w:rPr>
            </w:pPr>
            <w:r>
              <w:rPr>
                <w:rFonts w:ascii="Arial" w:cs="Arial" w:eastAsia="Arial" w:hAnsi="Arial"/>
                <w:sz w:val="14"/>
                <w:szCs w:val="14"/>
                <w:color w:val="auto"/>
              </w:rPr>
              <w:t>Finance lease obligation</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44,070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45,185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liabilities</w:t>
            </w:r>
          </w:p>
        </w:tc>
        <w:tc>
          <w:tcPr>
            <w:tcW w:w="3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76,359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58,712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500"/>
        <w:spacing w:after="0" w:line="238" w:lineRule="auto"/>
        <w:rPr>
          <w:sz w:val="20"/>
          <w:szCs w:val="20"/>
          <w:color w:val="auto"/>
        </w:rPr>
      </w:pPr>
      <w:r>
        <w:rPr>
          <w:rFonts w:ascii="Arial" w:cs="Arial" w:eastAsia="Arial" w:hAnsi="Arial"/>
          <w:sz w:val="14"/>
          <w:szCs w:val="14"/>
          <w:color w:val="auto"/>
        </w:rPr>
        <w:t>*Finance lease assets are recorded net of accumulated depreciation of $46.7 million and include $0.6 million of prepaid financing costs as of September 30, 2023. Finance lease assets are recorded net of accumulated depreciation of $45.9 million and include $0.6 million of prepaid financing costs as of December 31, 2022.</w:t>
      </w:r>
    </w:p>
    <w:p>
      <w:pPr>
        <w:spacing w:after="0" w:line="11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All of our operating lease office locations support selling and servicing functions. Our Axcelis Asia Operations Center facility in South Korea brings production capability closer to our Asia-based customers. Our state-of-the-art 98,500 square foot logistics and flex manufacturing center in Beverly, Massachusetts became fully operational in the third quarter of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Operating lease expense and depreciation and interest expense relating to our finance lease obligation are recognized within our consolidated statement of operations for the three and nine months ended September 30, 2023 and 2022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6"/>
                <w:szCs w:val="16"/>
                <w:color w:val="auto"/>
              </w:rPr>
            </w:pPr>
          </w:p>
        </w:tc>
        <w:tc>
          <w:tcPr>
            <w:tcW w:w="15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Lease cost</w:t>
            </w:r>
          </w:p>
        </w:tc>
        <w:tc>
          <w:tcPr>
            <w:tcW w:w="2960" w:type="dxa"/>
            <w:vAlign w:val="bottom"/>
          </w:tcPr>
          <w:p>
            <w:pPr>
              <w:ind w:left="94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Operating lease cost</w:t>
            </w:r>
          </w:p>
        </w:tc>
        <w:tc>
          <w:tcPr>
            <w:tcW w:w="2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Product / services*</w:t>
            </w:r>
          </w:p>
        </w:tc>
        <w:tc>
          <w:tcPr>
            <w:tcW w:w="2960" w:type="dxa"/>
            <w:vAlign w:val="bottom"/>
            <w:shd w:val="clear" w:color="auto" w:fill="CCEEFF"/>
          </w:tcPr>
          <w:p>
            <w:pPr>
              <w:ind w:left="940"/>
              <w:spacing w:after="0"/>
              <w:rPr>
                <w:sz w:val="20"/>
                <w:szCs w:val="20"/>
                <w:color w:val="auto"/>
              </w:rPr>
            </w:pPr>
            <w:r>
              <w:rPr>
                <w:rFonts w:ascii="Arial" w:cs="Arial" w:eastAsia="Arial" w:hAnsi="Arial"/>
                <w:sz w:val="14"/>
                <w:szCs w:val="14"/>
                <w:color w:val="auto"/>
              </w:rPr>
              <w:t>Cost of revenue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2960" w:type="dxa"/>
            <w:vAlign w:val="bottom"/>
          </w:tcPr>
          <w:p>
            <w:pPr>
              <w:ind w:left="9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426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2960" w:type="dxa"/>
            <w:vAlign w:val="bottom"/>
            <w:shd w:val="clear" w:color="auto" w:fill="CCEEFF"/>
          </w:tcPr>
          <w:p>
            <w:pPr>
              <w:ind w:left="94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2960" w:type="dxa"/>
            <w:vAlign w:val="bottom"/>
          </w:tcPr>
          <w:p>
            <w:pPr>
              <w:ind w:left="9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773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cost</w:t>
            </w:r>
          </w:p>
        </w:tc>
        <w:tc>
          <w:tcPr>
            <w:tcW w:w="2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 cost</w:t>
            </w: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gridSpan w:val="2"/>
            <w:vMerge w:val="continue"/>
          </w:tcPr>
          <w:p>
            <w:pPr>
              <w:spacing w:after="0"/>
              <w:rPr>
                <w:sz w:val="17"/>
                <w:szCs w:val="17"/>
                <w:color w:val="auto"/>
              </w:rPr>
            </w:pP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2960" w:type="dxa"/>
            <w:vAlign w:val="bottom"/>
            <w:shd w:val="clear" w:color="auto" w:fill="CCEEFF"/>
          </w:tcPr>
          <w:p>
            <w:pPr>
              <w:ind w:left="940"/>
              <w:spacing w:after="0" w:line="130" w:lineRule="exact"/>
              <w:rPr>
                <w:sz w:val="20"/>
                <w:szCs w:val="20"/>
                <w:color w:val="auto"/>
              </w:rPr>
            </w:pPr>
            <w:r>
              <w:rPr>
                <w:rFonts w:ascii="Arial" w:cs="Arial" w:eastAsia="Arial" w:hAnsi="Arial"/>
                <w:sz w:val="14"/>
                <w:szCs w:val="14"/>
                <w:color w:val="auto"/>
              </w:rPr>
              <w:t>Cost of revenue, Research and</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96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w w:val="92"/>
              </w:rPr>
              <w:t>development, Sales and marketing</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Depreciation of leased assets</w:t>
            </w:r>
          </w:p>
        </w:tc>
        <w:tc>
          <w:tcPr>
            <w:tcW w:w="2960" w:type="dxa"/>
            <w:vAlign w:val="bottom"/>
            <w:shd w:val="clear" w:color="auto" w:fill="CCEEFF"/>
          </w:tcPr>
          <w:p>
            <w:pPr>
              <w:ind w:left="940"/>
              <w:spacing w:after="0"/>
              <w:rPr>
                <w:sz w:val="20"/>
                <w:szCs w:val="20"/>
                <w:color w:val="auto"/>
              </w:rPr>
            </w:pPr>
            <w:r>
              <w:rPr>
                <w:rFonts w:ascii="Arial" w:cs="Arial" w:eastAsia="Arial" w:hAnsi="Arial"/>
                <w:sz w:val="14"/>
                <w:szCs w:val="14"/>
                <w:color w:val="auto"/>
              </w:rPr>
              <w:t>and General and administrative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Arial" w:cs="Arial" w:eastAsia="Arial" w:hAnsi="Arial"/>
                <w:sz w:val="14"/>
                <w:szCs w:val="14"/>
                <w:color w:val="auto"/>
              </w:rPr>
              <w:t>Interest on lease liabilities</w:t>
            </w:r>
          </w:p>
        </w:tc>
        <w:tc>
          <w:tcPr>
            <w:tcW w:w="2960" w:type="dxa"/>
            <w:vAlign w:val="bottom"/>
          </w:tcPr>
          <w:p>
            <w:pPr>
              <w:ind w:left="94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1,245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3,668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3,754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 finance lease cost</w:t>
            </w:r>
          </w:p>
        </w:tc>
        <w:tc>
          <w:tcPr>
            <w:tcW w:w="2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tcBorders>
              <w:bottom w:val="single" w:sz="8" w:color="CCEEFF"/>
            </w:tcBorders>
          </w:tcPr>
          <w:p>
            <w:pPr>
              <w:spacing w:after="0"/>
              <w:rPr>
                <w:sz w:val="17"/>
                <w:szCs w:val="17"/>
                <w:color w:val="auto"/>
              </w:rPr>
            </w:pPr>
          </w:p>
        </w:tc>
        <w:tc>
          <w:tcPr>
            <w:tcW w:w="29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2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12,427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10,819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00" w:firstLine="8"/>
        <w:spacing w:after="0" w:line="264" w:lineRule="auto"/>
        <w:tabs>
          <w:tab w:leader="none" w:pos="108"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Product / services, sales and marketing and general and administrative expense also includes short-term lease and variable lease costs of approximately $0.6 million and $1.6 million for the three and nine months ended September 30, 2023, respectively, and includes short-term lease and variable lease costs of approximately $0.4 million and $1.4 million for the three and nine months ended September 30, 2022, respectively.</w:t>
      </w:r>
    </w:p>
    <w:p>
      <w:pPr>
        <w:spacing w:after="0" w:line="17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The lease of our corporate headquarters, shown below under finance leases, had an original lease term of 22 years, beginning in January 2015 and expiring in January 2037, with renewal options. All other locations are treated as operating leases, with lease terms ranging from one to sixteen years. The tables below reflect the minimum cash outflow regarding our current lease obligations as well as the weighted-average remaining lease term and weighted-average discount rates used in our calculation of our lease obligations and right-of-use assets as of September 30,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of Lease Liabilities</w:t>
            </w: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Finance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61,586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86,709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44,222</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Arial" w:cs="Arial" w:eastAsia="Arial" w:hAnsi="Arial"/>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(41,927)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(13,371)</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(55,298)</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30,851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76,359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 Finance lease interest calculated using the implied interest rate; operating lease interest calculated using estimated corporate borrowing rate.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above does not include options to renew lease terms that are not reasonably certain of being exercised.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228"/>
        </w:trPr>
        <w:tc>
          <w:tcPr>
            <w:tcW w:w="7680" w:type="dxa"/>
            <w:vAlign w:val="bottom"/>
            <w:gridSpan w:val="3"/>
          </w:tcPr>
          <w:p>
            <w:pPr>
              <w:spacing w:after="0"/>
              <w:rPr>
                <w:sz w:val="20"/>
                <w:szCs w:val="20"/>
                <w:color w:val="auto"/>
              </w:rPr>
            </w:pPr>
            <w:r>
              <w:rPr>
                <w:rFonts w:ascii="Arial" w:cs="Arial" w:eastAsia="Arial" w:hAnsi="Arial"/>
                <w:sz w:val="16"/>
                <w:szCs w:val="16"/>
                <w:b w:val="1"/>
                <w:bCs w:val="1"/>
                <w:color w:val="auto"/>
              </w:rPr>
              <w:t>Lease term and discount rate</w:t>
            </w: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80" w:type="dxa"/>
            <w:vAlign w:val="bottom"/>
            <w:gridSpan w:val="3"/>
          </w:tcPr>
          <w:p>
            <w:pPr>
              <w:spacing w:after="0"/>
              <w:rPr>
                <w:sz w:val="20"/>
                <w:szCs w:val="20"/>
                <w:color w:val="auto"/>
              </w:rPr>
            </w:pPr>
            <w:r>
              <w:rPr>
                <w:rFonts w:ascii="Arial" w:cs="Arial" w:eastAsia="Arial" w:hAnsi="Arial"/>
                <w:sz w:val="14"/>
                <w:szCs w:val="14"/>
                <w:color w:val="auto"/>
              </w:rPr>
              <w:t>Weighted-average remaining lease term (years):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5"/>
              </w:rPr>
              <w:t>11.6</w:t>
            </w: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Arial" w:cs="Arial" w:eastAsia="Arial" w:hAnsi="Arial"/>
                <w:sz w:val="14"/>
                <w:szCs w:val="14"/>
                <w:color w:val="auto"/>
              </w:rPr>
              <w:t>Finance leases</w:t>
            </w:r>
          </w:p>
        </w:tc>
        <w:tc>
          <w:tcPr>
            <w:tcW w:w="1300" w:type="dxa"/>
            <w:vAlign w:val="bottom"/>
          </w:tcPr>
          <w:p>
            <w:pPr>
              <w:jc w:val="center"/>
              <w:ind w:left="208"/>
              <w:spacing w:after="0"/>
              <w:rPr>
                <w:sz w:val="20"/>
                <w:szCs w:val="20"/>
                <w:color w:val="auto"/>
              </w:rPr>
            </w:pPr>
            <w:r>
              <w:rPr>
                <w:rFonts w:ascii="Arial" w:cs="Arial" w:eastAsia="Arial" w:hAnsi="Arial"/>
                <w:sz w:val="14"/>
                <w:szCs w:val="14"/>
                <w:color w:val="auto"/>
                <w:w w:val="95"/>
              </w:rPr>
              <w:t>13.3</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Arial" w:cs="Arial" w:eastAsia="Arial" w:hAnsi="Arial"/>
                <w:sz w:val="14"/>
                <w:szCs w:val="14"/>
                <w:color w:val="auto"/>
              </w:rPr>
              <w:t>Operating leases</w:t>
            </w:r>
          </w:p>
        </w:tc>
        <w:tc>
          <w:tcPr>
            <w:tcW w:w="1300" w:type="dxa"/>
            <w:vAlign w:val="bottom"/>
          </w:tcPr>
          <w:p>
            <w:pPr>
              <w:jc w:val="center"/>
              <w:ind w:left="208"/>
              <w:spacing w:after="0"/>
              <w:rPr>
                <w:sz w:val="20"/>
                <w:szCs w:val="20"/>
                <w:color w:val="auto"/>
              </w:rPr>
            </w:pPr>
            <w:r>
              <w:rPr>
                <w:rFonts w:ascii="Arial" w:cs="Arial" w:eastAsia="Arial" w:hAnsi="Arial"/>
                <w:sz w:val="14"/>
                <w:szCs w:val="14"/>
                <w:color w:val="auto"/>
                <w:w w:val="93"/>
              </w:rPr>
              <w:t>5.5%</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5"/>
              </w:rPr>
              <w:t>10.5%</w:t>
            </w:r>
          </w:p>
        </w:tc>
        <w:tc>
          <w:tcPr>
            <w:tcW w:w="14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nine months ended September 30, 2023 and 2022, respectively: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23"/>
        </w:trPr>
        <w:tc>
          <w:tcPr>
            <w:tcW w:w="6360" w:type="dxa"/>
            <w:vAlign w:val="bottom"/>
            <w:gridSpan w:val="2"/>
          </w:tcPr>
          <w:p>
            <w:pPr>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outflows from operating leases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7,798</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6,092</w:t>
            </w:r>
          </w:p>
        </w:tc>
        <w:tc>
          <w:tcPr>
            <w:tcW w:w="120" w:type="dxa"/>
            <w:vAlign w:val="bottom"/>
            <w:shd w:val="clear" w:color="auto" w:fill="CCEEFF"/>
          </w:tcPr>
          <w:p>
            <w:pPr>
              <w:spacing w:after="0"/>
              <w:rPr>
                <w:sz w:val="21"/>
                <w:szCs w:val="21"/>
                <w:color w:val="auto"/>
              </w:rPr>
            </w:pPr>
          </w:p>
        </w:tc>
      </w:tr>
      <w:tr>
        <w:trPr>
          <w:trHeight w:val="243"/>
        </w:trPr>
        <w:tc>
          <w:tcPr>
            <w:tcW w:w="6360" w:type="dxa"/>
            <w:vAlign w:val="bottom"/>
            <w:gridSpan w:val="2"/>
          </w:tcPr>
          <w:p>
            <w:pPr>
              <w:spacing w:after="0"/>
              <w:rPr>
                <w:sz w:val="20"/>
                <w:szCs w:val="20"/>
                <w:color w:val="auto"/>
              </w:rPr>
            </w:pPr>
            <w:r>
              <w:rPr>
                <w:rFonts w:ascii="Arial" w:cs="Arial" w:eastAsia="Arial" w:hAnsi="Arial"/>
                <w:sz w:val="14"/>
                <w:szCs w:val="14"/>
                <w:color w:val="auto"/>
              </w:rPr>
              <w:t>Operating cash outflows from finance leases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3,668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3,754</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Financing cash outflows from finance leases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21"/>
                <w:szCs w:val="21"/>
                <w:color w:val="auto"/>
              </w:rPr>
            </w:pPr>
          </w:p>
        </w:tc>
      </w:tr>
      <w:tr>
        <w:trPr>
          <w:trHeight w:val="243"/>
        </w:trPr>
        <w:tc>
          <w:tcPr>
            <w:tcW w:w="6360" w:type="dxa"/>
            <w:vAlign w:val="bottom"/>
            <w:gridSpan w:val="2"/>
          </w:tcPr>
          <w:p>
            <w:pPr>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25,697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5,494</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assets obtained in exchange for new finance lease liabilities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categories used by management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6"/>
                <w:szCs w:val="16"/>
                <w:color w:val="auto"/>
              </w:rPr>
            </w:pPr>
          </w:p>
        </w:tc>
        <w:tc>
          <w:tcPr>
            <w:tcW w:w="2260" w:type="dxa"/>
            <w:vAlign w:val="bottom"/>
            <w:gridSpan w:val="4"/>
          </w:tcPr>
          <w:p>
            <w:pPr>
              <w:jc w:val="right"/>
              <w:ind w:right="601"/>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7"/>
                <w:szCs w:val="17"/>
                <w:color w:val="auto"/>
              </w:rPr>
            </w:pPr>
          </w:p>
        </w:tc>
        <w:tc>
          <w:tcPr>
            <w:tcW w:w="150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r>
      <w:tr>
        <w:trPr>
          <w:trHeight w:val="196"/>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Systems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231,454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171,092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641,825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488,243</w:t>
            </w:r>
          </w:p>
        </w:tc>
      </w:tr>
      <w:tr>
        <w:trPr>
          <w:trHeight w:val="203"/>
        </w:trPr>
        <w:tc>
          <w:tcPr>
            <w:tcW w:w="4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Aftermarket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60,872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178,491</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165,704</w:t>
            </w:r>
          </w:p>
        </w:tc>
      </w:tr>
      <w:tr>
        <w:trPr>
          <w:trHeight w:val="19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292,326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229,175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820,316</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653,947</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80"/>
          </w:cols>
          <w:pgMar w:left="1380" w:top="517" w:right="1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right"/>
              <w:ind w:right="3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8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2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51,563</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36,036</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134,647</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95,633</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Asia Pacific</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185,194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166,342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582,238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484,286</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0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55,569</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103,431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74,028</w:t>
            </w:r>
          </w:p>
        </w:tc>
      </w:tr>
      <w:tr>
        <w:trPr>
          <w:trHeight w:val="196"/>
        </w:trPr>
        <w:tc>
          <w:tcPr>
            <w:tcW w:w="298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0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292,326</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229,175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820,316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653,947</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46"/>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202,029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5"/>
          </w:tcPr>
          <w:p>
            <w:pPr>
              <w:jc w:val="right"/>
              <w:ind w:right="141"/>
              <w:spacing w:after="0"/>
              <w:rPr>
                <w:sz w:val="20"/>
                <w:szCs w:val="20"/>
                <w:color w:val="auto"/>
              </w:rPr>
            </w:pPr>
            <w:r>
              <w:rPr>
                <w:rFonts w:ascii="Arial" w:cs="Arial" w:eastAsia="Arial" w:hAnsi="Arial"/>
                <w:sz w:val="14"/>
                <w:szCs w:val="14"/>
                <w:b w:val="1"/>
                <w:bCs w:val="1"/>
                <w:color w:val="auto"/>
                <w:w w:val="96"/>
              </w:rPr>
              <w:t>Nine months ended</w:t>
            </w:r>
          </w:p>
        </w:tc>
      </w:tr>
      <w:tr>
        <w:trPr>
          <w:trHeight w:val="188"/>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30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2022</w:t>
            </w:r>
          </w:p>
        </w:tc>
      </w:tr>
      <w:tr>
        <w:trPr>
          <w:trHeight w:val="18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ind w:left="2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the period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182,540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154,777</w:t>
            </w: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68,436</w:t>
            </w:r>
          </w:p>
        </w:tc>
      </w:tr>
      <w:tr>
        <w:trPr>
          <w:trHeight w:val="203"/>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Arial" w:cs="Arial" w:eastAsia="Arial" w:hAnsi="Arial"/>
                <w:sz w:val="16"/>
                <w:szCs w:val="16"/>
                <w:color w:val="auto"/>
              </w:rPr>
              <w:t>Deferral of revenue</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62,787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70,706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154,216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108,472</w:t>
            </w: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Recognition of deferred revenue</w:t>
            </w:r>
          </w:p>
        </w:tc>
        <w:tc>
          <w:tcPr>
            <w:tcW w:w="17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(43,298)</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(106,964)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(54,319)</w:t>
            </w:r>
          </w:p>
        </w:tc>
      </w:tr>
      <w:tr>
        <w:trPr>
          <w:trHeight w:val="196"/>
        </w:trPr>
        <w:tc>
          <w:tcPr>
            <w:tcW w:w="4060" w:type="dxa"/>
            <w:vAlign w:val="bottom"/>
            <w:gridSpan w:val="2"/>
          </w:tcPr>
          <w:p>
            <w:pPr>
              <w:spacing w:after="0"/>
              <w:rPr>
                <w:sz w:val="20"/>
                <w:szCs w:val="20"/>
                <w:color w:val="auto"/>
              </w:rPr>
            </w:pPr>
            <w:r>
              <w:rPr>
                <w:rFonts w:ascii="Arial" w:cs="Arial" w:eastAsia="Arial" w:hAnsi="Arial"/>
                <w:sz w:val="16"/>
                <w:szCs w:val="16"/>
                <w:color w:val="auto"/>
              </w:rPr>
              <w:t>Balance, end of the period</w:t>
            </w:r>
          </w:p>
        </w:tc>
        <w:tc>
          <w:tcPr>
            <w:tcW w:w="17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202,029</w:t>
            </w: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122,589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202,029</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122,589</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majority of our system transactions have either (1) payment terms of 90% due upon shipment of the system and 10% due upon acceptance or (2) a pre-shipment deposit ranging from 20% to 60%, 70% to 30% due upon shipment and 10% at acceptance. Aftermarket transaction payment terms typically provide that payment is due either within 30 or 60 days after the service is provided or parts delivered.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 and Allowances for Credit Losses</w:t>
      </w:r>
    </w:p>
    <w:p>
      <w:pPr>
        <w:spacing w:after="0" w:line="1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trade receivables are reported on the consolidated balance sheets at their amortized cost adjusted for any write-offs and net of allowances for credit losses.</w:t>
      </w:r>
    </w:p>
    <w:p>
      <w:pPr>
        <w:spacing w:after="0" w:line="10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maintain an allowance for credit losses, which represents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w:t>
      </w:r>
    </w:p>
    <w:p>
      <w:pPr>
        <w:sectPr>
          <w:pgSz w:w="11900" w:h="16838" w:orient="portrait"/>
          <w:cols w:equalWidth="0" w:num="1">
            <w:col w:w="9120"/>
          </w:cols>
          <w:pgMar w:left="1380" w:top="517" w:right="13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experience, loss migration, delinquency trends, collection experience, current economic conditions, trade restrictions, estimates for supportable forecasts, when appropriate, and credit risk characteristics.</w:t>
      </w:r>
    </w:p>
    <w:p>
      <w:pPr>
        <w:spacing w:after="0" w:line="1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spacing w:after="0" w:line="1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recorded $0.7 million in bad debt expense for the three and nine-month periods ended September 30, 2023. We did not have any allowance or incur any credit losses or recoveries for the three and nine-month periods ended September 30, 2022. As of September 30, 2023 and 2022, respectively, we had no provision for credit losses.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Computation of Net Earnings per Share</w:t>
      </w:r>
    </w:p>
    <w:p>
      <w:pPr>
        <w:spacing w:after="0" w:line="162"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exercise of stock options and vesting of RSUs had been issued, calculated using the treasury stock method.</w:t>
      </w:r>
    </w:p>
    <w:p>
      <w:pPr>
        <w:sectPr>
          <w:pgSz w:w="11900" w:h="16838" w:orient="portrait"/>
          <w:cols w:equalWidth="0" w:num="1">
            <w:col w:w="9120"/>
          </w:cols>
          <w:pgMar w:left="1380" w:top="517" w:right="1399" w:bottom="1440" w:gutter="0" w:footer="0" w:header="0"/>
        </w:sectPr>
      </w:pP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earnings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546100</wp:posOffset>
            </wp:positionV>
            <wp:extent cx="57861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Net income available to common stockholders</w:t>
      </w:r>
    </w:p>
    <w:p>
      <w:pPr>
        <w:spacing w:after="0" w:line="22"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color w:val="auto"/>
        </w:rPr>
        <w:t>Weighted average shares of common stock outstanding used in computing basic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57861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Incremental options and RSUs</w:t>
      </w:r>
    </w:p>
    <w:p>
      <w:pPr>
        <w:spacing w:after="0" w:line="2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Weighted average shares of common stock used in computing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57861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61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per share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57861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6120" cy="15430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120" w:type="dxa"/>
            <w:vAlign w:val="bottom"/>
          </w:tcPr>
          <w:p>
            <w:pPr>
              <w:spacing w:after="0"/>
              <w:rPr>
                <w:sz w:val="14"/>
                <w:szCs w:val="14"/>
                <w:color w:val="auto"/>
              </w:rPr>
            </w:pPr>
          </w:p>
        </w:tc>
        <w:tc>
          <w:tcPr>
            <w:tcW w:w="150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2022</w:t>
            </w:r>
          </w:p>
        </w:tc>
      </w:tr>
      <w:tr>
        <w:trPr>
          <w:trHeight w:val="119"/>
        </w:trPr>
        <w:tc>
          <w:tcPr>
            <w:tcW w:w="120" w:type="dxa"/>
            <w:vAlign w:val="bottom"/>
          </w:tcPr>
          <w:p>
            <w:pPr>
              <w:spacing w:after="0"/>
              <w:rPr>
                <w:sz w:val="10"/>
                <w:szCs w:val="10"/>
                <w:color w:val="auto"/>
              </w:rPr>
            </w:pPr>
          </w:p>
        </w:tc>
        <w:tc>
          <w:tcPr>
            <w:tcW w:w="3080" w:type="dxa"/>
            <w:vAlign w:val="bottom"/>
            <w:gridSpan w:val="10"/>
          </w:tcPr>
          <w:p>
            <w:pPr>
              <w:jc w:val="right"/>
              <w:ind w:right="260"/>
              <w:spacing w:after="0" w:line="119" w:lineRule="exact"/>
              <w:rPr>
                <w:sz w:val="20"/>
                <w:szCs w:val="20"/>
                <w:color w:val="auto"/>
              </w:rPr>
            </w:pPr>
            <w:r>
              <w:rPr>
                <w:rFonts w:ascii="Arial" w:cs="Arial" w:eastAsia="Arial" w:hAnsi="Arial"/>
                <w:sz w:val="13"/>
                <w:szCs w:val="13"/>
                <w:b w:val="1"/>
                <w:bCs w:val="1"/>
                <w:color w:val="auto"/>
              </w:rPr>
              <w:t>(in thousands, except per share amounts)</w:t>
            </w:r>
          </w:p>
        </w:tc>
      </w:tr>
      <w:tr>
        <w:trPr>
          <w:trHeight w:val="209"/>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65,931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40,283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175,207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126,087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55"/>
        </w:trPr>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32,807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33,011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32,775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33,116</w:t>
            </w:r>
          </w:p>
        </w:tc>
      </w:tr>
      <w:tr>
        <w:trPr>
          <w:trHeight w:val="219"/>
        </w:trPr>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r>
      <w:tr>
        <w:trPr>
          <w:trHeight w:val="372"/>
        </w:trPr>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33,159</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33,389</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33,208</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85"/>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6"/>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00" w:space="260"/>
            <w:col w:w="3360"/>
          </w:cols>
          <w:pgMar w:left="1380" w:top="517" w:right="1399" w:bottom="1440" w:gutter="0" w:footer="0" w:header="0"/>
          <w:type w:val="continuous"/>
        </w:sectPr>
      </w:pPr>
    </w:p>
    <w:p>
      <w:pPr>
        <w:spacing w:after="0" w:line="150"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Diluted weighted average shares of common stock outstanding does not include 734 and 5,046 common equivalent shares issuable with respect to outstanding equity awards for the three-month periods ended September 30, 2023 and 2022, respectively, or 2,598 and 6,692 common equivalent shares issuable with respect to outstanding equity awards for the nine-month periods ended September 30, 2023 and 2022, respectively, as their effect would have been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Accumulated Other Comprehensive Loss</w:t>
      </w:r>
    </w:p>
    <w:p>
      <w:pPr>
        <w:spacing w:after="0" w:line="16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loss, net of tax, by component, for the nine months ended September 30,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jc w:val="right"/>
              <w:ind w:right="5"/>
              <w:spacing w:after="0"/>
              <w:rPr>
                <w:sz w:val="20"/>
                <w:szCs w:val="20"/>
                <w:color w:val="auto"/>
              </w:rPr>
            </w:pPr>
            <w:r>
              <w:rPr>
                <w:rFonts w:ascii="Arial" w:cs="Arial" w:eastAsia="Arial" w:hAnsi="Arial"/>
                <w:sz w:val="14"/>
                <w:szCs w:val="14"/>
                <w:b w:val="1"/>
                <w:bCs w:val="1"/>
                <w:color w:val="auto"/>
                <w:w w:val="97"/>
              </w:rPr>
              <w:t>Foreign</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Defined benefit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87"/>
              </w:rPr>
              <w:t>pension plan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(1,994)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6"/>
                <w:szCs w:val="16"/>
                <w:color w:val="auto"/>
              </w:rPr>
              <w:t>Other comprehensive loss and pension reclassification</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(2,192)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2023</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 (4,186)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7" w:right="139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Cash, cash equivalents and restricted cash</w:t>
      </w:r>
    </w:p>
    <w:p>
      <w:pPr>
        <w:spacing w:after="0" w:line="16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128"/>
        </w:trPr>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142,300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185,595</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Long-term restricted cash</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6,650</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148,950</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186,347</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As of September 30, 2023, we had $6.7 million in restricted cash representing the total of (i) a $5.9 million cash collateral relating to our lease for our headquarters in Beverly, Massachusetts, (ii) a $0.7 million letter of credit relating to workers’ compensation insurance and (iii) a $0.1 million deposit relating to customs activity. See Note 12 for further discussion on the $5.9 million cash collateral.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83"/>
              </w:rPr>
              <w:t>2022</w:t>
            </w:r>
          </w:p>
        </w:tc>
        <w:tc>
          <w:tcPr>
            <w:tcW w:w="2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24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226,601</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9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187,313</w:t>
            </w:r>
          </w:p>
        </w:tc>
        <w:tc>
          <w:tcPr>
            <w:tcW w:w="2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Work in process</w:t>
            </w: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55,825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35,069</w:t>
            </w:r>
          </w:p>
        </w:tc>
        <w:tc>
          <w:tcPr>
            <w:tcW w:w="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Finished goods (completed systems)</w:t>
            </w:r>
          </w:p>
        </w:tc>
        <w:tc>
          <w:tcPr>
            <w:tcW w:w="2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20,024</w:t>
            </w:r>
          </w:p>
        </w:tc>
        <w:tc>
          <w:tcPr>
            <w:tcW w:w="200" w:type="dxa"/>
            <w:vAlign w:val="bottom"/>
            <w:shd w:val="clear" w:color="auto" w:fill="CCEEFF"/>
          </w:tcPr>
          <w:p>
            <w:pPr>
              <w:spacing w:after="0"/>
              <w:rPr>
                <w:sz w:val="17"/>
                <w:szCs w:val="17"/>
                <w:color w:val="auto"/>
              </w:rPr>
            </w:pPr>
          </w:p>
        </w:tc>
      </w:tr>
      <w:tr>
        <w:trPr>
          <w:trHeight w:val="196"/>
        </w:trPr>
        <w:tc>
          <w:tcPr>
            <w:tcW w:w="4560" w:type="dxa"/>
            <w:vAlign w:val="bottom"/>
            <w:gridSpan w:val="2"/>
          </w:tcPr>
          <w:p>
            <w:pPr>
              <w:spacing w:after="0"/>
              <w:rPr>
                <w:sz w:val="20"/>
                <w:szCs w:val="20"/>
                <w:color w:val="auto"/>
              </w:rPr>
            </w:pPr>
            <w:r>
              <w:rPr>
                <w:rFonts w:ascii="Arial" w:cs="Arial" w:eastAsia="Arial" w:hAnsi="Arial"/>
                <w:sz w:val="16"/>
                <w:szCs w:val="16"/>
                <w:color w:val="auto"/>
              </w:rPr>
              <w:t>Inventories, net</w:t>
            </w:r>
          </w:p>
        </w:tc>
        <w:tc>
          <w:tcPr>
            <w:tcW w:w="220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312,223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242,406</w:t>
            </w:r>
          </w:p>
        </w:tc>
        <w:tc>
          <w:tcPr>
            <w:tcW w:w="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w:t>
      </w:r>
    </w:p>
    <w:p>
      <w:pPr>
        <w:spacing w:after="0" w:line="162"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our standard product warranty liability are as follows:</w:t>
      </w:r>
    </w:p>
    <w:p>
      <w:pPr>
        <w:spacing w:after="0" w:line="230"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Nine months ended</w:t>
      </w:r>
    </w:p>
    <w:p>
      <w:pPr>
        <w:jc w:val="center"/>
        <w:ind w:left="71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jc w:val="right"/>
              <w:ind w:right="280"/>
              <w:spacing w:after="0" w:line="129"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(beginning of year)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10,487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6,924</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Warranties issued during the period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7,454</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Settlements made during the period</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Changes in estimate of liability for pre-existing warranties during the period</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(end of period)</w:t>
            </w: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13,856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9,667</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Amount classified as current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11,464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8,482</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Amount classified as long-term (within other long-term liabilities)</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warranty liability</w:t>
            </w: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13,856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9,667</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6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Fair Value Hierarchy</w:t>
      </w:r>
    </w:p>
    <w:p>
      <w:pPr>
        <w:spacing w:after="0" w:line="16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applies to assets or liabilities for which there are quoted prices in active markets for identical assets or liabilities.</w:t>
      </w:r>
    </w:p>
    <w:p>
      <w:pPr>
        <w:spacing w:after="0" w:line="16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Fair Value Measurements</w:t>
      </w:r>
    </w:p>
    <w:p>
      <w:pPr>
        <w:spacing w:after="0" w:line="162"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assets by level within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1"/>
              </w:rPr>
              <w:t>September 30, 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w w:val="7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and other 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and Agency Investments)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114,475</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200"/>
              <w:spacing w:after="0" w:line="201" w:lineRule="exact"/>
              <w:rPr>
                <w:sz w:val="20"/>
                <w:szCs w:val="20"/>
                <w:color w:val="auto"/>
              </w:rPr>
            </w:pPr>
            <w:r>
              <w:rPr>
                <w:rFonts w:ascii="Arial" w:cs="Arial" w:eastAsia="Arial" w:hAnsi="Arial"/>
                <w:sz w:val="18"/>
                <w:szCs w:val="18"/>
                <w:color w:val="auto"/>
                <w:w w:val="92"/>
              </w:rPr>
              <w:t>Short-term investments (U.S. Government Securities and Agency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318,202</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318,202</w:t>
            </w:r>
          </w:p>
        </w:tc>
        <w:tc>
          <w:tcPr>
            <w:tcW w:w="10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432,677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432,677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w w:val="7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and other 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and Agency Investments)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136,771</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200"/>
              <w:spacing w:after="0" w:line="201" w:lineRule="exact"/>
              <w:rPr>
                <w:sz w:val="20"/>
                <w:szCs w:val="20"/>
                <w:color w:val="auto"/>
              </w:rPr>
            </w:pPr>
            <w:r>
              <w:rPr>
                <w:rFonts w:ascii="Arial" w:cs="Arial" w:eastAsia="Arial" w:hAnsi="Arial"/>
                <w:sz w:val="18"/>
                <w:szCs w:val="18"/>
                <w:color w:val="auto"/>
                <w:w w:val="92"/>
              </w:rPr>
              <w:t>Short-term investments (U.S. Government Securities and Agency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245,247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245,247</w:t>
            </w:r>
          </w:p>
        </w:tc>
        <w:tc>
          <w:tcPr>
            <w:tcW w:w="100" w:type="dxa"/>
            <w:vAlign w:val="bottom"/>
            <w:tcBorders>
              <w:bottom w:val="single" w:sz="8" w:color="CCEEFF"/>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357,018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382,018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Financial Instruments</w:t>
      </w:r>
    </w:p>
    <w:p>
      <w:pPr>
        <w:spacing w:after="0" w:line="16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Financing Arrangements</w:t>
      </w:r>
    </w:p>
    <w:p>
      <w:pPr>
        <w:spacing w:after="0" w:line="16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$45.5 million as of September 30, 2023. The associated lease payments include both an interest component and payment of principal, with the remaining liability being extinguished at the end of the original lease term. As of September 30, 2023, we had a security deposit of $5.9 million related to this lease.</w:t>
      </w:r>
    </w:p>
    <w:p>
      <w:pPr>
        <w:spacing w:after="0" w:line="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April 5, 2023 we terminated the Senior Secured Credit Facilities Credit Agreement, as amended (the “Credit Agreement”), with Silicon Valley Bank that we entered into on July 31, 2020. The Credit Agreement provided for a revolving credit facility covering borrowings and letters of credit in an aggregate principal amount not to exceed $40.0 million. Our obligations under the Credit Agreement were secured by a security interest, senior to any current and future debts and to any security interest, in all of our rights, title, and interest in, to and under substantially all of our assets, subject to limited exceptions, including permitted liens. Upon termination, these liens and all other obligations under the credit agreement, were released. A letter of credit issued by Silicon Valley Bank, a division of First Citizens Bank &amp; Trust Company (successor by purchase to the Federal Deposit Insurance Corporation as Receiver for Silicon Valley Bridge Bank, N.A.) as successor to Silicon Valley Bank, remains outstanding in the amount of $5.9 million, securing our lease on our corporate headquarters. This letter of credit was transitioned to a cash collateral arrangement on March 30, 2023, and was classified as long-term restricted cash on our balance sheet at September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0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Income tax expense was $7.7 million for the three months ended September 30, 2023, compared to $4.7 million for the three months ended September 30, 2022. The $3.0 million increase was primarily due to an increase in pre-tax</w:t>
      </w:r>
    </w:p>
    <w:p>
      <w:pPr>
        <w:sectPr>
          <w:pgSz w:w="11900" w:h="16838" w:orient="portrait"/>
          <w:cols w:equalWidth="0" w:num="1">
            <w:col w:w="9120"/>
          </w:cols>
          <w:pgMar w:left="1380" w:top="517" w:right="13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income partially offset by the tax deduction related to foreign sales taxed at a lower rate. Income tax expense was $16.0 million for the nine months ended September 30, 2023, compared to $13.0 million for the nine months ended September 30, 2022. The $3.0 million increase was primarily due to an increase in pre-tax income partially offset by the tax deduction related to stock based compensation and additional research and development tax credit.</w:t>
      </w:r>
    </w:p>
    <w:p>
      <w:pPr>
        <w:spacing w:after="0" w:line="5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effective tax rate for the three and nine months ended September 30, 2023 was less than the U.S. statutory rate of 21% due to a forecasted Foreign Derived Intangible Income deduction, Federal research and development tax credits and a favorable discrete item related to equity compensation that reduces the annual tax rate.</w:t>
      </w:r>
    </w:p>
    <w:p>
      <w:pPr>
        <w:spacing w:after="0" w:line="4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deferred income taxes of $44.3 million and $31.7 million as of September 30, 2023 and December 31, 2022, respectively, reflect the net tax effect of temporary differences between the carrying amount of assets and liabilities for financial reporting purposes and the amounts used for income tax purposes, as well as the tax effect of carryforwards. As of September 30, 2023, we have recorded a $10.6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 of Risk</w:t>
      </w:r>
    </w:p>
    <w:p>
      <w:pPr>
        <w:spacing w:after="0" w:line="10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For the three months ended September 30, 2023, no individual customer accounted for greater than ten percent of total revenue. For the three months ended September 30, 2022, one customer accounted for 13.8% of total revenue.</w:t>
      </w:r>
    </w:p>
    <w:p>
      <w:pPr>
        <w:spacing w:after="0" w:line="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the nine months ended September 30, 2023, one customer accounted for 10.7% of total revenue. For the nine months ended September 30, 2022, one customer accounted for 14.8% of total revenue.</w:t>
      </w:r>
    </w:p>
    <w:p>
      <w:pPr>
        <w:spacing w:after="0" w:line="49"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At September 30, 2023, three customers accounted for 11.8%, 11.0%, and 10.2% of accounts receivable, respectively. At December 31, 2022, two customers accounted for 19.4% and 11.5% of accounts receivable,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 Repurchase</w:t>
      </w:r>
    </w:p>
    <w:p>
      <w:pPr>
        <w:spacing w:after="0" w:line="13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February 2022, our Board of Directors approved stock repurchases of up to $100 million of our common stock. In August 2023, our Board of Directors approved additional funding of $200 million for our stock repurchase program, to be available on full utilization of the $100 million repurchase funding approved in February 2022. During the nine months ended September 30, 2023, we repurchased 0.3 million shares at an average cost of $137.54 per share. The timing and actual number of any additional shares to be repurchased under this program will depend on various factors including price, corporate and regulatory requirements, alternative investment opportunities and other market conditions.</w:t>
      </w:r>
    </w:p>
    <w:p>
      <w:pPr>
        <w:spacing w:after="0" w:line="4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Repurchased shares are accounted for when the transaction is settled and returned to the status of authorized but unissued shares. Accordingly, on our balance sheet, the repurchase price is deducted from common stock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Litigation</w:t>
      </w:r>
    </w:p>
    <w:p>
      <w:pPr>
        <w:spacing w:after="0" w:line="108" w:lineRule="exact"/>
        <w:rPr>
          <w:sz w:val="20"/>
          <w:szCs w:val="20"/>
          <w:color w:val="auto"/>
        </w:rPr>
      </w:pPr>
    </w:p>
    <w:p>
      <w:pPr>
        <w:ind w:right="160" w:firstLine="648"/>
        <w:spacing w:after="0" w:line="340"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Indemnifications</w:t>
      </w:r>
    </w:p>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69"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33">
        <w:r>
          <w:rPr>
            <w:rFonts w:ascii="Arial" w:cs="Arial" w:eastAsia="Arial" w:hAnsi="Arial"/>
            <w:sz w:val="17"/>
            <w:szCs w:val="17"/>
            <w:i w:val="1"/>
            <w:iCs w:val="1"/>
            <w:color w:val="auto"/>
          </w:rPr>
          <w:t xml:space="preserve">Resources" below and under “Risk Factors” in Part I, Item 1A to our </w:t>
        </w:r>
        <w:r>
          <w:rPr>
            <w:rFonts w:ascii="Arial" w:cs="Arial" w:eastAsia="Arial" w:hAnsi="Arial"/>
            <w:sz w:val="17"/>
            <w:szCs w:val="17"/>
            <w:i w:val="1"/>
            <w:iCs w:val="1"/>
            <w:u w:val="single" w:color="auto"/>
            <w:color w:val="0000EE"/>
          </w:rPr>
          <w:t>Annual Report on Form 10-K for the year ended</w:t>
        </w:r>
      </w:hyperlink>
      <w:r>
        <w:rPr>
          <w:rFonts w:ascii="Arial" w:cs="Arial" w:eastAsia="Arial" w:hAnsi="Arial"/>
          <w:sz w:val="17"/>
          <w:szCs w:val="17"/>
          <w:i w:val="1"/>
          <w:iCs w:val="1"/>
          <w:color w:val="auto"/>
        </w:rPr>
        <w:t xml:space="preserve"> </w:t>
      </w:r>
      <w:hyperlink r:id="rId33">
        <w:r>
          <w:rPr>
            <w:rFonts w:ascii="Arial" w:cs="Arial" w:eastAsia="Arial" w:hAnsi="Arial"/>
            <w:sz w:val="17"/>
            <w:szCs w:val="17"/>
            <w:i w:val="1"/>
            <w:iCs w:val="1"/>
            <w:u w:val="single" w:color="auto"/>
            <w:color w:val="0000EE"/>
          </w:rPr>
          <w:t>December 31, 2022</w:t>
        </w:r>
        <w:r>
          <w:rPr>
            <w:rFonts w:ascii="Arial" w:cs="Arial" w:eastAsia="Arial" w:hAnsi="Arial"/>
            <w:sz w:val="17"/>
            <w:szCs w:val="17"/>
            <w:i w:val="1"/>
            <w:iCs w:val="1"/>
            <w:color w:val="000000"/>
          </w:rPr>
          <w:t xml:space="preserve">, which discussion is incorporated herein by reference. Readers are cautioned not to place undue </w:t>
        </w:r>
      </w:hyperlink>
      <w:r>
        <w:rPr>
          <w:rFonts w:ascii="Arial" w:cs="Arial" w:eastAsia="Arial" w:hAnsi="Arial"/>
          <w:sz w:val="17"/>
          <w:szCs w:val="17"/>
          <w:i w:val="1"/>
          <w:iCs w:val="1"/>
          <w:color w:val="0000EE"/>
        </w:rPr>
        <w:t xml:space="preserve">reliance </w:t>
      </w:r>
      <w:r>
        <w:rPr>
          <w:rFonts w:ascii="Arial" w:cs="Arial" w:eastAsia="Arial" w:hAnsi="Arial"/>
          <w:sz w:val="17"/>
          <w:szCs w:val="17"/>
          <w:i w:val="1"/>
          <w:iCs w:val="1"/>
          <w:color w:val="000000"/>
        </w:rPr>
        <w:t>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55.1% of total revenue for the nine months ended September 30, 2023.</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first nine months of 2023 exhibited continued strong demand for our capital equipment, despite a downturn in the memory segment of our industry that is causing other semiconductor equipment makers to experience lower revenues than the same period in the prior year. Supply chain performance has improved from challenges experienced during the global pandemic between 2020 and 2022, but has not completely recovered. Axcelis’ strong results in 2023 demonstrate our ability to meet demand and manage supply chain difficulties. Our performance is closely related to the growing mature process technology market, with 94% of shipments during the first nine months of 2023 going to mature foundry/logic customers.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Management’s discussion and analysis of our financial condition and results of operations included herein and in our Annual Report on Form 10-K for the year ended December 31, 2022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Annual Report on Form 10-K for the year ended December 31, 2022.</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04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060" w:type="dxa"/>
            <w:vAlign w:val="bottom"/>
          </w:tcPr>
          <w:p>
            <w:pPr>
              <w:spacing w:after="0"/>
              <w:rPr>
                <w:sz w:val="14"/>
                <w:szCs w:val="14"/>
                <w:color w:val="auto"/>
              </w:rPr>
            </w:pPr>
          </w:p>
        </w:tc>
        <w:tc>
          <w:tcPr>
            <w:tcW w:w="204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gridSpan w:val="4"/>
          </w:tcPr>
          <w:p>
            <w:pPr>
              <w:jc w:val="right"/>
              <w:ind w:right="699"/>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0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2"/>
                <w:szCs w:val="12"/>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Product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96.9 %</w:t>
            </w:r>
          </w:p>
        </w:tc>
        <w:tc>
          <w:tcPr>
            <w:tcW w:w="1140" w:type="dxa"/>
            <w:vAlign w:val="bottom"/>
            <w:gridSpan w:val="2"/>
          </w:tcPr>
          <w:p>
            <w:pPr>
              <w:jc w:val="right"/>
              <w:ind w:right="239"/>
              <w:spacing w:after="0"/>
              <w:rPr>
                <w:sz w:val="20"/>
                <w:szCs w:val="20"/>
                <w:color w:val="auto"/>
              </w:rPr>
            </w:pPr>
            <w:r>
              <w:rPr>
                <w:rFonts w:ascii="Arial" w:cs="Arial" w:eastAsia="Arial" w:hAnsi="Arial"/>
                <w:sz w:val="16"/>
                <w:szCs w:val="16"/>
                <w:color w:val="auto"/>
              </w:rPr>
              <w:t>96.7 %</w:t>
            </w:r>
          </w:p>
        </w:tc>
        <w:tc>
          <w:tcPr>
            <w:tcW w:w="920" w:type="dxa"/>
            <w:vAlign w:val="bottom"/>
            <w:gridSpan w:val="2"/>
          </w:tcPr>
          <w:p>
            <w:pPr>
              <w:jc w:val="right"/>
              <w:ind w:right="24"/>
              <w:spacing w:after="0"/>
              <w:rPr>
                <w:sz w:val="20"/>
                <w:szCs w:val="20"/>
                <w:color w:val="auto"/>
              </w:rPr>
            </w:pPr>
            <w:r>
              <w:rPr>
                <w:rFonts w:ascii="Arial" w:cs="Arial" w:eastAsia="Arial" w:hAnsi="Arial"/>
                <w:sz w:val="16"/>
                <w:szCs w:val="16"/>
                <w:color w:val="auto"/>
              </w:rPr>
              <w:t>96.9 %</w:t>
            </w:r>
          </w:p>
        </w:tc>
        <w:tc>
          <w:tcPr>
            <w:tcW w:w="1100" w:type="dxa"/>
            <w:vAlign w:val="bottom"/>
            <w:gridSpan w:val="2"/>
          </w:tcPr>
          <w:p>
            <w:pPr>
              <w:jc w:val="right"/>
              <w:ind w:right="199"/>
              <w:spacing w:after="0"/>
              <w:rPr>
                <w:sz w:val="20"/>
                <w:szCs w:val="20"/>
                <w:color w:val="auto"/>
              </w:rPr>
            </w:pPr>
            <w:r>
              <w:rPr>
                <w:rFonts w:ascii="Arial" w:cs="Arial" w:eastAsia="Arial" w:hAnsi="Arial"/>
                <w:sz w:val="16"/>
                <w:szCs w:val="16"/>
                <w:color w:val="auto"/>
              </w:rPr>
              <w:t>96.6 %</w:t>
            </w: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Product</w:t>
            </w:r>
          </w:p>
        </w:tc>
        <w:tc>
          <w:tcPr>
            <w:tcW w:w="680" w:type="dxa"/>
            <w:vAlign w:val="bottom"/>
          </w:tcPr>
          <w:p>
            <w:pPr>
              <w:jc w:val="right"/>
              <w:spacing w:after="0"/>
              <w:rPr>
                <w:sz w:val="20"/>
                <w:szCs w:val="20"/>
                <w:color w:val="auto"/>
              </w:rPr>
            </w:pPr>
            <w:r>
              <w:rPr>
                <w:rFonts w:ascii="Arial" w:cs="Arial" w:eastAsia="Arial" w:hAnsi="Arial"/>
                <w:sz w:val="16"/>
                <w:szCs w:val="16"/>
                <w:color w:val="auto"/>
              </w:rPr>
              <w:t>53.0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51.9</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52.4</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Arial" w:cs="Arial" w:eastAsia="Arial" w:hAnsi="Arial"/>
                <w:sz w:val="16"/>
                <w:szCs w:val="16"/>
                <w:color w:val="auto"/>
              </w:rPr>
              <w:t>Total cost of 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55.7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54.9</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55.3</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Operating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4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Other income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(0.5)</w:t>
            </w:r>
          </w:p>
        </w:tc>
        <w:tc>
          <w:tcPr>
            <w:tcW w:w="1140" w:type="dxa"/>
            <w:vAlign w:val="bottom"/>
            <w:gridSpan w:val="2"/>
          </w:tcPr>
          <w:p>
            <w:pPr>
              <w:jc w:val="right"/>
              <w:ind w:right="379"/>
              <w:spacing w:after="0"/>
              <w:rPr>
                <w:sz w:val="20"/>
                <w:szCs w:val="20"/>
                <w:color w:val="auto"/>
              </w:rPr>
            </w:pPr>
            <w:r>
              <w:rPr>
                <w:rFonts w:ascii="Arial" w:cs="Arial" w:eastAsia="Arial" w:hAnsi="Arial"/>
                <w:sz w:val="16"/>
                <w:szCs w:val="16"/>
                <w:color w:val="auto"/>
              </w:rPr>
              <w:t>(0.6)</w:t>
            </w:r>
          </w:p>
        </w:tc>
        <w:tc>
          <w:tcPr>
            <w:tcW w:w="920" w:type="dxa"/>
            <w:vAlign w:val="bottom"/>
            <w:gridSpan w:val="2"/>
          </w:tcPr>
          <w:p>
            <w:pPr>
              <w:jc w:val="right"/>
              <w:ind w:right="144"/>
              <w:spacing w:after="0"/>
              <w:rPr>
                <w:sz w:val="20"/>
                <w:szCs w:val="20"/>
                <w:color w:val="auto"/>
              </w:rPr>
            </w:pPr>
            <w:r>
              <w:rPr>
                <w:rFonts w:ascii="Arial" w:cs="Arial" w:eastAsia="Arial" w:hAnsi="Arial"/>
                <w:sz w:val="16"/>
                <w:szCs w:val="16"/>
                <w:color w:val="auto"/>
              </w:rPr>
              <w:t>(0.5)</w:t>
            </w:r>
          </w:p>
        </w:tc>
        <w:tc>
          <w:tcPr>
            <w:tcW w:w="1100" w:type="dxa"/>
            <w:vAlign w:val="bottom"/>
            <w:gridSpan w:val="2"/>
          </w:tcPr>
          <w:p>
            <w:pPr>
              <w:jc w:val="right"/>
              <w:ind w:right="319"/>
              <w:spacing w:after="0"/>
              <w:rPr>
                <w:sz w:val="20"/>
                <w:szCs w:val="20"/>
                <w:color w:val="auto"/>
              </w:rPr>
            </w:pPr>
            <w:r>
              <w:rPr>
                <w:rFonts w:ascii="Arial" w:cs="Arial" w:eastAsia="Arial" w:hAnsi="Arial"/>
                <w:sz w:val="16"/>
                <w:szCs w:val="16"/>
                <w:color w:val="auto"/>
              </w:rPr>
              <w:t>(0.6)</w:t>
            </w: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(0.4)</w:t>
            </w:r>
          </w:p>
        </w:tc>
        <w:tc>
          <w:tcPr>
            <w:tcW w:w="1140" w:type="dxa"/>
            <w:vAlign w:val="bottom"/>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(3.5)</w:t>
            </w:r>
          </w:p>
        </w:tc>
        <w:tc>
          <w:tcPr>
            <w:tcW w:w="9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(0.5)</w:t>
            </w:r>
          </w:p>
        </w:tc>
        <w:tc>
          <w:tcPr>
            <w:tcW w:w="110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(2.2)</w:t>
            </w:r>
          </w:p>
        </w:tc>
      </w:tr>
      <w:tr>
        <w:trPr>
          <w:trHeight w:val="196"/>
        </w:trPr>
        <w:tc>
          <w:tcPr>
            <w:tcW w:w="50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other income (expense)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4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420" w:type="dxa"/>
            <w:vAlign w:val="bottom"/>
            <w:tcBorders>
              <w:bottom w:val="single" w:sz="8" w:color="CCEEFF"/>
            </w:tcBorders>
          </w:tcPr>
          <w:p>
            <w:pPr>
              <w:spacing w:after="0"/>
              <w:rPr>
                <w:sz w:val="18"/>
                <w:szCs w:val="18"/>
                <w:color w:val="auto"/>
              </w:rPr>
            </w:pPr>
          </w:p>
        </w:tc>
      </w:tr>
      <w:tr>
        <w:trPr>
          <w:trHeight w:val="199"/>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4"/>
              </w:rPr>
              <w:t>%</w:t>
            </w:r>
          </w:p>
        </w:tc>
      </w:tr>
      <w:tr>
        <w:trPr>
          <w:trHeight w:val="20"/>
        </w:trPr>
        <w:tc>
          <w:tcPr>
            <w:tcW w:w="5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 and services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380" w:type="dxa"/>
            <w:vAlign w:val="bottom"/>
            <w:gridSpan w:val="5"/>
          </w:tcPr>
          <w:p>
            <w:pPr>
              <w:jc w:val="center"/>
              <w:ind w:right="168"/>
              <w:spacing w:after="0"/>
              <w:rPr>
                <w:sz w:val="20"/>
                <w:szCs w:val="20"/>
                <w:color w:val="auto"/>
              </w:rPr>
            </w:pPr>
            <w:r>
              <w:rPr>
                <w:rFonts w:ascii="Arial" w:cs="Arial" w:eastAsia="Arial" w:hAnsi="Arial"/>
                <w:sz w:val="14"/>
                <w:szCs w:val="14"/>
                <w:b w:val="1"/>
                <w:bCs w:val="1"/>
                <w:color w:val="auto"/>
                <w:w w:val="92"/>
              </w:rPr>
              <w:t>Period-to-Period</w:t>
            </w: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820" w:type="dxa"/>
            <w:vAlign w:val="bottom"/>
            <w:gridSpan w:val="3"/>
          </w:tcPr>
          <w:p>
            <w:pPr>
              <w:jc w:val="center"/>
              <w:ind w:left="246"/>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44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9"/>
              </w:rPr>
              <w:t>in</w:t>
            </w: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4"/>
              </w:rPr>
              <w:t>(dollars</w:t>
            </w:r>
          </w:p>
        </w:tc>
        <w:tc>
          <w:tcPr>
            <w:tcW w:w="220" w:type="dxa"/>
            <w:vAlign w:val="bottom"/>
            <w:vMerge w:val="continue"/>
          </w:tcPr>
          <w:p>
            <w:pPr>
              <w:spacing w:after="0"/>
              <w:rPr>
                <w:sz w:val="11"/>
                <w:szCs w:val="11"/>
                <w:color w:val="auto"/>
              </w:rPr>
            </w:pPr>
          </w:p>
        </w:tc>
        <w:tc>
          <w:tcPr>
            <w:tcW w:w="700" w:type="dxa"/>
            <w:vAlign w:val="bottom"/>
          </w:tcPr>
          <w:p>
            <w:pPr>
              <w:jc w:val="right"/>
              <w:ind w:right="4"/>
              <w:spacing w:after="0" w:line="129" w:lineRule="exact"/>
              <w:rPr>
                <w:sz w:val="20"/>
                <w:szCs w:val="20"/>
                <w:color w:val="auto"/>
              </w:rPr>
            </w:pPr>
            <w:r>
              <w:rPr>
                <w:rFonts w:ascii="Arial" w:cs="Arial" w:eastAsia="Arial" w:hAnsi="Arial"/>
                <w:sz w:val="14"/>
                <w:szCs w:val="14"/>
                <w:b w:val="1"/>
                <w:bCs w:val="1"/>
                <w:color w:val="auto"/>
                <w:w w:val="79"/>
              </w:rPr>
              <w:t>thousands)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20"/>
              <w:spacing w:after="0"/>
              <w:rPr>
                <w:sz w:val="20"/>
                <w:szCs w:val="20"/>
                <w:color w:val="auto"/>
              </w:rPr>
            </w:pPr>
            <w:r>
              <w:rPr>
                <w:rFonts w:ascii="Arial" w:cs="Arial" w:eastAsia="Arial" w:hAnsi="Arial"/>
                <w:sz w:val="16"/>
                <w:szCs w:val="16"/>
                <w:color w:val="auto"/>
              </w:rPr>
              <w:t>Product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$ 283,367</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2"/>
              </w:rPr>
              <w:t>$ 221,540</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3"/>
              </w:rPr>
              <w:t xml:space="preserve">$ </w:t>
            </w:r>
            <w:r>
              <w:rPr>
                <w:rFonts w:ascii="Arial" w:cs="Arial" w:eastAsia="Arial" w:hAnsi="Arial"/>
                <w:sz w:val="16"/>
                <w:szCs w:val="16"/>
                <w:i w:val="1"/>
                <w:iCs w:val="1"/>
                <w:color w:val="auto"/>
                <w:w w:val="93"/>
              </w:rPr>
              <w:t>61,827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i w:val="1"/>
                <w:iCs w:val="1"/>
                <w:color w:val="auto"/>
                <w:w w:val="95"/>
              </w:rPr>
              <w:t xml:space="preserve">27.9 % </w:t>
            </w:r>
            <w:r>
              <w:rPr>
                <w:rFonts w:ascii="Arial" w:cs="Arial" w:eastAsia="Arial" w:hAnsi="Arial"/>
                <w:sz w:val="16"/>
                <w:szCs w:val="16"/>
                <w:color w:val="auto"/>
                <w:w w:val="95"/>
              </w:rPr>
              <w:t>$ 795,047</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w w:val="95"/>
              </w:rPr>
              <w:t>$ 631,998</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w w:val="89"/>
              </w:rPr>
              <w:t>$ 163,049</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i w:val="1"/>
                <w:iCs w:val="1"/>
                <w:color w:val="auto"/>
              </w:rPr>
              <w:t>25.8 %</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96.9 %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96.7 %</w:t>
            </w: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96.9 %</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96.6 %</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20"/>
              <w:spacing w:after="0"/>
              <w:rPr>
                <w:sz w:val="20"/>
                <w:szCs w:val="20"/>
                <w:color w:val="auto"/>
              </w:rPr>
            </w:pPr>
            <w:r>
              <w:rPr>
                <w:rFonts w:ascii="Arial" w:cs="Arial" w:eastAsia="Arial" w:hAnsi="Arial"/>
                <w:sz w:val="16"/>
                <w:szCs w:val="16"/>
                <w:color w:val="auto"/>
              </w:rPr>
              <w:t>Services</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8,959</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7,635</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i w:val="1"/>
                <w:iCs w:val="1"/>
                <w:color w:val="auto"/>
              </w:rPr>
              <w:t>1,324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6"/>
                <w:szCs w:val="16"/>
                <w:i w:val="1"/>
                <w:iCs w:val="1"/>
                <w:color w:val="auto"/>
                <w:w w:val="88"/>
              </w:rPr>
              <w:t>17.3 %</w:t>
            </w:r>
          </w:p>
        </w:tc>
        <w:tc>
          <w:tcPr>
            <w:tcW w:w="700" w:type="dxa"/>
            <w:vAlign w:val="bottom"/>
          </w:tcPr>
          <w:p>
            <w:pPr>
              <w:jc w:val="right"/>
              <w:spacing w:after="0"/>
              <w:rPr>
                <w:sz w:val="20"/>
                <w:szCs w:val="20"/>
                <w:color w:val="auto"/>
              </w:rPr>
            </w:pPr>
            <w:r>
              <w:rPr>
                <w:rFonts w:ascii="Arial" w:cs="Arial" w:eastAsia="Arial" w:hAnsi="Arial"/>
                <w:sz w:val="16"/>
                <w:szCs w:val="16"/>
                <w:color w:val="auto"/>
              </w:rPr>
              <w:t>25,269</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21,949</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3,320</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i w:val="1"/>
                <w:iCs w:val="1"/>
                <w:color w:val="auto"/>
              </w:rPr>
              <w:t>15.1 %</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3.1 %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3.3 %</w:t>
            </w: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3.1 %</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3.4 %</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4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$ 292,326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$ 229,175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$ 63,151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6"/>
                <w:szCs w:val="16"/>
                <w:i w:val="1"/>
                <w:iCs w:val="1"/>
                <w:color w:val="auto"/>
                <w:w w:val="88"/>
              </w:rPr>
              <w:t>27.6 %</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$ 820,316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$ 653,947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$ 166,369</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i w:val="1"/>
                <w:iCs w:val="1"/>
                <w:color w:val="auto"/>
              </w:rPr>
              <w:t xml:space="preserve">25.4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Compared with Three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revenue, which includes systems sales, sales of spare parts, product upgrades and used systems,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$283.4 million, or 96.9% of revenue, during the three months ended September 30, 2023, compared with $221.5 million,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96.7% of revenue, for the three months ended September 30, 2022. The $61.8 million increase in product revenue for the</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three-month period ended September 30, 2023, in comparison to the same period in 2022, was primarily driven by an increase in the number of systems sold.</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Deferred revenue includes payments received in advance of system sales as well as deferral of revenue from systems sales for installation and other future performance obligations. The total amount of deferred revenue at September 30, 2023 and December 31, 2022 was $202.0 million and $154.7 million, respectively. The increase in deferred revenue was primarily due to payments received in advance of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Services revenue, which includes the labor component of maintenance and service contracts and fees for service hours provided by on-site service personnel, was $9.0 million, or 3.1% of revenue, for the three months ended September 30, 2023, compared with $7.6 million, or 3.3% of revenue, for the three months ended September 30, 2022.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with Nine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Product revenue was $795.0 million, or 96.9% of revenue, during the nine months ended September 30, 2023, compared with $632.0 million, or 96.6% of revenue, for the nine months ended September 30, 2022. The $163.0 million increase in product revenue for the nine-month period ended September 30, 2023, in comparison to the same period in 2022, was primarily driven by an increase in the number of systems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Services revenue was $25.3 million, or 3.1% of revenue, for the nine months ended September 30, 2023, compared with $21.9 million, or 3.4% of revenue, for the nine months ended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Categories used by Management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to the line item revenue categories discussed above, management also regularly disaggregates revenue in the following categories, which it finds relevant and useful:</w:t>
      </w:r>
    </w:p>
    <w:p>
      <w:pPr>
        <w:spacing w:after="0" w:line="170" w:lineRule="exact"/>
        <w:rPr>
          <w:sz w:val="20"/>
          <w:szCs w:val="20"/>
          <w:color w:val="auto"/>
        </w:rPr>
      </w:pPr>
    </w:p>
    <w:p>
      <w:pPr>
        <w:ind w:left="1320" w:hanging="316"/>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Systems and Aftermarket revenues, in which “Aftermarket” is:</w:t>
      </w:r>
    </w:p>
    <w:p>
      <w:pPr>
        <w:spacing w:after="0" w:line="23" w:lineRule="exact"/>
        <w:rPr>
          <w:rFonts w:ascii="Arial" w:cs="Arial" w:eastAsia="Arial" w:hAnsi="Arial"/>
          <w:sz w:val="18"/>
          <w:szCs w:val="18"/>
          <w:color w:val="auto"/>
        </w:rPr>
      </w:pPr>
    </w:p>
    <w:p>
      <w:pPr>
        <w:ind w:left="1980" w:right="380" w:hanging="328"/>
        <w:spacing w:after="0" w:line="250" w:lineRule="auto"/>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Services revenue, which is the labor component of Aftermarket revenues;</w:t>
      </w:r>
    </w:p>
    <w:p>
      <w:pPr>
        <w:spacing w:after="0" w:line="211"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auto"/>
        </w:rPr>
        <w:t>(Aftermarket purchases reflect current fab utilization as opposed to Systems purchases which reflect capital investment decisions by our customers, which have differing economic drivers);</w:t>
      </w:r>
    </w:p>
    <w:p>
      <w:pPr>
        <w:spacing w:after="0" w:line="170" w:lineRule="exact"/>
        <w:rPr>
          <w:sz w:val="20"/>
          <w:szCs w:val="20"/>
          <w:color w:val="auto"/>
        </w:rPr>
      </w:pPr>
    </w:p>
    <w:p>
      <w:pPr>
        <w:ind w:left="1320" w:hanging="316"/>
        <w:spacing w:after="0" w:line="277"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by geographic regions, since economic factors impacting customer purchasing decisions may vary by geographic region; and</w:t>
      </w:r>
    </w:p>
    <w:p>
      <w:pPr>
        <w:spacing w:after="0" w:line="170" w:lineRule="exact"/>
        <w:rPr>
          <w:rFonts w:ascii="Arial" w:cs="Arial" w:eastAsia="Arial" w:hAnsi="Arial"/>
          <w:sz w:val="18"/>
          <w:szCs w:val="18"/>
          <w:color w:val="auto"/>
        </w:rPr>
      </w:pPr>
    </w:p>
    <w:p>
      <w:pPr>
        <w:ind w:left="1320" w:right="280" w:hanging="316"/>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leading edge foundry and logic.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7" w:right="1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 and Systems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Compared with Three months ended September 30, 2022</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Included in total revenue of $292.3 million during the three months ended September 30, 2023 is revenue from our Aftermarket business of $60.9 million, compared with $58.1 million of Aftermarket revenue for the three months ended September 30, 2022.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$231.4 million of revenue for the three months ended September 30, 2023 was from system sales, compared with $171.1 million of systems revenue for the three months ended September 30, 2022. Systems revenue fluctuates from period to period based on our customers’ capital spending.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with Nine months ended September 30, 2022</w:t>
      </w:r>
    </w:p>
    <w:p>
      <w:pPr>
        <w:spacing w:after="0" w:line="225"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Included in total revenue of $820.3 million during the nine months ended September 30, 2023 is revenue from our Aftermarket business of $178.5 million, compared with $165.7 million of Aftermarket revenue for the nine months ended September 30, 2022. The remaining $641.8 million of revenue for the nine months ended September 30, 2023 was from system sales, compared with $488.2 million of systems revenue for the nine months ended September 30,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gross profit /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384"/>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500" w:type="dxa"/>
            <w:vAlign w:val="bottom"/>
            <w:gridSpan w:val="5"/>
          </w:tcPr>
          <w:p>
            <w:pPr>
              <w:jc w:val="center"/>
              <w:ind w:right="148"/>
              <w:spacing w:after="0"/>
              <w:rPr>
                <w:sz w:val="20"/>
                <w:szCs w:val="20"/>
                <w:color w:val="auto"/>
              </w:rPr>
            </w:pPr>
            <w:r>
              <w:rPr>
                <w:rFonts w:ascii="Arial" w:cs="Arial" w:eastAsia="Arial" w:hAnsi="Arial"/>
                <w:sz w:val="14"/>
                <w:szCs w:val="14"/>
                <w:b w:val="1"/>
                <w:bCs w:val="1"/>
                <w:color w:val="auto"/>
                <w:w w:val="94"/>
              </w:rPr>
              <w:t>Period-to-Period</w:t>
            </w:r>
          </w:p>
        </w:tc>
        <w:tc>
          <w:tcPr>
            <w:tcW w:w="80" w:type="dxa"/>
            <w:vAlign w:val="bottom"/>
          </w:tcPr>
          <w:p>
            <w:pPr>
              <w:spacing w:after="0"/>
              <w:rPr>
                <w:sz w:val="14"/>
                <w:szCs w:val="14"/>
                <w:color w:val="auto"/>
              </w:rPr>
            </w:pPr>
          </w:p>
        </w:tc>
        <w:tc>
          <w:tcPr>
            <w:tcW w:w="1740" w:type="dxa"/>
            <w:vAlign w:val="bottom"/>
            <w:gridSpan w:val="6"/>
          </w:tcPr>
          <w:p>
            <w:pPr>
              <w:jc w:val="right"/>
              <w:ind w:right="324"/>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544"/>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900" w:type="dxa"/>
            <w:vAlign w:val="bottom"/>
            <w:gridSpan w:val="3"/>
          </w:tcPr>
          <w:p>
            <w:pPr>
              <w:jc w:val="center"/>
              <w:ind w:left="307"/>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484"/>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jc w:val="right"/>
              <w:ind w:right="145"/>
              <w:spacing w:after="0" w:line="119" w:lineRule="exact"/>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01"/>
              <w:spacing w:after="0" w:line="119"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ind w:right="227"/>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14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244"/>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03"/>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(dollars</w:t>
            </w:r>
          </w:p>
        </w:tc>
        <w:tc>
          <w:tcPr>
            <w:tcW w:w="280" w:type="dxa"/>
            <w:vAlign w:val="bottom"/>
            <w:gridSpan w:val="2"/>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6"/>
                <w:szCs w:val="16"/>
                <w:color w:val="auto"/>
              </w:rPr>
              <w:t>Product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$ 128,569</w:t>
            </w:r>
          </w:p>
        </w:tc>
        <w:tc>
          <w:tcPr>
            <w:tcW w:w="180" w:type="dxa"/>
            <w:vAlign w:val="bottom"/>
          </w:tcPr>
          <w:p>
            <w:pPr>
              <w:spacing w:after="0"/>
              <w:rPr>
                <w:sz w:val="18"/>
                <w:szCs w:val="18"/>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102,548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$ 26,021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6"/>
                <w:szCs w:val="16"/>
                <w:i w:val="1"/>
                <w:iCs w:val="1"/>
                <w:color w:val="auto"/>
                <w:w w:val="98"/>
              </w:rPr>
              <w:t xml:space="preserve">25.4 % </w:t>
            </w:r>
            <w:r>
              <w:rPr>
                <w:rFonts w:ascii="Arial" w:cs="Arial" w:eastAsia="Arial" w:hAnsi="Arial"/>
                <w:sz w:val="16"/>
                <w:szCs w:val="16"/>
                <w:color w:val="auto"/>
                <w:w w:val="98"/>
              </w:rPr>
              <w:t>$ 350,736</w:t>
            </w: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w w:val="95"/>
              </w:rPr>
              <w:t>$ 289,611</w:t>
            </w:r>
          </w:p>
        </w:tc>
        <w:tc>
          <w:tcPr>
            <w:tcW w:w="160" w:type="dxa"/>
            <w:vAlign w:val="bottom"/>
          </w:tcPr>
          <w:p>
            <w:pPr>
              <w:spacing w:after="0"/>
              <w:rPr>
                <w:sz w:val="18"/>
                <w:szCs w:val="18"/>
                <w:color w:val="auto"/>
              </w:rPr>
            </w:pPr>
          </w:p>
        </w:tc>
        <w:tc>
          <w:tcPr>
            <w:tcW w:w="1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i w:val="1"/>
                <w:iCs w:val="1"/>
                <w:color w:val="auto"/>
              </w:rPr>
              <w:t xml:space="preserve">21.1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w w:val="99"/>
              </w:rPr>
              <w:t>Product gross margin</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45.4 %</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46.3 %</w:t>
            </w: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44.1 %</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i w:val="1"/>
                <w:iCs w:val="1"/>
                <w:color w:val="auto"/>
              </w:rPr>
              <w:t>45.8 %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i w:val="1"/>
                <w:iCs w:val="1"/>
                <w:color w:val="auto"/>
              </w:rPr>
              <w:t>44.2 %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2,669</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2,658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0.4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6"/>
                <w:szCs w:val="16"/>
                <w:i w:val="1"/>
                <w:iCs w:val="1"/>
                <w:color w:val="auto"/>
                <w:w w:val="96"/>
              </w:rPr>
              <w:t>Services gross margin</w:t>
            </w:r>
          </w:p>
        </w:tc>
        <w:tc>
          <w:tcPr>
            <w:tcW w:w="1020" w:type="dxa"/>
            <w:vAlign w:val="bottom"/>
            <w:gridSpan w:val="3"/>
          </w:tcPr>
          <w:p>
            <w:pPr>
              <w:jc w:val="right"/>
              <w:spacing w:after="0"/>
              <w:rPr>
                <w:sz w:val="20"/>
                <w:szCs w:val="20"/>
                <w:color w:val="auto"/>
              </w:rPr>
            </w:pPr>
            <w:r>
              <w:rPr>
                <w:rFonts w:ascii="Arial" w:cs="Arial" w:eastAsia="Arial" w:hAnsi="Arial"/>
                <w:sz w:val="16"/>
                <w:szCs w:val="16"/>
                <w:i w:val="1"/>
                <w:iCs w:val="1"/>
                <w:color w:val="auto"/>
              </w:rPr>
              <w:t>12.4 %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i w:val="1"/>
                <w:iCs w:val="1"/>
                <w:color w:val="auto"/>
              </w:rPr>
              <w:t>10.1 %</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i w:val="1"/>
                <w:iCs w:val="1"/>
                <w:color w:val="auto"/>
              </w:rPr>
              <w:t>10.6 %</w:t>
            </w:r>
          </w:p>
        </w:tc>
        <w:tc>
          <w:tcPr>
            <w:tcW w:w="920" w:type="dxa"/>
            <w:vAlign w:val="bottom"/>
            <w:gridSpan w:val="4"/>
          </w:tcPr>
          <w:p>
            <w:pPr>
              <w:jc w:val="right"/>
              <w:spacing w:after="0"/>
              <w:rPr>
                <w:sz w:val="20"/>
                <w:szCs w:val="20"/>
                <w:color w:val="auto"/>
              </w:rPr>
            </w:pPr>
            <w:r>
              <w:rPr>
                <w:rFonts w:ascii="Arial" w:cs="Arial" w:eastAsia="Arial" w:hAnsi="Arial"/>
                <w:sz w:val="16"/>
                <w:szCs w:val="16"/>
                <w:i w:val="1"/>
                <w:iCs w:val="1"/>
                <w:color w:val="auto"/>
              </w:rPr>
              <w:t>12.1 %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$ 129,684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$ 26,363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i w:val="1"/>
                <w:iCs w:val="1"/>
                <w:color w:val="auto"/>
              </w:rPr>
              <w:t>25.5 %</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$ 353,405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$ 292,269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61,136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20.9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tcPr>
          <w:p>
            <w:pPr>
              <w:ind w:left="420"/>
              <w:spacing w:after="0"/>
              <w:rPr>
                <w:sz w:val="20"/>
                <w:szCs w:val="20"/>
                <w:color w:val="auto"/>
              </w:rPr>
            </w:pPr>
            <w:r>
              <w:rPr>
                <w:rFonts w:ascii="Arial" w:cs="Arial" w:eastAsia="Arial" w:hAnsi="Arial"/>
                <w:sz w:val="16"/>
                <w:szCs w:val="16"/>
                <w:color w:val="auto"/>
              </w:rPr>
              <w:t>Gross margin</w:t>
            </w: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84"/>
              </w:rPr>
              <w:t>%</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84"/>
              </w:rPr>
              <w:t>%</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44.3</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i w:val="1"/>
                <w:iCs w:val="1"/>
                <w:color w:val="auto"/>
              </w:rPr>
              <w:t>45.1</w:t>
            </w: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i w:val="1"/>
                <w:iCs w:val="1"/>
                <w:color w:val="auto"/>
              </w:rPr>
              <w:t>43.0</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44.7</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Compared with Three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Gross margin from product revenue was 45.4% for the three months ended September 30, 2023, compared to 46.3% for the three months ended September 30, 2022. The decrease in gross margin primarily resulted from a less favorable mix of system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Gross margin from services revenue was 12.4% for the three months ended September 30, 2023, compared to 10.1% for the three months ended September 30, 2022. The increase in gross margin is attributable to changes in the mix of service contracts.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with Nine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Gross margin from product revenue was 44.1% for the nine months ended September 30, 2023, compared to 45.8% for the nine months ended September 30, 2022. The decrease in gross margin primarily resulted from a less favorable mix of system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Gross margin from services revenue was 10.6% for the nine months ended September 30, 2023, compared to 12.1% for the nine months ended September 30, 2022. The decrease in gross margin is attributable to changes in the mix of service contracts.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560" w:type="dxa"/>
            <w:vAlign w:val="bottom"/>
            <w:gridSpan w:val="6"/>
          </w:tcPr>
          <w:p>
            <w:pPr>
              <w:ind w:left="60"/>
              <w:spacing w:after="0"/>
              <w:rPr>
                <w:sz w:val="20"/>
                <w:szCs w:val="20"/>
                <w:color w:val="auto"/>
              </w:rPr>
            </w:pPr>
            <w:r>
              <w:rPr>
                <w:rFonts w:ascii="Arial" w:cs="Arial" w:eastAsia="Arial" w:hAnsi="Arial"/>
                <w:sz w:val="14"/>
                <w:szCs w:val="14"/>
                <w:b w:val="1"/>
                <w:bCs w:val="1"/>
                <w:color w:val="auto"/>
              </w:rPr>
              <w:t>Period-to-Period</w:t>
            </w:r>
          </w:p>
        </w:tc>
        <w:tc>
          <w:tcPr>
            <w:tcW w:w="158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17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20" w:type="dxa"/>
            <w:vAlign w:val="bottom"/>
            <w:gridSpan w:val="3"/>
          </w:tcPr>
          <w:p>
            <w:pPr>
              <w:ind w:left="34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8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7"/>
              </w:rPr>
              <w:t>(dollars 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24,093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20,563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3,530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 xml:space="preserve">17.2 </w:t>
            </w:r>
            <w:r>
              <w:rPr>
                <w:rFonts w:ascii="Arial" w:cs="Arial" w:eastAsia="Arial" w:hAnsi="Arial"/>
                <w:sz w:val="14"/>
                <w:szCs w:val="14"/>
                <w:color w:val="auto"/>
              </w:rPr>
              <w:t>% $</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71,996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15,729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28.0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8.2 %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9.0 %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8.8 %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8.6 %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1,892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i w:val="1"/>
                <w:iCs w:val="1"/>
                <w:color w:val="auto"/>
              </w:rPr>
              <w:t xml:space="preserve">13.0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46,146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19.7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5.6 %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6.4 %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5.6 %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5.9 %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17,446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2,463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i w:val="1"/>
                <w:iCs w:val="1"/>
                <w:color w:val="auto"/>
              </w:rPr>
              <w:t xml:space="preserve">16.4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48,519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41,163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17.9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6.0 %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6.5 %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5.9 %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6.3 %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58,004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50,119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w w:val="96"/>
              </w:rPr>
              <w:t>7,885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i w:val="1"/>
                <w:iCs w:val="1"/>
                <w:color w:val="auto"/>
              </w:rPr>
              <w:t xml:space="preserve">15.7 </w:t>
            </w: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166,661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135,997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30,664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i w:val="1"/>
                <w:iCs w:val="1"/>
                <w:color w:val="auto"/>
              </w:rPr>
              <w:t xml:space="preserve">22.5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Percentage of revenue</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96"/>
              </w:rPr>
              <w:t>%</w:t>
            </w: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19.8</w:t>
            </w: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21.9</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20.3</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i w:val="1"/>
                <w:iCs w:val="1"/>
                <w:color w:val="auto"/>
              </w:rPr>
              <w:t>20.8</w:t>
            </w: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Our operating expenses consist primarily of personnel costs, including salaries,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4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Personnel costs are our largest expense, representing $34.8 million, or 60.0%, of our total operating expenses for the three months ended September 30, 2023, compared to $31.4 million, or 62.6%, of our total operating expenses for the three months ended September 30, 2022. Personnel costs were $99.3 million, or 59.6%, of our total operating expenses for the nine months ended September 30, 2023, compared to $83.0 million, or 61.0%, of our total operating expenses for the nine months ended September 30, 2022. The higher personnel costs for the three and nine months ended September 30, 2023 are primarily due to increases in personnel-related expenses to support growth.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5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Period-to-Period</w:t>
            </w: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26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154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210"/>
        </w:trPr>
        <w:tc>
          <w:tcPr>
            <w:tcW w:w="266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7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r>
      <w:tr>
        <w:trPr>
          <w:trHeight w:val="128"/>
        </w:trPr>
        <w:tc>
          <w:tcPr>
            <w:tcW w:w="2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$ 24,093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$ 20,563</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$ 3,530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i w:val="1"/>
                <w:iCs w:val="1"/>
                <w:color w:val="auto"/>
              </w:rPr>
              <w:t xml:space="preserve">17.2 </w:t>
            </w: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71,996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56,267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15,729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i w:val="1"/>
                <w:iCs w:val="1"/>
                <w:color w:val="auto"/>
              </w:rPr>
              <w:t xml:space="preserve">28.0 </w:t>
            </w:r>
            <w:r>
              <w:rPr>
                <w:rFonts w:ascii="Arial" w:cs="Arial" w:eastAsia="Arial" w:hAnsi="Arial"/>
                <w:sz w:val="16"/>
                <w:szCs w:val="16"/>
                <w:color w:val="auto"/>
              </w:rPr>
              <w:t>%</w:t>
            </w:r>
          </w:p>
        </w:tc>
      </w:tr>
      <w:tr>
        <w:trPr>
          <w:trHeight w:val="210"/>
        </w:trPr>
        <w:tc>
          <w:tcPr>
            <w:tcW w:w="266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8.2 %</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9.0 %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8.8 %</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8.6 %</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solve customers’ high value, high impact, ion implantation challenges.</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Compared with Three months ended September 30, 2022</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Research and development expense was $24.1 million during the three months ended September 30, 2023, an increase of $3.5 million, or 17.2%, compared with $20.6 million during the three months ended September 30, 2022. The increase is primarily due to higher personnel expenses as well as an increase in the cost of project materials and related services for ongoing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with Nine months ended September 30, 2022</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was $72.0 million during the nine months ended September 30, 2023, an increase of $15.7 million, or 28.0%, compared with $56.3 million during the nine months ended September 30, 2022. The increase is primarily due to higher personnel expenses as well as an increase in the cost of project materials and related services for ongoing projects.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40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Nine months ended</w:t>
            </w:r>
          </w:p>
        </w:tc>
        <w:tc>
          <w:tcPr>
            <w:tcW w:w="15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62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62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(dollars</w:t>
            </w:r>
          </w:p>
        </w:tc>
        <w:tc>
          <w:tcPr>
            <w:tcW w:w="220" w:type="dxa"/>
            <w:vAlign w:val="bottom"/>
            <w:vMerge w:val="continue"/>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thousands)</w:t>
            </w: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$ 16,465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$ 14,573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$ 1,892</w:t>
            </w:r>
          </w:p>
        </w:tc>
        <w:tc>
          <w:tcPr>
            <w:tcW w:w="1440" w:type="dxa"/>
            <w:vAlign w:val="bottom"/>
            <w:gridSpan w:val="4"/>
            <w:shd w:val="clear" w:color="auto" w:fill="CCEEFF"/>
          </w:tcPr>
          <w:p>
            <w:pPr>
              <w:ind w:left="260"/>
              <w:spacing w:after="0"/>
              <w:rPr>
                <w:sz w:val="20"/>
                <w:szCs w:val="20"/>
                <w:color w:val="auto"/>
              </w:rPr>
            </w:pPr>
            <w:r>
              <w:rPr>
                <w:rFonts w:ascii="Arial" w:cs="Arial" w:eastAsia="Arial" w:hAnsi="Arial"/>
                <w:sz w:val="16"/>
                <w:szCs w:val="16"/>
                <w:i w:val="1"/>
                <w:iCs w:val="1"/>
                <w:color w:val="auto"/>
                <w:w w:val="99"/>
              </w:rPr>
              <w:t xml:space="preserve">13.0 </w:t>
            </w:r>
            <w:r>
              <w:rPr>
                <w:rFonts w:ascii="Arial" w:cs="Arial" w:eastAsia="Arial" w:hAnsi="Arial"/>
                <w:sz w:val="16"/>
                <w:szCs w:val="16"/>
                <w:color w:val="auto"/>
                <w:w w:val="99"/>
              </w:rPr>
              <w:t>% $ 46,146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$ 38,567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$ 7,579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19.7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98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5.6 %</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6.4 %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5.6 %</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5.9 %</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sales and marketing expenses result primarily from the sale of our equipment and services through our direct sales 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Compared with Three months ended September 30, 2022</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Sales and marketing expense was $16.5 million during the three months ended September 30, 2023, an increase of $1.9 million, or 13.0%, compared with $14.6 million during the three months ended September 30, 2022. The increase is primarily due to higher personnel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with Nine months ended September 30, 2022</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Sales and marketing expense was $46.1 million during the nine months ended September 30, 2023, an increase of $7.6 million, or 19.7%, compared with $38.6 million during the nine months ended September 30, 2022. The increase is primarily due to higher personnel expenses and travel-related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4"/>
              </w:rPr>
              <w:t>Three months ended</w:t>
            </w:r>
          </w:p>
        </w:tc>
        <w:tc>
          <w:tcPr>
            <w:tcW w:w="146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4"/>
              </w:rPr>
              <w:t>Period-to-Period</w:t>
            </w:r>
          </w:p>
        </w:tc>
        <w:tc>
          <w:tcPr>
            <w:tcW w:w="1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6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5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96"/>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(dollars</w:t>
            </w:r>
          </w:p>
        </w:tc>
        <w:tc>
          <w:tcPr>
            <w:tcW w:w="22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$ 17,446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$ 14,983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$ 2,463</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 xml:space="preserve">16.4 </w:t>
            </w:r>
            <w:r>
              <w:rPr>
                <w:rFonts w:ascii="Arial" w:cs="Arial" w:eastAsia="Arial" w:hAnsi="Arial"/>
                <w:sz w:val="16"/>
                <w:szCs w:val="16"/>
                <w:color w:val="auto"/>
              </w:rPr>
              <w:t>% $ 48,519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$ 41,163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$ 7,356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i w:val="1"/>
                <w:iCs w:val="1"/>
                <w:color w:val="auto"/>
                <w:w w:val="96"/>
              </w:rPr>
              <w:t xml:space="preserve">17.9 </w:t>
            </w: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0"/>
        </w:trPr>
        <w:tc>
          <w:tcPr>
            <w:tcW w:w="288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6.0 %</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6.5 %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5.9 %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6.3 %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general and administrative expenses result primarily from the costs associated with our executive, finance, information technology, legal and human resource functions.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Compared with Three months ended September 30, 2022</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General and administrative expense was $17.4 million during the three months ended September 30, 2023, an increase of $2.5 million, or 16.4%, compared with $15.0 million during the three months ended September 30, 2022. The increase is primarily due to an increase in personnel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with Nine months ended September 30, 2022</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General and administrative expense was $48.5 million during the nine months ended September 30, 2023, an increase of $7.4 million, or 17.9%, compared with $41.2 million during the nine months ended September 30, 2022. The increase is primarily due to an increase in personnel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7"/>
              </w:rPr>
              <w:t>Three months ended</w:t>
            </w:r>
          </w:p>
        </w:tc>
        <w:tc>
          <w:tcPr>
            <w:tcW w:w="1660" w:type="dxa"/>
            <w:vAlign w:val="bottom"/>
            <w:gridSpan w:val="6"/>
          </w:tcPr>
          <w:p>
            <w:pPr>
              <w:jc w:val="center"/>
              <w:ind w:right="248"/>
              <w:spacing w:after="0"/>
              <w:rPr>
                <w:sz w:val="20"/>
                <w:szCs w:val="20"/>
                <w:color w:val="auto"/>
              </w:rPr>
            </w:pPr>
            <w:r>
              <w:rPr>
                <w:rFonts w:ascii="Arial" w:cs="Arial" w:eastAsia="Arial" w:hAnsi="Arial"/>
                <w:sz w:val="14"/>
                <w:szCs w:val="14"/>
                <w:b w:val="1"/>
                <w:bCs w:val="1"/>
                <w:color w:val="auto"/>
                <w:w w:val="93"/>
              </w:rPr>
              <w:t>Period-to-period</w:t>
            </w:r>
          </w:p>
        </w:tc>
        <w:tc>
          <w:tcPr>
            <w:tcW w:w="1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Nine months ended</w:t>
            </w: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Period-to-period</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5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jc w:val="center"/>
              <w:ind w:left="366"/>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jc w:val="center"/>
              <w:ind w:left="386"/>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w:t>
            </w: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(dollars</w:t>
            </w:r>
          </w:p>
        </w:tc>
        <w:tc>
          <w:tcPr>
            <w:tcW w:w="220" w:type="dxa"/>
            <w:vAlign w:val="bottom"/>
            <w:vMerge w:val="continue"/>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thousands)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1,995</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  (8,193)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 (10,188)</w:t>
            </w: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 xml:space="preserve">124.4 </w:t>
            </w:r>
            <w:r>
              <w:rPr>
                <w:rFonts w:ascii="Arial" w:cs="Arial" w:eastAsia="Arial" w:hAnsi="Arial"/>
                <w:sz w:val="16"/>
                <w:szCs w:val="16"/>
                <w:color w:val="auto"/>
              </w:rPr>
              <w:t>% $</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 (17,183)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 (21,632)</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i w:val="1"/>
                <w:iCs w:val="1"/>
                <w:color w:val="auto"/>
                <w:w w:val="95"/>
              </w:rPr>
              <w:t xml:space="preserve">125.9 </w:t>
            </w: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7"/>
        </w:trPr>
        <w:tc>
          <w:tcPr>
            <w:tcW w:w="268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spacing w:after="0"/>
              <w:rPr>
                <w:sz w:val="20"/>
                <w:szCs w:val="20"/>
                <w:color w:val="auto"/>
              </w:rPr>
            </w:pPr>
            <w:r>
              <w:rPr>
                <w:rFonts w:ascii="Arial" w:cs="Arial" w:eastAsia="Arial" w:hAnsi="Arial"/>
                <w:sz w:val="16"/>
                <w:szCs w:val="16"/>
                <w:i w:val="1"/>
                <w:iCs w:val="1"/>
                <w:color w:val="auto"/>
              </w:rPr>
              <w:t>0.7 %</w:t>
            </w: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(3.6)%</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i w:val="1"/>
                <w:iCs w:val="1"/>
                <w:color w:val="auto"/>
              </w:rPr>
              <w:t>0.6 %</w:t>
            </w:r>
          </w:p>
        </w:tc>
        <w:tc>
          <w:tcPr>
            <w:tcW w:w="820" w:type="dxa"/>
            <w:vAlign w:val="bottom"/>
            <w:gridSpan w:val="2"/>
          </w:tcPr>
          <w:p>
            <w:pPr>
              <w:jc w:val="right"/>
              <w:spacing w:after="0"/>
              <w:rPr>
                <w:sz w:val="20"/>
                <w:szCs w:val="20"/>
                <w:color w:val="auto"/>
              </w:rPr>
            </w:pPr>
            <w:r>
              <w:rPr>
                <w:rFonts w:ascii="Arial" w:cs="Arial" w:eastAsia="Arial" w:hAnsi="Arial"/>
                <w:sz w:val="16"/>
                <w:szCs w:val="16"/>
                <w:i w:val="1"/>
                <w:iCs w:val="1"/>
                <w:color w:val="auto"/>
              </w:rPr>
              <w:t>(2.6)%</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fluctuations of the U.S. dollar against local currencies of the countries in which we operate.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was $2.0 million for the three months ended September 30, 2023, compared with other expense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$8.2 million for the three months ended September 30, 2022. The $10.2 million change in other income (expense) compared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same prior year period was primarily due to an increase in interest income of $3.5 million and a decrease in foreign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loss of $6.7 million. Other income was $4.4 million for the nine months ended September 30, 2023,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expense of $17.2 million for the nine months ended September 30, 2022. The $21.6 million change in other income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compared to the same prior year period was primarily due to an increase in interest income of $11.3 million and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 in foreign exchange loss of $10.2 million.</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nine-month periods ended September 30, 2023 and 2022, we had no significant off-balance sheet risk such as exchange contracts, option contracts or other hedging arrangements.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Three months ended</w:t>
            </w:r>
          </w:p>
        </w:tc>
        <w:tc>
          <w:tcPr>
            <w:tcW w:w="1640" w:type="dxa"/>
            <w:vAlign w:val="bottom"/>
            <w:gridSpan w:val="5"/>
          </w:tcPr>
          <w:p>
            <w:pPr>
              <w:jc w:val="center"/>
              <w:ind w:right="228"/>
              <w:spacing w:after="0"/>
              <w:rPr>
                <w:sz w:val="20"/>
                <w:szCs w:val="20"/>
                <w:color w:val="auto"/>
              </w:rPr>
            </w:pPr>
            <w:r>
              <w:rPr>
                <w:rFonts w:ascii="Arial" w:cs="Arial" w:eastAsia="Arial" w:hAnsi="Arial"/>
                <w:sz w:val="14"/>
                <w:szCs w:val="14"/>
                <w:b w:val="1"/>
                <w:bCs w:val="1"/>
                <w:color w:val="auto"/>
                <w:w w:val="93"/>
              </w:rPr>
              <w:t>Period-to-period</w:t>
            </w: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jc w:val="center"/>
              <w:ind w:left="346"/>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2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tcBorders>
              <w:top w:val="single" w:sz="8" w:color="auto"/>
              <w:bottom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71"/>
              </w:rPr>
              <w:t>(dollars</w:t>
            </w:r>
          </w:p>
        </w:tc>
        <w:tc>
          <w:tcPr>
            <w:tcW w:w="30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7,744</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4,726</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3,018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i w:val="1"/>
                <w:iCs w:val="1"/>
                <w:color w:val="auto"/>
              </w:rPr>
              <w:t xml:space="preserve">63.9 </w:t>
            </w: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$ 15,986</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$ 13,002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6"/>
                <w:szCs w:val="16"/>
                <w:color w:val="auto"/>
                <w:w w:val="99"/>
              </w:rPr>
              <w:t>2,984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23.0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40" w:type="dxa"/>
            <w:vAlign w:val="bottom"/>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2.6 %</w:t>
            </w: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2.0 %</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i w:val="1"/>
                <w:i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 xml:space="preserve">2.0 </w:t>
            </w:r>
            <w:r>
              <w:rPr>
                <w:rFonts w:ascii="Arial" w:cs="Arial" w:eastAsia="Arial" w:hAnsi="Arial"/>
                <w:sz w:val="16"/>
                <w:szCs w:val="16"/>
                <w:i w:val="1"/>
                <w:iCs w:val="1"/>
                <w:color w:val="auto"/>
              </w:rPr>
              <w:t>%</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Income tax expense was $7.7 million for the three months ended September 30, 2023, compared to $4.7 million for the three months ended September 30, 2022. The $3.0 million increase was primarily due to an increase in pre-tax income partially offset by the tax deduction related to foreign sales taxed at a lower rate. Income tax expense was $16.0 million for the nine months ended September 30, 2023, compared to $13.0 million for the nine months ended September 30, 2022. The $3.0 million increase was primarily due to an increase in pre-tax income partially offset by the tax deduction related to stock based compensation and additional research and development tax credit.</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effective tax rate for the three and nine months ended September 30, 2023 was less than the U.S. statutory rate of 21% due to a forecasted Foreign Derived Intangible Income deduction, Federal research and development tax credits and a favorable discrete item related to equity compensation that reduces the annual tax rate.</w:t>
      </w:r>
    </w:p>
    <w:p>
      <w:pPr>
        <w:spacing w:after="0" w:line="16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deferred income taxes of $44.3 million and $31.7 million as of September 30, 2023 and December 31, 2022, respectively, reflect the net tax effect of temporary differences between the carrying amount of assets and liabilities for financial reporting purposes and the amounts used for income tax purposes, as well as the tax effect of carryforwards. As of September 30, 2023, we have recorded a $10.6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At September 30, 2023, we had $142.3 million in unrestricted cash and cash equivalents and $318.7 million in short-term investments, in addition to $6.7 million in restricted cash. Management believes that maintaining a strong cash balance is necessary to fund a continuing ramp in our business which can require significant cash investment to meet sudden demand.</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Additionally, we are using cash to repurchase shares as part of our stock repurchase program and are considering both organic and inorganic opportunities to drive future growth, for which cash resources will be necessary.</w:t>
      </w:r>
    </w:p>
    <w:p>
      <w:pPr>
        <w:spacing w:after="0" w:line="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liquidity is affected by many factors. Some of these relate specifically to the operations of our business, for example, the rate of sales of our products, and others relate to the uncertainties of global economic conditions, including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spacing w:after="0" w:line="9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During the nine months ended September 30, 2023 and 2022, we generated $91.3 million and $93.2 million, respectively, of cash related to operating activities.</w:t>
      </w:r>
    </w:p>
    <w:p>
      <w:pPr>
        <w:spacing w:after="0" w:line="7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Investing activities for the nine months ended September 30, 2023 resulted in cash outflows of $74.2 million, $10.5 million of which was used for capital expenditures and $271.6 million of which was used to purchase short-term investments, offset by $207.9 million related to maturities of short-term investments. Investing activities for the nine months ended September 30, 2022 resulted in cash outflows of $40.5 million, $6.9 million of which was used for capital expenditures and $33.6 million used to purchase short-term investments.</w:t>
      </w:r>
    </w:p>
    <w:p>
      <w:pPr>
        <w:spacing w:after="0" w:line="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Financing activities for the nine months ended September 30, 2023 resulted in a cash usage of $53.2 million. During the first nine months of 2023, $37.5 million in cash was used to repurchase our common stock and $15.8 million was used for payments to government tax authorities for income tax withholding on employee compensation arising from the vesting of RSUs, where units are withheld by the Company to cover taxes, as well as $0.9 million relating to the reduction of the liability under the finance lease of our corporate headquarters. These amounts were partially offset by $1.0 million of proceeds related to the purchase of shares under our 2020 ESPP and exercise of stock options during the first nine months of 2023. In comparison, financing activities for the nine months ended September 30, 2022 resulted in cash usage of $53.1 million, $45.0 million of which related to the repurchase of our common stock and $9.3 million of which related to payments made to government tax authorities for income tax withholding on employee compensation arising from the vesting of RSUs, as well as $0.7 million relating to the reduction of our financing lease liability. These amounts were partially offset by $1.9 million of proceeds related to the purchase of shares under our ESPP and exercise of stock options during the first nine months of 2022.</w:t>
      </w:r>
    </w:p>
    <w:p>
      <w:pPr>
        <w:spacing w:after="0" w:line="17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April 5, 2023, we terminated the Senior Secured Credit Facilities Credit Agreement, as amended (the “Credit Agreement”), with Silicon Valley Bank that we entered into on July 31, 2020. The Credit Agreement provided for a revolving credit facility covering borrowings and letters of credit in an aggregate principal amount not to exceed $40.0 million. Our obligations under the Credit Agreement were secured by a security interest, senior to any current and future debts and to any security interest, in all of our rights, title, and interest in, to and under substantially all of our assets, subject to limited exceptions, including permitted liens. Upon termination, these liens and all other obligations under the credit agreement, were released. A letter of credit issued by Silicon Valley Bank, a division of First Citizens Bank &amp; Trust</w:t>
      </w:r>
    </w:p>
    <w:p>
      <w:pPr>
        <w:sectPr>
          <w:pgSz w:w="11900" w:h="16838" w:orient="portrait"/>
          <w:cols w:equalWidth="0" w:num="1">
            <w:col w:w="9120"/>
          </w:cols>
          <w:pgMar w:left="1380" w:top="517" w:right="13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Company (successor by purchase to the Federal Deposit Insurance Corporation as Receiver for Silicon Valley Bridge Bank, N.A.) as successor to Silicon Valley Bank, remains outstanding in the amount of $5.9 million, securing our lease on our corporate headquarters. This letter of credit was transitioned to a cash collateral arrangement on March 30, 2023, and was classified as long-term restricted cash on our balance sheet at September 30, 2023.</w:t>
      </w:r>
    </w:p>
    <w:p>
      <w:pPr>
        <w:spacing w:after="0" w:line="17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We believe that based on our current market, revenue, expense and cash flow forecasts, our existing cash and cash equivalents will be sufficient to satisfy our anticipated cash requirements for the short- and long-term.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Significant commitments and contingencies at September 30, 2023 are consistent with those discussed in Item 7, “Management’s Discussion and Analysis of Financial Condition and Results of Operations,” and Note 16 to the consolidated financial statements included in our Annual Report on Form 10-K for the fiscal year ended December 31,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of September 30, 2023, there have been no material changes to the quantitative information about market risk disclosed in Item 7A, “Quantitative and Qualitative Disclosures about Market Risk” included in our Annual Report on Form 10-K for the year ended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the evaluation of our internal control that occurred during the three months ended September 30, 2023 that has materially affected, or is reasonably likely to materially affect, our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As of September 30, 2023, there have been no material changes to the risk factors described in Item 1A, “Risk Factors” included in our Annual Report on Form 10-K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5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February 2022, our Board of Directors authorized a share repurchase program for up to $100 million of the Company's common stock. This program was announced on March 1, 2022. In August 2023, our Board of Directors approved additional funding of $200 million for our stock repurchase program, to be available upon the full utilization of the $100 million repurchase funding approved in February 2022. This additional funding was announced on September 12, 2023. The Company’s share repurchase program does not have an expiration date.</w:t>
      </w:r>
    </w:p>
    <w:p>
      <w:pPr>
        <w:spacing w:after="0" w:line="12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table summarizes the stock repurchase activity, based upon settlement date, for the three months ended September 30, 2023 as well as the approximate dollar value of shares that may yet be purchased pursuant to our stock repurchase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Approximate Dollar Value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Price Paid</w:t>
            </w:r>
          </w:p>
        </w:tc>
        <w:tc>
          <w:tcPr>
            <w:tcW w:w="14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1480" w:type="dxa"/>
            <w:vAlign w:val="bottom"/>
          </w:tcPr>
          <w:p>
            <w:pPr>
              <w:jc w:val="center"/>
              <w:ind w:left="128"/>
              <w:spacing w:after="0"/>
              <w:rPr>
                <w:sz w:val="20"/>
                <w:szCs w:val="20"/>
                <w:color w:val="auto"/>
              </w:rPr>
            </w:pPr>
            <w:r>
              <w:rPr>
                <w:rFonts w:ascii="Arial" w:cs="Arial" w:eastAsia="Arial" w:hAnsi="Arial"/>
                <w:sz w:val="14"/>
                <w:szCs w:val="14"/>
                <w:b w:val="1"/>
                <w:bCs w:val="1"/>
                <w:color w:val="auto"/>
                <w:w w:val="97"/>
              </w:rPr>
              <w:t>Program</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Purchased Under the Program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ind w:left="5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168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w w:val="87"/>
              </w:rPr>
              <w:t>except per share amounts)</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 1 through July 31</w:t>
            </w: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8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4"/>
              </w:rPr>
              <w:t>$179.93</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13,507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August 1 through August 31</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48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4"/>
              </w:rPr>
              <w:t>$175.80</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76"/>
              </w:rPr>
              <w:t>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jc w:val="center"/>
              <w:ind w:left="8"/>
              <w:spacing w:after="0" w:line="149" w:lineRule="exact"/>
              <w:rPr>
                <w:sz w:val="20"/>
                <w:szCs w:val="20"/>
                <w:color w:val="auto"/>
              </w:rPr>
            </w:pPr>
            <w:r>
              <w:rPr>
                <w:rFonts w:ascii="Arial" w:cs="Arial" w:eastAsia="Arial" w:hAnsi="Arial"/>
                <w:sz w:val="14"/>
                <w:szCs w:val="14"/>
                <w:color w:val="auto"/>
                <w:w w:val="90"/>
              </w:rPr>
              <w:t>208,761</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September 1 through September 30</w:t>
            </w: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8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4"/>
              </w:rPr>
              <w:t>$174.80</w:t>
            </w:r>
          </w:p>
        </w:tc>
        <w:tc>
          <w:tcPr>
            <w:tcW w:w="100" w:type="dxa"/>
            <w:vAlign w:val="bottom"/>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0"/>
              </w:rPr>
              <w:t>205,007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gridSpan w:val="2"/>
          </w:tcPr>
          <w:p>
            <w:pPr>
              <w:ind w:left="880"/>
              <w:spacing w:after="0" w:line="142" w:lineRule="exact"/>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580" w:firstLine="8"/>
        <w:spacing w:after="0" w:line="293" w:lineRule="auto"/>
        <w:tabs>
          <w:tab w:leader="none" w:pos="330" w:val="left"/>
        </w:tabs>
        <w:numPr>
          <w:ilvl w:val="0"/>
          <w:numId w:val="6"/>
        </w:numPr>
        <w:rPr>
          <w:rFonts w:ascii="Arial" w:cs="Arial" w:eastAsia="Arial" w:hAnsi="Arial"/>
          <w:sz w:val="14"/>
          <w:szCs w:val="14"/>
          <w:color w:val="auto"/>
        </w:rPr>
      </w:pPr>
      <w:r>
        <w:rPr>
          <w:rFonts w:ascii="Arial" w:cs="Arial" w:eastAsia="Arial" w:hAnsi="Arial"/>
          <w:sz w:val="16"/>
          <w:szCs w:val="16"/>
          <w:color w:val="auto"/>
        </w:rPr>
        <w:t>The increase in the dollar value available for repurchases under the program at August 31, 2023 reflects the additional funding authorized under the program in August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During the quarter ended September 30, 2023, no director or officer adopted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13"/>
          </w:tcPr>
          <w:p>
            <w:pPr>
              <w:ind w:left="660"/>
              <w:spacing w:after="0"/>
              <w:rPr>
                <w:sz w:val="20"/>
                <w:szCs w:val="20"/>
                <w:color w:val="auto"/>
              </w:rPr>
            </w:pPr>
            <w:r>
              <w:rPr>
                <w:rFonts w:ascii="Arial" w:cs="Arial" w:eastAsia="Arial" w:hAnsi="Arial"/>
                <w:sz w:val="18"/>
                <w:szCs w:val="18"/>
                <w:color w:val="auto"/>
              </w:rPr>
              <w:t>The following exhibits are filed herewith:</w:t>
            </w:r>
          </w:p>
        </w:tc>
      </w:tr>
      <w:tr>
        <w:trPr>
          <w:trHeight w:val="369"/>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7940" w:type="dxa"/>
            <w:vAlign w:val="bottom"/>
            <w:gridSpan w:val="11"/>
          </w:tcPr>
          <w:p>
            <w:pPr>
              <w:ind w:left="36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7940" w:type="dxa"/>
            <w:vAlign w:val="bottom"/>
            <w:tcBorders>
              <w:top w:val="single" w:sz="8" w:color="auto"/>
            </w:tcBorders>
            <w:gridSpan w:val="11"/>
          </w:tcPr>
          <w:p>
            <w:pPr>
              <w:spacing w:after="0"/>
              <w:rPr>
                <w:rFonts w:ascii="Arial" w:cs="Arial" w:eastAsia="Arial" w:hAnsi="Arial"/>
                <w:sz w:val="18"/>
                <w:szCs w:val="18"/>
                <w:color w:val="0000EE"/>
                <w:w w:val="93"/>
              </w:rPr>
            </w:pPr>
            <w:hyperlink r:id="rId44">
              <w:r>
                <w:rPr>
                  <w:rFonts w:ascii="Arial" w:cs="Arial" w:eastAsia="Arial" w:hAnsi="Arial"/>
                  <w:sz w:val="18"/>
                  <w:szCs w:val="18"/>
                  <w:color w:val="0000EE"/>
                  <w:w w:val="93"/>
                </w:rPr>
                <w:t>Restated Certificate of Incorporation of the Company filed November 2, 2017. Incorporated by reference to</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Exhibit 3.1 of the Company’s Form 10-Q filed with the Commission on November 3, 2017.</w:t>
              </w:r>
            </w:hyperlink>
          </w:p>
        </w:tc>
        <w:tc>
          <w:tcPr>
            <w:tcW w:w="1140" w:type="dxa"/>
            <w:vAlign w:val="bottom"/>
            <w:tcBorders>
              <w:top w:val="single" w:sz="8" w:color="0000EE"/>
            </w:tcBorders>
            <w:gridSpan w:val="4"/>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7540" w:type="dxa"/>
            <w:vAlign w:val="bottom"/>
            <w:tcBorders>
              <w:bottom w:val="single" w:sz="8" w:color="0000EE"/>
            </w:tcBorders>
            <w:gridSpan w:val="8"/>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Bylaws of the Company, as amended as of May 11, 2022. Incorporated by reference to Exhibit 3.2 of the</w:t>
              </w:r>
            </w:hyperlink>
          </w:p>
        </w:tc>
        <w:tc>
          <w:tcPr>
            <w:tcW w:w="400" w:type="dxa"/>
            <w:vAlign w:val="bottom"/>
            <w:gridSpan w:val="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Company’s Form 8-K filed with the SEC on May 11, 2022.</w:t>
              </w:r>
            </w:hyperlink>
          </w:p>
        </w:tc>
        <w:tc>
          <w:tcPr>
            <w:tcW w:w="3660" w:type="dxa"/>
            <w:vAlign w:val="bottom"/>
            <w:gridSpan w:val="8"/>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80" w:type="dxa"/>
            <w:vAlign w:val="bottom"/>
          </w:tcPr>
          <w:p>
            <w:pPr>
              <w:spacing w:after="0"/>
              <w:rPr>
                <w:sz w:val="24"/>
                <w:szCs w:val="24"/>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0000EE"/>
                <w:w w:val="94"/>
              </w:rPr>
              <w:t>Certification of the Principal Executive Officer under Exchange Act Rule 13a-14(a)/15d-14(a) (Section 302</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of the Sarbanes-Oxley Act), dated November 2, 2023.</w:t>
            </w:r>
          </w:p>
        </w:tc>
        <w:tc>
          <w:tcPr>
            <w:tcW w:w="20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80" w:type="dxa"/>
            <w:vAlign w:val="bottom"/>
          </w:tcPr>
          <w:p>
            <w:pPr>
              <w:spacing w:after="0"/>
              <w:rPr>
                <w:sz w:val="24"/>
                <w:szCs w:val="24"/>
                <w:color w:val="auto"/>
              </w:rPr>
            </w:pPr>
          </w:p>
        </w:tc>
        <w:tc>
          <w:tcPr>
            <w:tcW w:w="79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2"/>
              </w:rPr>
              <w:t>Certification of the Principal Financial Officer under Exchange Act Rule 13a-14(a)/15d-14(a) (Section 302 of</w:t>
            </w: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the Sarbanes-Oxley Act), dated November 2, 2023.</w:t>
            </w:r>
          </w:p>
        </w:tc>
        <w:tc>
          <w:tcPr>
            <w:tcW w:w="4240" w:type="dxa"/>
            <w:vAlign w:val="bottom"/>
            <w:gridSpan w:val="10"/>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0000EE"/>
                <w:w w:val="98"/>
              </w:rPr>
              <w:t>Certification of the Principal Executive Officer pursuant to Section 1350 of Chapter 63 of title 18 of the</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United States Code (Section 906 of the Sarbanes-Oxley Act), dated November 2, 2023.</w:t>
            </w:r>
          </w:p>
        </w:tc>
        <w:tc>
          <w:tcPr>
            <w:tcW w:w="480" w:type="dxa"/>
            <w:vAlign w:val="bottom"/>
            <w:gridSpan w:val="4"/>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80" w:type="dxa"/>
            <w:vAlign w:val="bottom"/>
            <w:gridSpan w:val="4"/>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4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Certification of the Principal Financial Officer pursuant to Section 1350 of Chapter 63 of title 18 of the</w:t>
            </w:r>
          </w:p>
        </w:tc>
        <w:tc>
          <w:tcPr>
            <w:tcW w:w="520" w:type="dxa"/>
            <w:vAlign w:val="bottom"/>
            <w:gridSpan w:val="5"/>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1"/>
          </w:tcPr>
          <w:p>
            <w:pPr>
              <w:spacing w:after="0" w:line="196" w:lineRule="exact"/>
              <w:rPr>
                <w:sz w:val="20"/>
                <w:szCs w:val="20"/>
                <w:color w:val="auto"/>
              </w:rPr>
            </w:pPr>
            <w:r>
              <w:rPr>
                <w:rFonts w:ascii="Arial" w:cs="Arial" w:eastAsia="Arial" w:hAnsi="Arial"/>
                <w:sz w:val="18"/>
                <w:szCs w:val="18"/>
                <w:color w:val="0000EE"/>
              </w:rPr>
              <w:t>United States Code (Section 906 of the Sarbanes-Oxley Act), dated November 2, 2023.</w:t>
            </w: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80" w:right="20" w:hanging="899"/>
        <w:spacing w:after="0" w:line="291" w:lineRule="auto"/>
        <w:tabs>
          <w:tab w:leader="none" w:pos="11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Form 10-Q for the quarter ended September 30, 2023, formatted in inline eXtensible Business Reporting Language (iXBRL): (i) Consolidated Statements of Operations,</w:t>
      </w:r>
    </w:p>
    <w:p>
      <w:pPr>
        <w:ind w:left="1180" w:right="100" w:hanging="1"/>
        <w:spacing w:after="0" w:line="323" w:lineRule="auto"/>
        <w:tabs>
          <w:tab w:leader="none" w:pos="144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Consolidated Statements of Comprehensive Income, (iii) Consolidated Balance Sheets, (iv) Consolidated Statements of Cash Flows and (v) Notes to Consolidated Financial Statements (Unaudited). Filed herewith.</w:t>
      </w:r>
    </w:p>
    <w:p>
      <w:pPr>
        <w:spacing w:after="0" w:line="138"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iXBRL and contained in 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right="480" w:firstLine="5"/>
        <w:spacing w:after="0" w:line="260"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DATED: November 2, 2023</w:t>
      </w:r>
      <w:r>
        <w:rPr>
          <w:sz w:val="20"/>
          <w:szCs w:val="20"/>
          <w:color w:val="auto"/>
        </w:rPr>
        <w:tab/>
      </w:r>
      <w:r>
        <w:rPr>
          <w:rFonts w:ascii="Arial" w:cs="Arial" w:eastAsia="Arial" w:hAnsi="Arial"/>
          <w:sz w:val="17"/>
          <w:szCs w:val="17"/>
          <w:color w:val="auto"/>
        </w:rPr>
        <w:t>By:  /s/ JAMES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23495</wp:posOffset>
            </wp:positionV>
            <wp:extent cx="2640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James Coogan</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48"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30" w:name="page31"/>
    <w:bookmarkEnd w:id="3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CERTIFICATION</w:t>
      </w:r>
    </w:p>
    <w:p>
      <w:pPr>
        <w:spacing w:after="0" w:line="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of the Principal Executive Officer</w:t>
      </w:r>
    </w:p>
    <w:p>
      <w:pPr>
        <w:ind w:left="980"/>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Russell J. Low, certify that:</w:t>
      </w:r>
    </w:p>
    <w:p>
      <w:pPr>
        <w:spacing w:after="0" w:line="225" w:lineRule="exact"/>
        <w:rPr>
          <w:sz w:val="20"/>
          <w:szCs w:val="20"/>
          <w:color w:val="auto"/>
        </w:rPr>
      </w:pPr>
    </w:p>
    <w:p>
      <w:pPr>
        <w:ind w:left="540" w:hanging="490"/>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225" w:lineRule="exact"/>
        <w:rPr>
          <w:rFonts w:ascii="Arial" w:cs="Arial" w:eastAsia="Arial" w:hAnsi="Arial"/>
          <w:sz w:val="18"/>
          <w:szCs w:val="18"/>
          <w:color w:val="auto"/>
        </w:rPr>
      </w:pPr>
    </w:p>
    <w:p>
      <w:pPr>
        <w:ind w:left="540" w:right="459" w:hanging="490"/>
        <w:spacing w:after="0" w:line="256"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540" w:right="339" w:hanging="490"/>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179" w:hanging="490"/>
        <w:spacing w:after="0" w:line="286"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060" w:right="179" w:hanging="495"/>
        <w:spacing w:after="0" w:line="254"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1060" w:right="279" w:hanging="495"/>
        <w:spacing w:after="0" w:line="259"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060" w:right="159" w:hanging="495"/>
        <w:spacing w:after="0" w:line="256"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8"/>
          <w:szCs w:val="18"/>
          <w:color w:val="auto"/>
        </w:rPr>
      </w:pPr>
    </w:p>
    <w:p>
      <w:pPr>
        <w:ind w:left="1060" w:right="79" w:hanging="495"/>
        <w:spacing w:after="0" w:line="259"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540" w:right="499" w:hanging="490"/>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60" w:right="239" w:hanging="495"/>
        <w:spacing w:after="0" w:line="256"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1060" w:right="379" w:hanging="495"/>
        <w:spacing w:after="0" w:line="277"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7"/>
          <w:szCs w:val="17"/>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0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Russell J. Low,</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Financial Officer</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Coogan, certify that:</w:t>
      </w:r>
    </w:p>
    <w:p>
      <w:pPr>
        <w:spacing w:after="0" w:line="225" w:lineRule="exact"/>
        <w:rPr>
          <w:sz w:val="20"/>
          <w:szCs w:val="20"/>
          <w:color w:val="auto"/>
        </w:rPr>
      </w:pPr>
    </w:p>
    <w:p>
      <w:pPr>
        <w:ind w:left="540" w:hanging="49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211" w:lineRule="exact"/>
        <w:rPr>
          <w:rFonts w:ascii="Arial" w:cs="Arial" w:eastAsia="Arial" w:hAnsi="Arial"/>
          <w:sz w:val="18"/>
          <w:szCs w:val="18"/>
          <w:color w:val="auto"/>
        </w:rPr>
      </w:pPr>
    </w:p>
    <w:p>
      <w:pPr>
        <w:ind w:left="540" w:right="459" w:hanging="490"/>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40" w:right="339" w:hanging="490"/>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179" w:hanging="490"/>
        <w:spacing w:after="0" w:line="28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060" w:right="179" w:hanging="495"/>
        <w:spacing w:after="0" w:line="254"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1060" w:right="279" w:hanging="495"/>
        <w:spacing w:after="0" w:line="259"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1060" w:right="159" w:hanging="495"/>
        <w:spacing w:after="0" w:line="263"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60" w:right="79" w:hanging="495"/>
        <w:spacing w:after="0" w:line="254"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jc w:val="both"/>
        <w:ind w:left="540" w:right="499" w:hanging="490"/>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60" w:right="239" w:hanging="495"/>
        <w:spacing w:after="0" w:line="256"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1060" w:right="379" w:hanging="495"/>
        <w:spacing w:after="0" w:line="277"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7"/>
          <w:szCs w:val="17"/>
          <w:color w:val="auto"/>
        </w:rPr>
        <w:t>/s/ JAMES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0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James Coogan,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211" w:lineRule="exact"/>
        <w:rPr>
          <w:sz w:val="20"/>
          <w:szCs w:val="20"/>
          <w:color w:val="auto"/>
        </w:rPr>
      </w:pPr>
    </w:p>
    <w:p>
      <w:pPr>
        <w:ind w:left="40" w:right="59" w:firstLine="495"/>
        <w:spacing w:after="0" w:line="263" w:lineRule="auto"/>
        <w:rPr>
          <w:sz w:val="20"/>
          <w:szCs w:val="20"/>
          <w:color w:val="auto"/>
        </w:rPr>
      </w:pPr>
      <w:r>
        <w:rPr>
          <w:rFonts w:ascii="Arial" w:cs="Arial" w:eastAsia="Arial" w:hAnsi="Arial"/>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70" w:lineRule="exact"/>
        <w:rPr>
          <w:sz w:val="20"/>
          <w:szCs w:val="20"/>
          <w:color w:val="auto"/>
        </w:rPr>
      </w:pPr>
    </w:p>
    <w:p>
      <w:pPr>
        <w:ind w:left="40" w:right="439" w:firstLine="495"/>
        <w:spacing w:after="0" w:line="263"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November 2, 2023.</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Russell J. Low</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 of Axcelis</w:t>
      </w:r>
    </w:p>
    <w:p>
      <w:pPr>
        <w:ind w:left="4500"/>
        <w:spacing w:after="0"/>
        <w:rPr>
          <w:sz w:val="20"/>
          <w:szCs w:val="20"/>
          <w:color w:val="auto"/>
        </w:rPr>
      </w:pPr>
      <w:r>
        <w:rPr>
          <w:rFonts w:ascii="Arial" w:cs="Arial" w:eastAsia="Arial" w:hAnsi="Arial"/>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211" w:lineRule="exact"/>
        <w:rPr>
          <w:sz w:val="20"/>
          <w:szCs w:val="20"/>
          <w:color w:val="auto"/>
        </w:rPr>
      </w:pPr>
    </w:p>
    <w:p>
      <w:pPr>
        <w:ind w:left="40" w:right="119" w:firstLine="495"/>
        <w:spacing w:after="0" w:line="263" w:lineRule="auto"/>
        <w:rPr>
          <w:sz w:val="20"/>
          <w:szCs w:val="20"/>
          <w:color w:val="auto"/>
        </w:rPr>
      </w:pPr>
      <w:r>
        <w:rPr>
          <w:rFonts w:ascii="Arial" w:cs="Arial" w:eastAsia="Arial" w:hAnsi="Arial"/>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70" w:lineRule="exact"/>
        <w:rPr>
          <w:sz w:val="20"/>
          <w:szCs w:val="20"/>
          <w:color w:val="auto"/>
        </w:rPr>
      </w:pPr>
    </w:p>
    <w:p>
      <w:pPr>
        <w:ind w:left="40" w:right="439" w:firstLine="495"/>
        <w:spacing w:after="0" w:line="263"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November 2, 2023.</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JAMES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James Coogan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 of</w:t>
      </w:r>
    </w:p>
    <w:p>
      <w:pPr>
        <w:ind w:left="4500"/>
        <w:spacing w:after="0"/>
        <w:rPr>
          <w:sz w:val="20"/>
          <w:szCs w:val="20"/>
          <w:color w:val="auto"/>
        </w:rPr>
      </w:pPr>
      <w:r>
        <w:rPr>
          <w:rFonts w:ascii="Arial" w:cs="Arial" w:eastAsia="Arial" w:hAnsi="Arial"/>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upp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33" Type="http://schemas.openxmlformats.org/officeDocument/2006/relationships/hyperlink" Target="https://www.sec.gov/ix?doc=/Archives/edgar/data/1113232/000155837023002006/acls-20221231x10k.htm" TargetMode="External"/><Relationship Id="rId44" Type="http://schemas.openxmlformats.org/officeDocument/2006/relationships/hyperlink" Target="http://www.sec.gov/Archives/edgar/data/1113232/000155837017008078/acls-20170930ex31a83feb6.htm" TargetMode="External"/><Relationship Id="rId45" Type="http://schemas.openxmlformats.org/officeDocument/2006/relationships/hyperlink" Target="https://www.sec.gov/Archives/edgar/data/1113232/000110465922058781/tm221376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2023-11-02T16:12:45Z</dcterms:created>
  <dcterms:modified xsi:type="dcterms:W3CDTF">2023-11-02T16:12:45Z</dcterms:modified>
</cp:coreProperties>
</file>