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cls-20250630x10q.htm"/>
        <w:bookmarkStart w:id="1" w:name="ksacls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lineRule="atLeast" w:line="142" w:before="0" w:after="0"/>
        <w:ind w:left="0" w:right="0" w:hanging="0"/>
        <w:jc w:val="left"/>
        <w:rPr/>
      </w:pPr>
      <w:r>
        <w:rPr/>
        <w:t>​</w:t>
      </w:r>
    </w:p>
    <w:p>
      <w:pPr>
        <w:pStyle w:val="TextBody"/>
        <w:pBdr>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24fdf13_a4d2_45cb_926f_409bf4db2fe6"/>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000-30941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AXCELIS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1FP40K8zD0CcQSQ24sDhEg_2_2"/>
      <w:bookmarkStart w:id="4" w:name="Tc_APTEXpD3ME2mR-gAdUz9GA_2_0"/>
      <w:bookmarkStart w:id="5" w:name="_d70cb385_ad51_4cf3_a08a_6d5db2fa6924"/>
      <w:bookmarkStart w:id="6" w:name="Tc_1FP40K8zD0CcQSQ24sDhEg_2_2"/>
      <w:bookmarkStart w:id="7" w:name="Tc_APTEXpD3ME2mR-gAdUz9GA_2_0"/>
      <w:bookmarkStart w:id="8" w:name="_d70cb385_ad51_4cf3_a08a_6d5db2fa6924"/>
      <w:bookmarkEnd w:id="6"/>
      <w:bookmarkEnd w:id="7"/>
      <w:bookmarkEnd w:id="8"/>
    </w:p>
    <w:tbl>
      <w:tblPr>
        <w:tblW w:w="4341" w:type="dxa"/>
        <w:jc w:val="left"/>
        <w:tblInd w:w="0" w:type="dxa"/>
        <w:tblLayout w:type="fixed"/>
        <w:tblCellMar>
          <w:top w:w="0" w:type="dxa"/>
          <w:left w:w="0" w:type="dxa"/>
          <w:bottom w:w="0" w:type="dxa"/>
          <w:right w:w="0" w:type="dxa"/>
        </w:tblCellMar>
      </w:tblPr>
      <w:tblGrid>
        <w:gridCol w:w="2581"/>
        <w:gridCol w:w="109"/>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lineRule="auto" w:line="328" w:before="0" w:after="0"/>
              <w:ind w:left="0" w:right="0" w:hanging="0"/>
              <w:jc w:val="left"/>
              <w:rPr/>
            </w:pPr>
            <w:r>
              <w:rP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34-1818596</w:t>
            </w:r>
          </w:p>
        </w:tc>
      </w:tr>
      <w:tr>
        <w:trPr/>
        <w:tc>
          <w:tcPr>
            <w:tcW w:w="25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lineRule="auto" w:line="328" w:before="0" w:after="0"/>
              <w:ind w:left="0" w:right="0" w:hanging="0"/>
              <w:jc w:val="left"/>
              <w:rPr/>
            </w:pPr>
            <w:r>
              <w:rP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108 Cherry Hill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Beverly, Massachusetts</w:t>
      </w:r>
      <w:r>
        <w:rPr>
          <w:rFonts w:ascii="Times New Roman;Times;serif" w:hAnsi="Times New Roman;Times;serif"/>
          <w:sz w:val="20"/>
        </w:rPr>
        <w:t xml:space="preserve"> </w:t>
      </w:r>
      <w:r>
        <w:rPr>
          <w:rFonts w:ascii="Times New Roman;Times;serif" w:hAnsi="Times New Roman;Times;serif"/>
          <w:b/>
          <w:sz w:val="20"/>
        </w:rPr>
        <w:t>01915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787-4000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firstLine="259"/>
        <w:jc w:val="left"/>
        <w:rPr/>
      </w:pPr>
      <w:r>
        <w:rPr/>
        <w:t>​</w:t>
      </w:r>
    </w:p>
    <w:p>
      <w:pPr>
        <w:pStyle w:val="Normal"/>
        <w:bidi w:val="0"/>
        <w:spacing w:before="0" w:after="0"/>
        <w:jc w:val="left"/>
        <w:rPr>
          <w:sz w:val="4"/>
          <w:szCs w:val="4"/>
        </w:rPr>
      </w:pPr>
      <w:r>
        <w:rPr>
          <w:sz w:val="4"/>
          <w:szCs w:val="4"/>
        </w:rPr>
      </w:r>
      <w:bookmarkStart w:id="9" w:name="Tc_cU-5vNwL5kW-knLP1V98ag_1_2"/>
      <w:bookmarkStart w:id="10" w:name="Tc_XkQmIYBynEyfRgfHqVIjEw_1_1"/>
      <w:bookmarkStart w:id="11" w:name="Tc_XYh6WHYRkkCOhr3wwYDk-w_1_0"/>
      <w:bookmarkStart w:id="12" w:name="_781a6ff4_b703_481c_90d3_73b1d7fb8e5f"/>
      <w:bookmarkStart w:id="13" w:name="Tc_cU-5vNwL5kW-knLP1V98ag_1_2"/>
      <w:bookmarkStart w:id="14" w:name="Tc_XkQmIYBynEyfRgfHqVIjEw_1_1"/>
      <w:bookmarkStart w:id="15" w:name="Tc_XYh6WHYRkkCOhr3wwYDk-w_1_0"/>
      <w:bookmarkStart w:id="16" w:name="_781a6ff4_b703_481c_90d3_73b1d7fb8e5f"/>
      <w:bookmarkEnd w:id="13"/>
      <w:bookmarkEnd w:id="14"/>
      <w:bookmarkEnd w:id="15"/>
      <w:bookmarkEnd w:id="16"/>
    </w:p>
    <w:tbl>
      <w:tblPr>
        <w:tblW w:w="7938" w:type="dxa"/>
        <w:jc w:val="left"/>
        <w:tblInd w:w="0" w:type="dxa"/>
        <w:tblLayout w:type="fixed"/>
        <w:tblCellMar>
          <w:top w:w="0" w:type="dxa"/>
          <w:left w:w="0" w:type="dxa"/>
          <w:bottom w:w="0" w:type="dxa"/>
          <w:right w:w="0" w:type="dxa"/>
        </w:tblCellMar>
      </w:tblPr>
      <w:tblGrid>
        <w:gridCol w:w="2836"/>
        <w:gridCol w:w="1396"/>
        <w:gridCol w:w="3706"/>
      </w:tblGrid>
      <w:tr>
        <w:trPr/>
        <w:tc>
          <w:tcPr>
            <w:tcW w:w="283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firstLine="264"/>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881" w:type="dxa"/>
        <w:jc w:val="left"/>
        <w:tblInd w:w="0" w:type="dxa"/>
        <w:tblLayout w:type="fixed"/>
        <w:tblCellMar>
          <w:top w:w="0" w:type="dxa"/>
          <w:left w:w="0" w:type="dxa"/>
          <w:bottom w:w="0" w:type="dxa"/>
          <w:right w:w="0" w:type="dxa"/>
        </w:tblCellMar>
      </w:tblPr>
      <w:tblGrid>
        <w:gridCol w:w="2146"/>
        <w:gridCol w:w="109"/>
        <w:gridCol w:w="262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If an emerging growth company, indicate by check mark if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259"/>
        <w:jc w:val="left"/>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As of August 1, 2025, there were 31,418,860 shares of the registrant’s common stock outstanding.</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 w:name="Toc"/>
      <w:bookmarkStart w:id="18" w:name="_c1cc5ace_f592_4d01_9854_81bc30958a82"/>
      <w:bookmarkEnd w:id="17"/>
      <w:bookmarkEnd w:id="1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1"/>
        <w:gridCol w:w="9003"/>
        <w:gridCol w:w="361"/>
      </w:tblGrid>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9003"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9235" cy="175260"/>
                      <wp:effectExtent l="0" t="0" r="0" b="0"/>
                      <wp:wrapNone/>
                      <wp:docPr id="1" name="Frame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gridSpan w:val="2"/>
            <w:tcBorders/>
            <w:vAlign w:val="center"/>
          </w:tcPr>
          <w:p>
            <w:pPr>
              <w:pStyle w:val="TableContents"/>
              <w:pBdr/>
              <w:bidi w:val="0"/>
              <w:spacing w:lineRule="auto" w:line="328" w:before="0" w:after="0"/>
              <w:ind w:left="0" w:right="0" w:hanging="0"/>
              <w:jc w:val="left"/>
              <w:rPr/>
            </w:pPr>
            <w:hyperlink w:anchor="PART1FINANCIALINFORMATION_304973">
              <w:r>
                <w:rPr>
                  <w:rStyle w:val="InternetLink"/>
                  <w:rFonts w:ascii="Times New Roman;Times;serif" w:hAnsi="Times New Roman;Times;serif"/>
                  <w:b/>
                  <w:i w:val="false"/>
                  <w:caps w:val="false"/>
                  <w:smallCaps w:val="false"/>
                  <w:sz w:val="20"/>
                </w:rPr>
                <w:t>PART I - FINANCIAL INFORMATION</w:t>
              </w:r>
            </w:hyperlink>
          </w:p>
        </w:tc>
        <w:tc>
          <w:tcPr>
            <w:tcW w:w="361" w:type="dxa"/>
            <w:tcBorders/>
            <w:vAlign w:val="center"/>
          </w:tcPr>
          <w:p>
            <w:pPr>
              <w:pStyle w:val="TableContents"/>
              <w:bidi w:val="0"/>
              <w:spacing w:lineRule="auto" w:line="328" w:before="0" w:after="0"/>
              <w:ind w:left="0" w:right="0" w:hanging="0"/>
              <w:jc w:val="right"/>
              <w:rPr/>
            </w:pPr>
            <w:r>
              <w:rPr/>
              <w:t>​</w:t>
            </w:r>
          </w:p>
        </w:tc>
      </w:tr>
      <w:tr>
        <w:trPr/>
        <w:tc>
          <w:tcPr>
            <w:tcW w:w="841" w:type="dxa"/>
            <w:tcBorders/>
            <w:vAlign w:val="center"/>
          </w:tcPr>
          <w:p>
            <w:pPr>
              <w:pStyle w:val="TableContents"/>
              <w:bidi w:val="0"/>
              <w:spacing w:lineRule="auto" w:line="328" w:before="0" w:after="0"/>
              <w:ind w:left="0" w:right="0" w:hanging="0"/>
              <w:jc w:val="left"/>
              <w:rPr/>
            </w:pPr>
            <w:hyperlink w:anchor="Item1FinancialStatements_869987">
              <w:r>
                <w:rPr>
                  <w:rStyle w:val="InternetLink"/>
                  <w:rFonts w:ascii="Times New Roman;Times;serif" w:hAnsi="Times New Roman;Times;serif"/>
                  <w:b/>
                  <w:i w:val="false"/>
                  <w:caps w:val="false"/>
                  <w:smallCaps w:val="false"/>
                  <w:sz w:val="20"/>
                </w:rPr>
                <w:t>Item 1.</w:t>
              </w:r>
            </w:hyperlink>
          </w:p>
        </w:tc>
        <w:tc>
          <w:tcPr>
            <w:tcW w:w="9003" w:type="dxa"/>
            <w:tcBorders/>
            <w:vAlign w:val="center"/>
          </w:tcPr>
          <w:p>
            <w:pPr>
              <w:pStyle w:val="TableContents"/>
              <w:bidi w:val="0"/>
              <w:spacing w:lineRule="auto" w:line="328" w:before="0" w:after="0"/>
              <w:ind w:left="0" w:right="0" w:hanging="0"/>
              <w:jc w:val="left"/>
              <w:rPr/>
            </w:pPr>
            <w:hyperlink w:anchor="Item1FinancialStatements_869987">
              <w:r>
                <w:rPr>
                  <w:rStyle w:val="InternetLink"/>
                  <w:rFonts w:ascii="Times New Roman;Times;serif" w:hAnsi="Times New Roman;Times;serif"/>
                  <w:b/>
                  <w:i w:val="false"/>
                  <w:caps w:val="false"/>
                  <w:smallCaps w:val="false"/>
                  <w:sz w:val="20"/>
                </w:rPr>
                <w:t>Financial Statements (Unaudited)</w:t>
              </w:r>
            </w:hyperlink>
          </w:p>
        </w:tc>
        <w:tc>
          <w:tcPr>
            <w:tcW w:w="361" w:type="dxa"/>
            <w:tcBorders/>
            <w:vAlign w:val="center"/>
          </w:tcPr>
          <w:p>
            <w:pPr>
              <w:pStyle w:val="TableContents"/>
              <w:bidi w:val="0"/>
              <w:spacing w:lineRule="auto" w:line="328" w:before="0" w:after="0"/>
              <w:ind w:left="0" w:right="0" w:hanging="0"/>
              <w:jc w:val="right"/>
              <w:rPr/>
            </w:pPr>
            <w:r>
              <w:rPr/>
              <w:t>​</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sofOperations_8900">
              <w:r>
                <w:rPr>
                  <w:rStyle w:val="InternetLink"/>
                  <w:rFonts w:ascii="Times New Roman;Times;serif" w:hAnsi="Times New Roman;Times;serif"/>
                  <w:b w:val="false"/>
                  <w:i w:val="false"/>
                  <w:caps w:val="false"/>
                  <w:smallCaps w:val="false"/>
                  <w:sz w:val="20"/>
                </w:rPr>
                <w:t>Consolidated Statements of Operations for the three and six months ended June 30, 2025 and 2024</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three and six months ended June 30, 2025 and 2024</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BalanceSheets_859153">
              <w:r>
                <w:rPr>
                  <w:rStyle w:val="InternetLink"/>
                  <w:rFonts w:ascii="Times New Roman;Times;serif" w:hAnsi="Times New Roman;Times;serif"/>
                  <w:b w:val="false"/>
                  <w:i w:val="false"/>
                  <w:caps w:val="false"/>
                  <w:smallCaps w:val="false"/>
                  <w:sz w:val="20"/>
                </w:rPr>
                <w:t>Consolidated Balance Sheets as of June 30, 2025 and December 31, 2024</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Equity">
              <w:r>
                <w:rPr>
                  <w:rStyle w:val="InternetLink"/>
                  <w:rFonts w:ascii="Times New Roman;Times;serif" w:hAnsi="Times New Roman;Times;serif"/>
                  <w:b w:val="false"/>
                  <w:i w:val="false"/>
                  <w:caps w:val="false"/>
                  <w:smallCaps w:val="false"/>
                  <w:sz w:val="20"/>
                </w:rPr>
                <w:t>Consolidated Statements of Stockholders’ Equity for the three and six months ended June 30, 2025 and 2024</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sofCashFlows_699712">
              <w:r>
                <w:rPr>
                  <w:rStyle w:val="InternetLink"/>
                  <w:rFonts w:ascii="Times New Roman;Times;serif" w:hAnsi="Times New Roman;Times;serif"/>
                  <w:b w:val="false"/>
                  <w:i w:val="false"/>
                  <w:caps w:val="false"/>
                  <w:smallCaps w:val="false"/>
                  <w:sz w:val="20"/>
                </w:rPr>
                <w:t>Consolidated Statements of Cash Flows for the six months ended June 30, 2025 and 2024</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41"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9003"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Overview_288809">
              <w:r>
                <w:rPr>
                  <w:rStyle w:val="InternetLink"/>
                  <w:rFonts w:ascii="Times New Roman;Times;serif" w:hAnsi="Times New Roman;Times;serif"/>
                  <w:b w:val="false"/>
                  <w:i w:val="false"/>
                  <w:caps w:val="false"/>
                  <w:smallCaps w:val="false"/>
                  <w:sz w:val="20"/>
                </w:rPr>
                <w:t>Overview</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riticalAccountingEstimates_482826">
              <w:r>
                <w:rPr>
                  <w:rStyle w:val="InternetLink"/>
                  <w:rFonts w:ascii="Times New Roman;Times;serif" w:hAnsi="Times New Roman;Times;serif"/>
                  <w:b w:val="false"/>
                  <w:i w:val="false"/>
                  <w:caps w:val="false"/>
                  <w:smallCaps w:val="false"/>
                  <w:sz w:val="20"/>
                </w:rPr>
                <w:t>Critical Accounting Estimates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ResultsofOperations_659595">
              <w:r>
                <w:rPr>
                  <w:rStyle w:val="InternetLink"/>
                  <w:rFonts w:ascii="Times New Roman;Times;serif" w:hAnsi="Times New Roman;Times;serif"/>
                  <w:b w:val="false"/>
                  <w:i w:val="false"/>
                  <w:caps w:val="false"/>
                  <w:smallCaps w:val="false"/>
                  <w:sz w:val="20"/>
                </w:rPr>
                <w:t>Results of Operations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LiquidityandCapitalResources_541794">
              <w:r>
                <w:rPr>
                  <w:rStyle w:val="InternetLink"/>
                  <w:rFonts w:ascii="Times New Roman;Times;serif" w:hAnsi="Times New Roman;Times;serif"/>
                  <w:b w:val="false"/>
                  <w:i w:val="false"/>
                  <w:caps w:val="false"/>
                  <w:smallCaps w:val="false"/>
                  <w:sz w:val="20"/>
                </w:rPr>
                <w:t>Liquidity and Capital Resources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41"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9003"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41" w:type="dxa"/>
            <w:tcBorders/>
            <w:vAlign w:val="center"/>
          </w:tcPr>
          <w:p>
            <w:pPr>
              <w:pStyle w:val="TableContents"/>
              <w:bidi w:val="0"/>
              <w:spacing w:lineRule="auto" w:line="328" w:before="0" w:after="0"/>
              <w:ind w:left="0" w:right="0" w:hanging="0"/>
              <w:jc w:val="left"/>
              <w:rPr/>
            </w:pPr>
            <w:hyperlink w:anchor="Item4ControlsandProcedures_773908">
              <w:r>
                <w:rPr>
                  <w:rStyle w:val="InternetLink"/>
                  <w:rFonts w:ascii="Times New Roman;Times;serif" w:hAnsi="Times New Roman;Times;serif"/>
                  <w:b/>
                  <w:i w:val="false"/>
                  <w:caps w:val="false"/>
                  <w:smallCaps w:val="false"/>
                  <w:sz w:val="20"/>
                </w:rPr>
                <w:t>Item 4.</w:t>
              </w:r>
            </w:hyperlink>
          </w:p>
        </w:tc>
        <w:tc>
          <w:tcPr>
            <w:tcW w:w="9003" w:type="dxa"/>
            <w:tcBorders/>
            <w:vAlign w:val="center"/>
          </w:tcPr>
          <w:p>
            <w:pPr>
              <w:pStyle w:val="TableContents"/>
              <w:bidi w:val="0"/>
              <w:spacing w:lineRule="auto" w:line="328" w:before="0" w:after="0"/>
              <w:ind w:left="0" w:right="0" w:hanging="0"/>
              <w:jc w:val="left"/>
              <w:rPr/>
            </w:pPr>
            <w:hyperlink w:anchor="Item4ControlsandProcedures_773908">
              <w:r>
                <w:rPr>
                  <w:rStyle w:val="InternetLink"/>
                  <w:rFonts w:ascii="Times New Roman;Times;serif" w:hAnsi="Times New Roman;Times;serif"/>
                  <w:b/>
                  <w:i w:val="false"/>
                  <w:caps w:val="false"/>
                  <w:smallCaps w:val="false"/>
                  <w:sz w:val="20"/>
                </w:rPr>
                <w:t>Controls and Procedures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844" w:type="dxa"/>
            <w:gridSpan w:val="2"/>
            <w:tcBorders/>
            <w:vAlign w:val="center"/>
          </w:tcPr>
          <w:p>
            <w:pPr>
              <w:pStyle w:val="TableContents"/>
              <w:bidi w:val="0"/>
              <w:spacing w:lineRule="auto" w:line="328" w:before="0" w:after="0"/>
              <w:ind w:left="0" w:right="0" w:hanging="0"/>
              <w:jc w:val="left"/>
              <w:rPr/>
            </w:pPr>
            <w:hyperlink w:anchor="PARTIIOTHERINFORMATION_940705">
              <w:r>
                <w:rPr>
                  <w:rStyle w:val="InternetLink"/>
                  <w:rFonts w:ascii="Times New Roman;Times;serif" w:hAnsi="Times New Roman;Times;serif"/>
                  <w:b/>
                  <w:i w:val="false"/>
                  <w:caps w:val="false"/>
                  <w:smallCaps w:val="false"/>
                  <w:sz w:val="20"/>
                </w:rPr>
                <w:t>PART II - OTHER INFORMATION</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1LegalProceedings_163018">
              <w:r>
                <w:rPr>
                  <w:rStyle w:val="InternetLink"/>
                  <w:rFonts w:ascii="Times New Roman;Times;serif" w:hAnsi="Times New Roman;Times;serif"/>
                  <w:b/>
                  <w:i w:val="false"/>
                  <w:caps w:val="false"/>
                  <w:smallCaps w:val="false"/>
                  <w:sz w:val="20"/>
                </w:rPr>
                <w:t>Item 1.</w:t>
              </w:r>
            </w:hyperlink>
          </w:p>
        </w:tc>
        <w:tc>
          <w:tcPr>
            <w:tcW w:w="9003" w:type="dxa"/>
            <w:tcBorders/>
            <w:vAlign w:val="center"/>
          </w:tcPr>
          <w:p>
            <w:pPr>
              <w:pStyle w:val="TableContents"/>
              <w:bidi w:val="0"/>
              <w:spacing w:lineRule="auto" w:line="328" w:before="0" w:after="0"/>
              <w:ind w:left="0" w:right="0" w:hanging="0"/>
              <w:jc w:val="left"/>
              <w:rPr/>
            </w:pPr>
            <w:hyperlink w:anchor="Item1LegalProceedings_163018">
              <w:r>
                <w:rPr>
                  <w:rStyle w:val="InternetLink"/>
                  <w:rFonts w:ascii="Times New Roman;Times;serif" w:hAnsi="Times New Roman;Times;serif"/>
                  <w:b/>
                  <w:i w:val="false"/>
                  <w:caps w:val="false"/>
                  <w:smallCaps w:val="false"/>
                  <w:sz w:val="20"/>
                </w:rPr>
                <w:t>Legal Proceedings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1ARiskFactors_163682">
              <w:r>
                <w:rPr>
                  <w:rStyle w:val="InternetLink"/>
                  <w:rFonts w:ascii="Times New Roman;Times;serif" w:hAnsi="Times New Roman;Times;serif"/>
                  <w:b/>
                  <w:i w:val="false"/>
                  <w:caps w:val="false"/>
                  <w:smallCaps w:val="false"/>
                  <w:sz w:val="20"/>
                </w:rPr>
                <w:t>Item 1A.</w:t>
              </w:r>
            </w:hyperlink>
          </w:p>
        </w:tc>
        <w:tc>
          <w:tcPr>
            <w:tcW w:w="9003" w:type="dxa"/>
            <w:tcBorders/>
            <w:vAlign w:val="center"/>
          </w:tcPr>
          <w:p>
            <w:pPr>
              <w:pStyle w:val="TableContents"/>
              <w:bidi w:val="0"/>
              <w:spacing w:lineRule="auto" w:line="328" w:before="0" w:after="0"/>
              <w:ind w:left="0" w:right="0" w:hanging="0"/>
              <w:jc w:val="left"/>
              <w:rPr/>
            </w:pPr>
            <w:hyperlink w:anchor="Item1ARiskFactors_163682">
              <w:r>
                <w:rPr>
                  <w:rStyle w:val="InternetLink"/>
                  <w:rFonts w:ascii="Times New Roman;Times;serif" w:hAnsi="Times New Roman;Times;serif"/>
                  <w:b/>
                  <w:i w:val="false"/>
                  <w:caps w:val="false"/>
                  <w:smallCaps w:val="false"/>
                  <w:sz w:val="20"/>
                </w:rPr>
                <w:t>Risk Factors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9003"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Unregistered Sales of Equity Securities, Use of Proceeds, and Issuer Purchases of Equity Securities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3DefaultsUponSeniorSecurities_689958">
              <w:r>
                <w:rPr>
                  <w:rStyle w:val="InternetLink"/>
                  <w:rFonts w:ascii="Times New Roman;Times;serif" w:hAnsi="Times New Roman;Times;serif"/>
                  <w:b/>
                  <w:i w:val="false"/>
                  <w:caps w:val="false"/>
                  <w:smallCaps w:val="false"/>
                  <w:sz w:val="20"/>
                </w:rPr>
                <w:t>Item 3.</w:t>
              </w:r>
            </w:hyperlink>
          </w:p>
        </w:tc>
        <w:tc>
          <w:tcPr>
            <w:tcW w:w="9003" w:type="dxa"/>
            <w:tcBorders/>
            <w:vAlign w:val="center"/>
          </w:tcPr>
          <w:p>
            <w:pPr>
              <w:pStyle w:val="TableContents"/>
              <w:bidi w:val="0"/>
              <w:spacing w:lineRule="auto" w:line="328" w:before="0" w:after="0"/>
              <w:ind w:left="0" w:right="0" w:hanging="0"/>
              <w:jc w:val="left"/>
              <w:rPr/>
            </w:pPr>
            <w:hyperlink w:anchor="Item3DefaultsUponSeniorSecurities_689958">
              <w:r>
                <w:rPr>
                  <w:rStyle w:val="InternetLink"/>
                  <w:rFonts w:ascii="Times New Roman;Times;serif" w:hAnsi="Times New Roman;Times;serif"/>
                  <w:b/>
                  <w:i w:val="false"/>
                  <w:caps w:val="false"/>
                  <w:smallCaps w:val="false"/>
                  <w:sz w:val="20"/>
                </w:rPr>
                <w:t>Defaults Upon Senior Securities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4MineSafetyDisclosures_365895">
              <w:r>
                <w:rPr>
                  <w:rStyle w:val="InternetLink"/>
                  <w:rFonts w:ascii="Times New Roman;Times;serif" w:hAnsi="Times New Roman;Times;serif"/>
                  <w:b/>
                  <w:i w:val="false"/>
                  <w:caps w:val="false"/>
                  <w:smallCaps w:val="false"/>
                  <w:sz w:val="20"/>
                </w:rPr>
                <w:t>Item 4.</w:t>
              </w:r>
            </w:hyperlink>
          </w:p>
        </w:tc>
        <w:tc>
          <w:tcPr>
            <w:tcW w:w="9003" w:type="dxa"/>
            <w:tcBorders/>
            <w:vAlign w:val="center"/>
          </w:tcPr>
          <w:p>
            <w:pPr>
              <w:pStyle w:val="TableContents"/>
              <w:bidi w:val="0"/>
              <w:spacing w:lineRule="auto" w:line="328" w:before="0" w:after="0"/>
              <w:ind w:left="0" w:right="0" w:hanging="0"/>
              <w:jc w:val="left"/>
              <w:rPr/>
            </w:pPr>
            <w:hyperlink w:anchor="Item4MineSafetyDisclosures_365895">
              <w:r>
                <w:rPr>
                  <w:rStyle w:val="InternetLink"/>
                  <w:rFonts w:ascii="Times New Roman;Times;serif" w:hAnsi="Times New Roman;Times;serif"/>
                  <w:b/>
                  <w:i w:val="false"/>
                  <w:caps w:val="false"/>
                  <w:smallCaps w:val="false"/>
                  <w:sz w:val="20"/>
                </w:rPr>
                <w:t>Mine Safety Disclosures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5OtherInformation_535580">
              <w:r>
                <w:rPr>
                  <w:rStyle w:val="InternetLink"/>
                  <w:rFonts w:ascii="Times New Roman;Times;serif" w:hAnsi="Times New Roman;Times;serif"/>
                  <w:b/>
                  <w:i w:val="false"/>
                  <w:caps w:val="false"/>
                  <w:smallCaps w:val="false"/>
                  <w:sz w:val="20"/>
                </w:rPr>
                <w:t>Item 5.</w:t>
              </w:r>
            </w:hyperlink>
          </w:p>
        </w:tc>
        <w:tc>
          <w:tcPr>
            <w:tcW w:w="9003" w:type="dxa"/>
            <w:tcBorders/>
            <w:vAlign w:val="center"/>
          </w:tcPr>
          <w:p>
            <w:pPr>
              <w:pStyle w:val="TableContents"/>
              <w:bidi w:val="0"/>
              <w:spacing w:lineRule="auto" w:line="328" w:before="0" w:after="0"/>
              <w:ind w:left="0" w:right="0" w:hanging="0"/>
              <w:jc w:val="left"/>
              <w:rPr/>
            </w:pPr>
            <w:hyperlink w:anchor="Item5OtherInformation_535580">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6Exhibits_453635">
              <w:r>
                <w:rPr>
                  <w:rStyle w:val="InternetLink"/>
                  <w:rFonts w:ascii="Times New Roman;Times;serif" w:hAnsi="Times New Roman;Times;serif"/>
                  <w:b/>
                  <w:i w:val="false"/>
                  <w:caps w:val="false"/>
                  <w:smallCaps w:val="false"/>
                  <w:sz w:val="20"/>
                </w:rPr>
                <w:t>Item 6.</w:t>
              </w:r>
            </w:hyperlink>
          </w:p>
        </w:tc>
        <w:tc>
          <w:tcPr>
            <w:tcW w:w="9003" w:type="dxa"/>
            <w:tcBorders/>
            <w:vAlign w:val="center"/>
          </w:tcPr>
          <w:p>
            <w:pPr>
              <w:pStyle w:val="TableContents"/>
              <w:bidi w:val="0"/>
              <w:spacing w:lineRule="auto" w:line="328" w:before="0" w:after="0"/>
              <w:ind w:left="0" w:right="0" w:hanging="0"/>
              <w:jc w:val="left"/>
              <w:rPr/>
            </w:pPr>
            <w:hyperlink w:anchor="Item6Exhibits_453635">
              <w:r>
                <w:rPr>
                  <w:rStyle w:val="InternetLink"/>
                  <w:rFonts w:ascii="Times New Roman;Times;serif" w:hAnsi="Times New Roman;Times;serif"/>
                  <w:b/>
                  <w:i w:val="false"/>
                  <w:caps w:val="false"/>
                  <w:smallCaps w:val="false"/>
                  <w:sz w:val="20"/>
                </w:rPr>
                <w:t>Exhibits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 w:name="PART1FINANCIALINFORMATION_304973"/>
      <w:bookmarkStart w:id="20" w:name="_9c3906a8_18fd_4b81_a485_50e86b683b8f"/>
      <w:bookmarkEnd w:id="19"/>
      <w:bookmarkEnd w:id="20"/>
      <w:r>
        <w:rPr>
          <w:rFonts w:ascii="Times New Roman;Times;serif" w:hAnsi="Times New Roman;Times;serif"/>
          <w:b/>
          <w:sz w:val="20"/>
        </w:rPr>
        <w:t>PART 1—FINANCIAL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1" w:name="Item1FinancialStatements_869987"/>
      <w:bookmarkEnd w:id="21"/>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2" w:name="ConsolidatedStatementsofOperations_8900"/>
      <w:bookmarkEnd w:id="2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 w:name="Tc_sKlro4CoWEa9qZwT19FpRQ_32_0"/>
      <w:bookmarkStart w:id="24" w:name="Tc_8S9lE0cxC0W4OIKnw0B8Ew_31_0"/>
      <w:bookmarkStart w:id="25" w:name="Tc_unT9d58xNUiMDViq3xI-8A_30_0"/>
      <w:bookmarkStart w:id="26" w:name="Tc_t44Df20ebUuXR_qMc_VGhA_29_11"/>
      <w:bookmarkStart w:id="27" w:name="Tc_MtuMwmsuz0KJnOSrWNusag_29_8"/>
      <w:bookmarkStart w:id="28" w:name="Tc_EX4SSdLiFUyTKBJ-QXmL3g_29_5"/>
      <w:bookmarkStart w:id="29" w:name="Tc_dJlbY1WTsk6-TroP7iTbxw_29_2"/>
      <w:bookmarkStart w:id="30" w:name="Tc_LacHA4u7LUKRMGAfWUKuQQ_29_0"/>
      <w:bookmarkStart w:id="31" w:name="Tc_1KX0HTApzEqSpAqmy6VAEw_28_11"/>
      <w:bookmarkStart w:id="32" w:name="Tc_PGeXuN8310S1ZVO0tAx7QA_28_8"/>
      <w:bookmarkStart w:id="33" w:name="Tc_4odn0adl20iBjI_il4D7eg_28_5"/>
      <w:bookmarkStart w:id="34" w:name="Tc_Oi95E_oUY0i_IoRXBVcutw_28_2"/>
      <w:bookmarkStart w:id="35" w:name="Tc_mSCAQ4cEOkWMYHXfTtnfeQ_28_0"/>
      <w:bookmarkStart w:id="36" w:name="Tc_adRPuucfj0WuATyFQFuodg_27_0"/>
      <w:bookmarkStart w:id="37" w:name="Tc_5m7pvuMwvk-GSxusc1iCKw_26_11"/>
      <w:bookmarkStart w:id="38" w:name="Tc_JVUmzfTBLkO6teksYcp5PA_26_8"/>
      <w:bookmarkStart w:id="39" w:name="Tc_fRhze9fSE06KOmCApAakhA_26_5"/>
      <w:bookmarkStart w:id="40" w:name="Tc_V1BEV8VxhU610BUfYWnzOA_26_2"/>
      <w:bookmarkStart w:id="41" w:name="Tc_qmDWjwQb40Guoq7Zs771tw_26_0"/>
      <w:bookmarkStart w:id="42" w:name="Tc_0MEXcX6ruE65bj7z4eRWUQ_25_0"/>
      <w:bookmarkStart w:id="43" w:name="Tc_hDk1XtoWBESePdRVGUikJg_24_0"/>
      <w:bookmarkStart w:id="44" w:name="Tc_Oh9onh6W9kiA9O9NZGlmHw_23_0"/>
      <w:bookmarkStart w:id="45" w:name="Tc_XOVxdL2V1kSiuAd4sa4XUQ_22_0"/>
      <w:bookmarkStart w:id="46" w:name="Tc_62w75crTRE-oh3NMcPFYSw_21_0"/>
      <w:bookmarkStart w:id="47" w:name="Tc_1J_K7IOYE0G-K62TVZckPA_20_0"/>
      <w:bookmarkStart w:id="48" w:name="Tc_mFdqWE5IrUWOYFrlV4DXUw_19_0"/>
      <w:bookmarkStart w:id="49" w:name="Tc_gQUOr1c7O0yEFfMa1-QVNw_18_0"/>
      <w:bookmarkStart w:id="50" w:name="Tc_55TfTbJ-Zku5-1fWbT7guQ_17_0"/>
      <w:bookmarkStart w:id="51" w:name="Tc_8p0ADQmP2kaadPeaOn0dIw_16_0"/>
      <w:bookmarkStart w:id="52" w:name="Tc_0YyiUBy7mk6uRA3f8A0skA_15_0"/>
      <w:bookmarkStart w:id="53" w:name="Tc_MwBUcnWc1Uu-YcQj6Fni4g_14_0"/>
      <w:bookmarkStart w:id="54" w:name="Tc_Y1qcHijrjk2Sqhn5NZioBA_13_0"/>
      <w:bookmarkStart w:id="55" w:name="Tc_kBxW7V76lEGBDztecDzrVw_12_0"/>
      <w:bookmarkStart w:id="56" w:name="Tc_5_Oa4dbCb0qeUhoJOolhZA_11_0"/>
      <w:bookmarkStart w:id="57" w:name="Tc_rjMZSdkZmEOEK42A60om7w_10_0"/>
      <w:bookmarkStart w:id="58" w:name="Tc__S5Hgz08_Uyn7TQX4VrWzQ_9_0"/>
      <w:bookmarkStart w:id="59" w:name="Tc_7xfhOTMRT0KFI8D45ZQzIA_8_0"/>
      <w:bookmarkStart w:id="60" w:name="Tc_4Ebastpmr0i-x-Dctwvb6Q_7_0"/>
      <w:bookmarkStart w:id="61" w:name="Tc_NomL90EfQkGhzjBFut98Zw_6_0"/>
      <w:bookmarkStart w:id="62" w:name="Tc_dntkFKOnT061XyxCNbXFgg_5_11"/>
      <w:bookmarkStart w:id="63" w:name="Tc_lDvZJvYKUkq--g5CH7VSSw_5_8"/>
      <w:bookmarkStart w:id="64" w:name="Tc_Oa5X3ja0WEynm7WakyjJ4Q_5_5"/>
      <w:bookmarkStart w:id="65" w:name="Tc_age-aXAf1kWRHsVjkJlCFQ_5_2"/>
      <w:bookmarkStart w:id="66" w:name="Tc_OIhHGiGhakWhOuPEEPQKzw_5_0"/>
      <w:bookmarkStart w:id="67" w:name="Tc_s2uoCcCR00aDVE4o4RLuVQ_4_0"/>
      <w:bookmarkStart w:id="68" w:name="Tc_sSPoOGScGEKTnEZVNEjW2g_3_11"/>
      <w:bookmarkStart w:id="69" w:name="Tc_ERICUabxtka0gOVsnoETTg_3_8"/>
      <w:bookmarkStart w:id="70" w:name="Tc_s9nmwwIOV06oq2bpQMJPGw_3_5"/>
      <w:bookmarkStart w:id="71" w:name="Tc_xhlWJ54QkECeyskmMG5tPg_3_2"/>
      <w:bookmarkStart w:id="72" w:name="Tc_v0lGYYfmskqeqwo2dFoRAg_2_8"/>
      <w:bookmarkStart w:id="73" w:name="Tc_yt6mWB1ax0eUfxJTezsycg_2_3"/>
      <w:bookmarkStart w:id="74" w:name="Tc_1tYnKCyGBU2ppTmiWGVrWA_1_8"/>
      <w:bookmarkStart w:id="75" w:name="Tc__Yh6wGTGYkK4qvdhh4tb1g_1_2"/>
      <w:bookmarkStart w:id="76" w:name="_daf8d9f8_d863_4aea_b03a_c87de65a0f1b"/>
      <w:bookmarkStart w:id="77" w:name="Tc_sKlro4CoWEa9qZwT19FpRQ_32_0"/>
      <w:bookmarkStart w:id="78" w:name="Tc_8S9lE0cxC0W4OIKnw0B8Ew_31_0"/>
      <w:bookmarkStart w:id="79" w:name="Tc_unT9d58xNUiMDViq3xI-8A_30_0"/>
      <w:bookmarkStart w:id="80" w:name="Tc_t44Df20ebUuXR_qMc_VGhA_29_11"/>
      <w:bookmarkStart w:id="81" w:name="Tc_MtuMwmsuz0KJnOSrWNusag_29_8"/>
      <w:bookmarkStart w:id="82" w:name="Tc_EX4SSdLiFUyTKBJ-QXmL3g_29_5"/>
      <w:bookmarkStart w:id="83" w:name="Tc_dJlbY1WTsk6-TroP7iTbxw_29_2"/>
      <w:bookmarkStart w:id="84" w:name="Tc_LacHA4u7LUKRMGAfWUKuQQ_29_0"/>
      <w:bookmarkStart w:id="85" w:name="Tc_1KX0HTApzEqSpAqmy6VAEw_28_11"/>
      <w:bookmarkStart w:id="86" w:name="Tc_PGeXuN8310S1ZVO0tAx7QA_28_8"/>
      <w:bookmarkStart w:id="87" w:name="Tc_4odn0adl20iBjI_il4D7eg_28_5"/>
      <w:bookmarkStart w:id="88" w:name="Tc_Oi95E_oUY0i_IoRXBVcutw_28_2"/>
      <w:bookmarkStart w:id="89" w:name="Tc_mSCAQ4cEOkWMYHXfTtnfeQ_28_0"/>
      <w:bookmarkStart w:id="90" w:name="Tc_adRPuucfj0WuATyFQFuodg_27_0"/>
      <w:bookmarkStart w:id="91" w:name="Tc_5m7pvuMwvk-GSxusc1iCKw_26_11"/>
      <w:bookmarkStart w:id="92" w:name="Tc_JVUmzfTBLkO6teksYcp5PA_26_8"/>
      <w:bookmarkStart w:id="93" w:name="Tc_fRhze9fSE06KOmCApAakhA_26_5"/>
      <w:bookmarkStart w:id="94" w:name="Tc_V1BEV8VxhU610BUfYWnzOA_26_2"/>
      <w:bookmarkStart w:id="95" w:name="Tc_qmDWjwQb40Guoq7Zs771tw_26_0"/>
      <w:bookmarkStart w:id="96" w:name="Tc_0MEXcX6ruE65bj7z4eRWUQ_25_0"/>
      <w:bookmarkStart w:id="97" w:name="Tc_hDk1XtoWBESePdRVGUikJg_24_0"/>
      <w:bookmarkStart w:id="98" w:name="Tc_Oh9onh6W9kiA9O9NZGlmHw_23_0"/>
      <w:bookmarkStart w:id="99" w:name="Tc_XOVxdL2V1kSiuAd4sa4XUQ_22_0"/>
      <w:bookmarkStart w:id="100" w:name="Tc_62w75crTRE-oh3NMcPFYSw_21_0"/>
      <w:bookmarkStart w:id="101" w:name="Tc_1J_K7IOYE0G-K62TVZckPA_20_0"/>
      <w:bookmarkStart w:id="102" w:name="Tc_mFdqWE5IrUWOYFrlV4DXUw_19_0"/>
      <w:bookmarkStart w:id="103" w:name="Tc_gQUOr1c7O0yEFfMa1-QVNw_18_0"/>
      <w:bookmarkStart w:id="104" w:name="Tc_55TfTbJ-Zku5-1fWbT7guQ_17_0"/>
      <w:bookmarkStart w:id="105" w:name="Tc_8p0ADQmP2kaadPeaOn0dIw_16_0"/>
      <w:bookmarkStart w:id="106" w:name="Tc_0YyiUBy7mk6uRA3f8A0skA_15_0"/>
      <w:bookmarkStart w:id="107" w:name="Tc_MwBUcnWc1Uu-YcQj6Fni4g_14_0"/>
      <w:bookmarkStart w:id="108" w:name="Tc_Y1qcHijrjk2Sqhn5NZioBA_13_0"/>
      <w:bookmarkStart w:id="109" w:name="Tc_kBxW7V76lEGBDztecDzrVw_12_0"/>
      <w:bookmarkStart w:id="110" w:name="Tc_5_Oa4dbCb0qeUhoJOolhZA_11_0"/>
      <w:bookmarkStart w:id="111" w:name="Tc_rjMZSdkZmEOEK42A60om7w_10_0"/>
      <w:bookmarkStart w:id="112" w:name="Tc__S5Hgz08_Uyn7TQX4VrWzQ_9_0"/>
      <w:bookmarkStart w:id="113" w:name="Tc_7xfhOTMRT0KFI8D45ZQzIA_8_0"/>
      <w:bookmarkStart w:id="114" w:name="Tc_4Ebastpmr0i-x-Dctwvb6Q_7_0"/>
      <w:bookmarkStart w:id="115" w:name="Tc_NomL90EfQkGhzjBFut98Zw_6_0"/>
      <w:bookmarkStart w:id="116" w:name="Tc_dntkFKOnT061XyxCNbXFgg_5_11"/>
      <w:bookmarkStart w:id="117" w:name="Tc_lDvZJvYKUkq--g5CH7VSSw_5_8"/>
      <w:bookmarkStart w:id="118" w:name="Tc_Oa5X3ja0WEynm7WakyjJ4Q_5_5"/>
      <w:bookmarkStart w:id="119" w:name="Tc_age-aXAf1kWRHsVjkJlCFQ_5_2"/>
      <w:bookmarkStart w:id="120" w:name="Tc_OIhHGiGhakWhOuPEEPQKzw_5_0"/>
      <w:bookmarkStart w:id="121" w:name="Tc_s2uoCcCR00aDVE4o4RLuVQ_4_0"/>
      <w:bookmarkStart w:id="122" w:name="Tc_sSPoOGScGEKTnEZVNEjW2g_3_11"/>
      <w:bookmarkStart w:id="123" w:name="Tc_ERICUabxtka0gOVsnoETTg_3_8"/>
      <w:bookmarkStart w:id="124" w:name="Tc_s9nmwwIOV06oq2bpQMJPGw_3_5"/>
      <w:bookmarkStart w:id="125" w:name="Tc_xhlWJ54QkECeyskmMG5tPg_3_2"/>
      <w:bookmarkStart w:id="126" w:name="Tc_v0lGYYfmskqeqwo2dFoRAg_2_8"/>
      <w:bookmarkStart w:id="127" w:name="Tc_yt6mWB1ax0eUfxJTezsycg_2_3"/>
      <w:bookmarkStart w:id="128" w:name="Tc_1tYnKCyGBU2ppTmiWGVrWA_1_8"/>
      <w:bookmarkStart w:id="129" w:name="Tc__Yh6wGTGYkK4qvdhh4tb1g_1_2"/>
      <w:bookmarkStart w:id="130" w:name="_daf8d9f8_d863_4aea_b03a_c87de65a0f1b"/>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9829" w:type="dxa"/>
        <w:jc w:val="left"/>
        <w:tblInd w:w="0" w:type="dxa"/>
        <w:tblLayout w:type="fixed"/>
        <w:tblCellMar>
          <w:top w:w="0" w:type="dxa"/>
          <w:left w:w="0" w:type="dxa"/>
          <w:bottom w:w="0" w:type="dxa"/>
          <w:right w:w="0" w:type="dxa"/>
        </w:tblCellMar>
      </w:tblPr>
      <w:tblGrid>
        <w:gridCol w:w="4186"/>
        <w:gridCol w:w="326"/>
        <w:gridCol w:w="211"/>
        <w:gridCol w:w="781"/>
        <w:gridCol w:w="326"/>
        <w:gridCol w:w="211"/>
        <w:gridCol w:w="781"/>
        <w:gridCol w:w="326"/>
        <w:gridCol w:w="211"/>
        <w:gridCol w:w="781"/>
        <w:gridCol w:w="326"/>
        <w:gridCol w:w="211"/>
        <w:gridCol w:w="781"/>
        <w:gridCol w:w="37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658110" cy="175260"/>
                      <wp:effectExtent l="0" t="0" r="0" b="0"/>
                      <wp:wrapNone/>
                      <wp:docPr id="2" name="Frame2"/>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5585" cy="175260"/>
                      <wp:effectExtent l="0" t="0" r="0" b="0"/>
                      <wp:wrapNone/>
                      <wp:docPr id="15" name="Frame1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71"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488,798</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508,883</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262,670</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280,423</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34,675</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119,111</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6,914</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116,263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13,803</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32,618</w:t>
            </w:r>
          </w:p>
        </w:tc>
        <w:tc>
          <w:tcPr>
            <w:tcW w:w="37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32,848</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31" w:name="_c4f2b3e0_1a70_4cd6_b655_a969d6081454"/>
      <w:bookmarkEnd w:id="131"/>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32" w:name="ConsolidatedStatementsofComprehensiveInc"/>
      <w:bookmarkEnd w:id="132"/>
      <w:r>
        <w:rPr>
          <w:rFonts w:ascii="Times New Roman;Times;serif" w:hAnsi="Times New Roman;Times;serif"/>
          <w:b/>
          <w:sz w:val="20"/>
        </w:rPr>
        <w:t xml:space="preserve">Consolidated Statements of Comprehensive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3" w:name="Tc_gWNdGMgYN0q3qSuX0urDEw_10_11"/>
      <w:bookmarkStart w:id="134" w:name="Tc_LwVuGcU9ckamSEqtOmd6gg_10_8"/>
      <w:bookmarkStart w:id="135" w:name="Tc_qZT7eSnh2kuPcuintbf-Eg_10_5"/>
      <w:bookmarkStart w:id="136" w:name="Tc_l2SDWNnelUWw7Vj_kGTgdw_10_2"/>
      <w:bookmarkStart w:id="137" w:name="Tc_lnSeVzOqrkq7bv-n9LFrXw_10_0"/>
      <w:bookmarkStart w:id="138" w:name="Tc_1DbmLPh7z0-fJ-jLE5OWUQ_9_0"/>
      <w:bookmarkStart w:id="139" w:name="Tc_0q0P2OM4WEGp3cPMNnce3A_8_12"/>
      <w:bookmarkStart w:id="140" w:name="Tc_eIbbXLMUnkmusnn6vlm51A_8_6"/>
      <w:bookmarkStart w:id="141" w:name="Tc_OdcVxUWbi0aY_tbnb8aNaA_8_0"/>
      <w:bookmarkStart w:id="142" w:name="Tc_xhyHM0tlQ0muAr3xuHkIrQ_7_9"/>
      <w:bookmarkStart w:id="143" w:name="Tc_FzE0XhIgiU6rN_P1uQIRXQ_7_3"/>
      <w:bookmarkStart w:id="144" w:name="Tc_2uH88te1vECWQerCqifF4Q_7_0"/>
      <w:bookmarkStart w:id="145" w:name="Tc_mdIWdOcm50W8ixuWWuCLqA_6_0"/>
      <w:bookmarkStart w:id="146" w:name="Tc_uf3K7TH_nkWk3bkEphiltw_5_0"/>
      <w:bookmarkStart w:id="147" w:name="Tc_-_7btLFbG0OOlcPuPZPAhQ_4_11"/>
      <w:bookmarkStart w:id="148" w:name="Tc_Wbd0qbqBb0mygzKSyVaSNw_4_8"/>
      <w:bookmarkStart w:id="149" w:name="Tc_HeX_WLVLG0uJ5hOrhDTC3g_4_5"/>
      <w:bookmarkStart w:id="150" w:name="Tc_4xGtrMycSkOM6wnHzTjd3Q_4_2"/>
      <w:bookmarkStart w:id="151" w:name="Tc_FtSL0Ao34kyEhHq3fIdCBg_4_0"/>
      <w:bookmarkStart w:id="152" w:name="Tc_uxlwKfI1Z0-RrTUW7oJSWw_3_11"/>
      <w:bookmarkStart w:id="153" w:name="Tc_nZjpnnkfdUCMDvqP2XZRWQ_3_8"/>
      <w:bookmarkStart w:id="154" w:name="Tc_-WROxyZti0W_WnT0ta6DbA_3_5"/>
      <w:bookmarkStart w:id="155" w:name="Tc_9ok1c4iBY0S48ftjNUli1Q_3_2"/>
      <w:bookmarkStart w:id="156" w:name="Tc_wCHvEYISVke5lYOEG2HOVg_2_8"/>
      <w:bookmarkStart w:id="157" w:name="Tc_YZpv0dIojUaHw4Cq1XCi8g_2_2"/>
      <w:bookmarkStart w:id="158" w:name="Tc_7cfHEQw4JU6G41w8HQa8tQ_1_8"/>
      <w:bookmarkStart w:id="159" w:name="Tc_8xW4Kp9IF0a5L2ePWxRSFQ_1_2"/>
      <w:bookmarkStart w:id="160" w:name="_58c763bb_79e9_4cec_9333_ec0753e72401"/>
      <w:bookmarkStart w:id="161" w:name="Tc_gWNdGMgYN0q3qSuX0urDEw_10_11"/>
      <w:bookmarkStart w:id="162" w:name="Tc_LwVuGcU9ckamSEqtOmd6gg_10_8"/>
      <w:bookmarkStart w:id="163" w:name="Tc_qZT7eSnh2kuPcuintbf-Eg_10_5"/>
      <w:bookmarkStart w:id="164" w:name="Tc_l2SDWNnelUWw7Vj_kGTgdw_10_2"/>
      <w:bookmarkStart w:id="165" w:name="Tc_lnSeVzOqrkq7bv-n9LFrXw_10_0"/>
      <w:bookmarkStart w:id="166" w:name="Tc_1DbmLPh7z0-fJ-jLE5OWUQ_9_0"/>
      <w:bookmarkStart w:id="167" w:name="Tc_0q0P2OM4WEGp3cPMNnce3A_8_12"/>
      <w:bookmarkStart w:id="168" w:name="Tc_eIbbXLMUnkmusnn6vlm51A_8_6"/>
      <w:bookmarkStart w:id="169" w:name="Tc_OdcVxUWbi0aY_tbnb8aNaA_8_0"/>
      <w:bookmarkStart w:id="170" w:name="Tc_xhyHM0tlQ0muAr3xuHkIrQ_7_9"/>
      <w:bookmarkStart w:id="171" w:name="Tc_FzE0XhIgiU6rN_P1uQIRXQ_7_3"/>
      <w:bookmarkStart w:id="172" w:name="Tc_2uH88te1vECWQerCqifF4Q_7_0"/>
      <w:bookmarkStart w:id="173" w:name="Tc_mdIWdOcm50W8ixuWWuCLqA_6_0"/>
      <w:bookmarkStart w:id="174" w:name="Tc_uf3K7TH_nkWk3bkEphiltw_5_0"/>
      <w:bookmarkStart w:id="175" w:name="Tc_-_7btLFbG0OOlcPuPZPAhQ_4_11"/>
      <w:bookmarkStart w:id="176" w:name="Tc_Wbd0qbqBb0mygzKSyVaSNw_4_8"/>
      <w:bookmarkStart w:id="177" w:name="Tc_HeX_WLVLG0uJ5hOrhDTC3g_4_5"/>
      <w:bookmarkStart w:id="178" w:name="Tc_4xGtrMycSkOM6wnHzTjd3Q_4_2"/>
      <w:bookmarkStart w:id="179" w:name="Tc_FtSL0Ao34kyEhHq3fIdCBg_4_0"/>
      <w:bookmarkStart w:id="180" w:name="Tc_uxlwKfI1Z0-RrTUW7oJSWw_3_11"/>
      <w:bookmarkStart w:id="181" w:name="Tc_nZjpnnkfdUCMDvqP2XZRWQ_3_8"/>
      <w:bookmarkStart w:id="182" w:name="Tc_-WROxyZti0W_WnT0ta6DbA_3_5"/>
      <w:bookmarkStart w:id="183" w:name="Tc_9ok1c4iBY0S48ftjNUli1Q_3_2"/>
      <w:bookmarkStart w:id="184" w:name="Tc_wCHvEYISVke5lYOEG2HOVg_2_8"/>
      <w:bookmarkStart w:id="185" w:name="Tc_YZpv0dIojUaHw4Cq1XCi8g_2_2"/>
      <w:bookmarkStart w:id="186" w:name="Tc_7cfHEQw4JU6G41w8HQa8tQ_1_8"/>
      <w:bookmarkStart w:id="187" w:name="Tc_8xW4Kp9IF0a5L2ePWxRSFQ_1_2"/>
      <w:bookmarkStart w:id="188" w:name="_58c763bb_79e9_4cec_9333_ec0753e72401"/>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tbl>
      <w:tblPr>
        <w:tblW w:w="10205" w:type="dxa"/>
        <w:jc w:val="left"/>
        <w:tblInd w:w="0" w:type="dxa"/>
        <w:tblLayout w:type="fixed"/>
        <w:tblCellMar>
          <w:top w:w="0" w:type="dxa"/>
          <w:left w:w="0" w:type="dxa"/>
          <w:bottom w:w="0" w:type="dxa"/>
          <w:right w:w="0" w:type="dxa"/>
        </w:tblCellMar>
      </w:tblPr>
      <w:tblGrid>
        <w:gridCol w:w="4877"/>
        <w:gridCol w:w="326"/>
        <w:gridCol w:w="211"/>
        <w:gridCol w:w="676"/>
        <w:gridCol w:w="326"/>
        <w:gridCol w:w="211"/>
        <w:gridCol w:w="676"/>
        <w:gridCol w:w="326"/>
        <w:gridCol w:w="211"/>
        <w:gridCol w:w="676"/>
        <w:gridCol w:w="326"/>
        <w:gridCol w:w="211"/>
        <w:gridCol w:w="781"/>
        <w:gridCol w:w="371"/>
      </w:tblGrid>
      <w:tr>
        <w:trPr/>
        <w:tc>
          <w:tcPr>
            <w:tcW w:w="4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096895" cy="175260"/>
                      <wp:effectExtent l="0" t="0" r="0" b="0"/>
                      <wp:wrapNone/>
                      <wp:docPr id="16" name="Frame16"/>
                      <a:graphic xmlns:a="http://schemas.openxmlformats.org/drawingml/2006/main">
                        <a:graphicData uri="http://schemas.microsoft.com/office/word/2010/wordprocessingShape">
                          <wps:wsp>
                            <wps:cNvSpPr txBox="1"/>
                            <wps:spPr>
                              <a:xfrm>
                                <a:off x="0" y="0"/>
                                <a:ext cx="309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260"/>
                      <wp:effectExtent l="0" t="0" r="0" b="0"/>
                      <wp:wrapNone/>
                      <wp:docPr id="25" name="Frame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5585" cy="175260"/>
                      <wp:effectExtent l="0" t="0" r="0" b="0"/>
                      <wp:wrapNone/>
                      <wp:docPr id="29" name="Frame2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center"/>
              <w:rPr/>
            </w:pPr>
            <w:r>
              <w:rPr/>
              <w:t>​</w:t>
            </w:r>
          </w:p>
        </w:tc>
      </w:tr>
      <w:tr>
        <w:trPr/>
        <w:tc>
          <w:tcPr>
            <w:tcW w:w="48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71" w:type="dxa"/>
            <w:tcBorders/>
            <w:vAlign w:val="center"/>
          </w:tcPr>
          <w:p>
            <w:pPr>
              <w:pStyle w:val="TableContents"/>
              <w:bidi w:val="0"/>
              <w:spacing w:before="0" w:after="0"/>
              <w:ind w:left="0" w:right="0" w:hanging="0"/>
              <w:jc w:val="center"/>
              <w:rPr/>
            </w:pPr>
            <w:r>
              <w:rPr/>
              <w:t>​</w:t>
            </w:r>
          </w:p>
        </w:tc>
      </w:tr>
      <w:tr>
        <w:trPr/>
        <w:tc>
          <w:tcPr>
            <w:tcW w:w="48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48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8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8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8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actuarial net gain and other adjustments from pension plan,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71" w:type="dxa"/>
            <w:tcBorders/>
            <w:vAlign w:val="center"/>
          </w:tcPr>
          <w:p>
            <w:pPr>
              <w:pStyle w:val="TableContents"/>
              <w:bidi w:val="0"/>
              <w:spacing w:before="0" w:after="0"/>
              <w:ind w:left="0" w:right="0" w:hanging="0"/>
              <w:jc w:val="left"/>
              <w:rPr/>
            </w:pPr>
            <w:r>
              <w:rPr/>
              <w:t>​</w:t>
            </w:r>
          </w:p>
        </w:tc>
      </w:tr>
      <w:tr>
        <w:trPr/>
        <w:tc>
          <w:tcPr>
            <w:tcW w:w="48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gains on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8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w:t>
            </w:r>
          </w:p>
        </w:tc>
        <w:tc>
          <w:tcPr>
            <w:tcW w:w="371" w:type="dxa"/>
            <w:tcBorders/>
            <w:vAlign w:val="center"/>
          </w:tcPr>
          <w:p>
            <w:pPr>
              <w:pStyle w:val="TableContents"/>
              <w:bidi w:val="0"/>
              <w:spacing w:before="0" w:after="0"/>
              <w:ind w:left="0" w:right="0" w:hanging="0"/>
              <w:jc w:val="left"/>
              <w:rPr/>
            </w:pPr>
            <w:r>
              <w:rPr/>
              <w:t>​</w:t>
            </w:r>
          </w:p>
        </w:tc>
      </w:tr>
      <w:tr>
        <w:trPr/>
        <w:tc>
          <w:tcPr>
            <w:tcW w:w="48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99,826</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89" w:name="_27022897_27ef_4f77_8c9f_71e939d5d072"/>
      <w:bookmarkEnd w:id="189"/>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90" w:name="ConsolidatedBalanceSheets_859153"/>
      <w:bookmarkEnd w:id="190"/>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1" w:name="Tc_5fPIS9TtOUuVqdMUnnrbgw_40_5"/>
      <w:bookmarkStart w:id="192" w:name="Tc_39iq4aMFbUCo2JT7V9dBZA_40_2"/>
      <w:bookmarkStart w:id="193" w:name="Tc_YL8mrHOZdkycUnSHvJU32w_40_0"/>
      <w:bookmarkStart w:id="194" w:name="Tc_VePNPEDHjU2BwXUSOapxig_39_0"/>
      <w:bookmarkStart w:id="195" w:name="Tc_yLX6hH_hKkCQg8YUf9Ko9A_38_0"/>
      <w:bookmarkStart w:id="196" w:name="Tc_CZu8Xb1GB0G2Q5FIVo5LKQ_37_0"/>
      <w:bookmarkStart w:id="197" w:name="Tc_5T4rl9FG7EagCOASwSn2vg_36_0"/>
      <w:bookmarkStart w:id="198" w:name="Tc_dcz3mAuRqEuVyrQfaAT0HQ_35_0"/>
      <w:bookmarkStart w:id="199" w:name="Tc_AAambUGifkypc_ujq6J7qQ_34_0"/>
      <w:bookmarkStart w:id="200" w:name="Tc_QRwYmUVjhUmMQlFWBGYuMA_33_0"/>
      <w:bookmarkStart w:id="201" w:name="Tc_HRMUCyI070yRcJRzRL7JOQ_32_0"/>
      <w:bookmarkStart w:id="202" w:name="Tc_KZUEqVSdsUuTb-_XQVhgzw_31_0"/>
      <w:bookmarkStart w:id="203" w:name="Tc_KYsqOGn_ykCl1ElI8O945w_30_0"/>
      <w:bookmarkStart w:id="204" w:name="Tc_CcOhF4V5QkW-JiHZv3PD2Q_29_0"/>
      <w:bookmarkStart w:id="205" w:name="Tc_BmqVEI4Oq0C9TJiRqrWxNA_28_0"/>
      <w:bookmarkStart w:id="206" w:name="Tc_GjxdWKpaR0W5fquHxUbi7w_27_0"/>
      <w:bookmarkStart w:id="207" w:name="Tc_hyvxI4fqAkqPi1cqRVBi0w_26_0"/>
      <w:bookmarkStart w:id="208" w:name="Tc_BRCBkweY4EurQ8GhbIjcUQ_25_0"/>
      <w:bookmarkStart w:id="209" w:name="Tc_3UuOQzKfKkG1C1cE269OoQ_24_0"/>
      <w:bookmarkStart w:id="210" w:name="Tc_IPYOSrhxq0OGHkw1GwsY8A_23_0"/>
      <w:bookmarkStart w:id="211" w:name="Tc_lN4U6smN0EWd1dlAwl2QzQ_22_5"/>
      <w:bookmarkStart w:id="212" w:name="Tc_EnPwxXMLqU2vII6sziMGmQ_22_2"/>
      <w:bookmarkStart w:id="213" w:name="Tc_FucNWCAtBk-rW_VkR-9gPQ_22_0"/>
      <w:bookmarkStart w:id="214" w:name="Tc_1umexmaNOkGxhk4SFmYnYg_21_0"/>
      <w:bookmarkStart w:id="215" w:name="Tc_QVd83OcaNUqG5Bm-WtWILw_20_0"/>
      <w:bookmarkStart w:id="216" w:name="Tc_Jr3Ul301NEiXDO0x025Diw_19_5"/>
      <w:bookmarkStart w:id="217" w:name="Tc_8EcQ4diF_02JUbhsj-OTNA_19_2"/>
      <w:bookmarkStart w:id="218" w:name="Tc_KOsTDqnbjEWWcienV3GjJg_19_0"/>
      <w:bookmarkStart w:id="219" w:name="Tc_VyEhCMCz50e9dvOq42Cu1g_18_0"/>
      <w:bookmarkStart w:id="220" w:name="Tc_TKvSNMmUjUON-7c9t4lKPg_17_6"/>
      <w:bookmarkStart w:id="221" w:name="Tc_I0tDTGtB4EeKT9XIRu5Lnw_17_0"/>
      <w:bookmarkStart w:id="222" w:name="Tc_0OEI-FtMtE-cyWt3niEA9g_16_0"/>
      <w:bookmarkStart w:id="223" w:name="Tc_1az1P1pTwESy7SZCjaQCZw_15_0"/>
      <w:bookmarkStart w:id="224" w:name="Tc_XkLNe0AXyUmk1crENhgBag_14_0"/>
      <w:bookmarkStart w:id="225" w:name="Tc_SkfGPtZlLUuQscLD35L0Jw_13_0"/>
      <w:bookmarkStart w:id="226" w:name="Tc_boylPSb6LECMmgLJN_TUpw_12_0"/>
      <w:bookmarkStart w:id="227" w:name="Tc_-8TKXtwcWU2W4q3Mvfo0IQ_11_0"/>
      <w:bookmarkStart w:id="228" w:name="Tc_uC-Zq4w180qRIpRidAGgFg_10_0"/>
      <w:bookmarkStart w:id="229" w:name="Tc_ZPDmvVjeUU6Yu6OZ1GqPXQ_9_0"/>
      <w:bookmarkStart w:id="230" w:name="Tc_5Y0HAX40OEqQHXzJiUZKSQ_8_0"/>
      <w:bookmarkStart w:id="231" w:name="Tc_9sFqirMQVkyd24bAvxnJdA_7_0"/>
      <w:bookmarkStart w:id="232" w:name="Tc_3lyN7wbc7EagtqXv8XWp8A_6_0"/>
      <w:bookmarkStart w:id="233" w:name="Tc_CRUG_2XEHEOBDdMbu_1bDw_5_5"/>
      <w:bookmarkStart w:id="234" w:name="Tc_4GlM5_Rp5kGgOtN1Lc90yA_5_2"/>
      <w:bookmarkStart w:id="235" w:name="Tc_dS963Lh_O0y1ARyBnjemQQ_5_0"/>
      <w:bookmarkStart w:id="236" w:name="Tc_gyxlnVOQBEubUyt3alxoYQ_4_0"/>
      <w:bookmarkStart w:id="237" w:name="Tc_0oahWMgkskKJsfus-Cwi7A_3_0"/>
      <w:bookmarkStart w:id="238" w:name="Tc_GPPHiS3Wa0ulL9uJP11C8g_2_5"/>
      <w:bookmarkStart w:id="239" w:name="Tc_ofnqWRgy8kOFGbmuCo3o2A_2_2"/>
      <w:bookmarkStart w:id="240" w:name="Tc_GGZYAMSB3UeJkrGL2GU2nQ_1_5"/>
      <w:bookmarkStart w:id="241" w:name="Tc_KX4m9uj720mFzEFc8Jw8Kg_1_2"/>
      <w:bookmarkStart w:id="242" w:name="_c4d31299_f8ea_44f8_a1db_9c93247ed33d"/>
      <w:bookmarkStart w:id="243" w:name="Tc_5fPIS9TtOUuVqdMUnnrbgw_40_5"/>
      <w:bookmarkStart w:id="244" w:name="Tc_39iq4aMFbUCo2JT7V9dBZA_40_2"/>
      <w:bookmarkStart w:id="245" w:name="Tc_YL8mrHOZdkycUnSHvJU32w_40_0"/>
      <w:bookmarkStart w:id="246" w:name="Tc_VePNPEDHjU2BwXUSOapxig_39_0"/>
      <w:bookmarkStart w:id="247" w:name="Tc_yLX6hH_hKkCQg8YUf9Ko9A_38_0"/>
      <w:bookmarkStart w:id="248" w:name="Tc_CZu8Xb1GB0G2Q5FIVo5LKQ_37_0"/>
      <w:bookmarkStart w:id="249" w:name="Tc_5T4rl9FG7EagCOASwSn2vg_36_0"/>
      <w:bookmarkStart w:id="250" w:name="Tc_dcz3mAuRqEuVyrQfaAT0HQ_35_0"/>
      <w:bookmarkStart w:id="251" w:name="Tc_AAambUGifkypc_ujq6J7qQ_34_0"/>
      <w:bookmarkStart w:id="252" w:name="Tc_QRwYmUVjhUmMQlFWBGYuMA_33_0"/>
      <w:bookmarkStart w:id="253" w:name="Tc_HRMUCyI070yRcJRzRL7JOQ_32_0"/>
      <w:bookmarkStart w:id="254" w:name="Tc_KZUEqVSdsUuTb-_XQVhgzw_31_0"/>
      <w:bookmarkStart w:id="255" w:name="Tc_KYsqOGn_ykCl1ElI8O945w_30_0"/>
      <w:bookmarkStart w:id="256" w:name="Tc_CcOhF4V5QkW-JiHZv3PD2Q_29_0"/>
      <w:bookmarkStart w:id="257" w:name="Tc_BmqVEI4Oq0C9TJiRqrWxNA_28_0"/>
      <w:bookmarkStart w:id="258" w:name="Tc_GjxdWKpaR0W5fquHxUbi7w_27_0"/>
      <w:bookmarkStart w:id="259" w:name="Tc_hyvxI4fqAkqPi1cqRVBi0w_26_0"/>
      <w:bookmarkStart w:id="260" w:name="Tc_BRCBkweY4EurQ8GhbIjcUQ_25_0"/>
      <w:bookmarkStart w:id="261" w:name="Tc_3UuOQzKfKkG1C1cE269OoQ_24_0"/>
      <w:bookmarkStart w:id="262" w:name="Tc_IPYOSrhxq0OGHkw1GwsY8A_23_0"/>
      <w:bookmarkStart w:id="263" w:name="Tc_lN4U6smN0EWd1dlAwl2QzQ_22_5"/>
      <w:bookmarkStart w:id="264" w:name="Tc_EnPwxXMLqU2vII6sziMGmQ_22_2"/>
      <w:bookmarkStart w:id="265" w:name="Tc_FucNWCAtBk-rW_VkR-9gPQ_22_0"/>
      <w:bookmarkStart w:id="266" w:name="Tc_1umexmaNOkGxhk4SFmYnYg_21_0"/>
      <w:bookmarkStart w:id="267" w:name="Tc_QVd83OcaNUqG5Bm-WtWILw_20_0"/>
      <w:bookmarkStart w:id="268" w:name="Tc_Jr3Ul301NEiXDO0x025Diw_19_5"/>
      <w:bookmarkStart w:id="269" w:name="Tc_8EcQ4diF_02JUbhsj-OTNA_19_2"/>
      <w:bookmarkStart w:id="270" w:name="Tc_KOsTDqnbjEWWcienV3GjJg_19_0"/>
      <w:bookmarkStart w:id="271" w:name="Tc_VyEhCMCz50e9dvOq42Cu1g_18_0"/>
      <w:bookmarkStart w:id="272" w:name="Tc_TKvSNMmUjUON-7c9t4lKPg_17_6"/>
      <w:bookmarkStart w:id="273" w:name="Tc_I0tDTGtB4EeKT9XIRu5Lnw_17_0"/>
      <w:bookmarkStart w:id="274" w:name="Tc_0OEI-FtMtE-cyWt3niEA9g_16_0"/>
      <w:bookmarkStart w:id="275" w:name="Tc_1az1P1pTwESy7SZCjaQCZw_15_0"/>
      <w:bookmarkStart w:id="276" w:name="Tc_XkLNe0AXyUmk1crENhgBag_14_0"/>
      <w:bookmarkStart w:id="277" w:name="Tc_SkfGPtZlLUuQscLD35L0Jw_13_0"/>
      <w:bookmarkStart w:id="278" w:name="Tc_boylPSb6LECMmgLJN_TUpw_12_0"/>
      <w:bookmarkStart w:id="279" w:name="Tc_-8TKXtwcWU2W4q3Mvfo0IQ_11_0"/>
      <w:bookmarkStart w:id="280" w:name="Tc_uC-Zq4w180qRIpRidAGgFg_10_0"/>
      <w:bookmarkStart w:id="281" w:name="Tc_ZPDmvVjeUU6Yu6OZ1GqPXQ_9_0"/>
      <w:bookmarkStart w:id="282" w:name="Tc_5Y0HAX40OEqQHXzJiUZKSQ_8_0"/>
      <w:bookmarkStart w:id="283" w:name="Tc_9sFqirMQVkyd24bAvxnJdA_7_0"/>
      <w:bookmarkStart w:id="284" w:name="Tc_3lyN7wbc7EagtqXv8XWp8A_6_0"/>
      <w:bookmarkStart w:id="285" w:name="Tc_CRUG_2XEHEOBDdMbu_1bDw_5_5"/>
      <w:bookmarkStart w:id="286" w:name="Tc_4GlM5_Rp5kGgOtN1Lc90yA_5_2"/>
      <w:bookmarkStart w:id="287" w:name="Tc_dS963Lh_O0y1ARyBnjemQQ_5_0"/>
      <w:bookmarkStart w:id="288" w:name="Tc_gyxlnVOQBEubUyt3alxoYQ_4_0"/>
      <w:bookmarkStart w:id="289" w:name="Tc_0oahWMgkskKJsfus-Cwi7A_3_0"/>
      <w:bookmarkStart w:id="290" w:name="Tc_GPPHiS3Wa0ulL9uJP11C8g_2_5"/>
      <w:bookmarkStart w:id="291" w:name="Tc_ofnqWRgy8kOFGbmuCo3o2A_2_2"/>
      <w:bookmarkStart w:id="292" w:name="Tc_GGZYAMSB3UeJkrGL2GU2nQ_1_5"/>
      <w:bookmarkStart w:id="293" w:name="Tc_KX4m9uj720mFzEFc8Jw8Kg_1_2"/>
      <w:bookmarkStart w:id="294" w:name="_c4d31299_f8ea_44f8_a1db_9c93247ed33d"/>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bl>
      <w:tblPr>
        <w:tblW w:w="10205" w:type="dxa"/>
        <w:jc w:val="left"/>
        <w:tblInd w:w="0" w:type="dxa"/>
        <w:tblLayout w:type="fixed"/>
        <w:tblCellMar>
          <w:top w:w="0" w:type="dxa"/>
          <w:left w:w="0" w:type="dxa"/>
          <w:bottom w:w="0" w:type="dxa"/>
          <w:right w:w="0" w:type="dxa"/>
        </w:tblCellMar>
      </w:tblPr>
      <w:tblGrid>
        <w:gridCol w:w="7059"/>
        <w:gridCol w:w="326"/>
        <w:gridCol w:w="211"/>
        <w:gridCol w:w="931"/>
        <w:gridCol w:w="326"/>
        <w:gridCol w:w="214"/>
        <w:gridCol w:w="946"/>
        <w:gridCol w:w="192"/>
      </w:tblGrid>
      <w:tr>
        <w:trPr/>
        <w:tc>
          <w:tcPr>
            <w:tcW w:w="7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82465" cy="175260"/>
                      <wp:effectExtent l="0" t="0" r="0" b="0"/>
                      <wp:wrapNone/>
                      <wp:docPr id="30" name="Frame30"/>
                      <a:graphic xmlns:a="http://schemas.openxmlformats.org/drawingml/2006/main">
                        <a:graphicData uri="http://schemas.microsoft.com/office/word/2010/wordprocessingShape">
                          <wps:wsp>
                            <wps:cNvSpPr txBox="1"/>
                            <wps:spPr>
                              <a:xfrm>
                                <a:off x="0" y="0"/>
                                <a:ext cx="448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91185" cy="175260"/>
                      <wp:effectExtent l="0" t="0" r="0" b="0"/>
                      <wp:wrapNone/>
                      <wp:docPr id="33"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5890" cy="175260"/>
                      <wp:effectExtent l="0" t="0" r="0" b="0"/>
                      <wp:wrapNone/>
                      <wp:docPr id="35" name="Frame3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0710" cy="175260"/>
                      <wp:effectExtent l="0" t="0" r="0" b="0"/>
                      <wp:wrapNone/>
                      <wp:docPr id="36" name="Frame3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1920" cy="175260"/>
                      <wp:effectExtent l="0" t="0" r="0" b="0"/>
                      <wp:wrapNone/>
                      <wp:docPr id="37" name="Frame37"/>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June 30, </w:t>
            </w:r>
          </w:p>
        </w:tc>
        <w:tc>
          <w:tcPr>
            <w:tcW w:w="326" w:type="dxa"/>
            <w:tcBorders/>
            <w:vAlign w:val="center"/>
          </w:tcPr>
          <w:p>
            <w:pPr>
              <w:pStyle w:val="TableContents"/>
              <w:bidi w:val="0"/>
              <w:spacing w:before="0" w:after="0"/>
              <w:ind w:left="0" w:right="0" w:hanging="0"/>
              <w:jc w:val="center"/>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2" w:type="dxa"/>
            <w:tcBorders/>
            <w:vAlign w:val="center"/>
          </w:tcPr>
          <w:p>
            <w:pPr>
              <w:pStyle w:val="TableContents"/>
              <w:bidi w:val="0"/>
              <w:spacing w:before="0" w:after="0"/>
              <w:ind w:left="0" w:right="0" w:hanging="0"/>
              <w:jc w:val="center"/>
              <w:rPr/>
            </w:pPr>
            <w:r>
              <w:rPr/>
              <w:t> </w:t>
            </w:r>
          </w:p>
        </w:tc>
      </w:tr>
      <w:tr>
        <w:trPr/>
        <w:tc>
          <w:tcPr>
            <w:tcW w:w="70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center"/>
              <w:rPr/>
            </w:pPr>
            <w:r>
              <w:rPr/>
              <w:t>​</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2" w:type="dxa"/>
            <w:tcBorders/>
            <w:vAlign w:val="center"/>
          </w:tcPr>
          <w:p>
            <w:pPr>
              <w:pStyle w:val="TableContents"/>
              <w:bidi w:val="0"/>
              <w:spacing w:before="0" w:after="0"/>
              <w:ind w:left="0" w:right="0" w:hanging="0"/>
              <w:jc w:val="center"/>
              <w:rPr/>
            </w:pPr>
            <w:r>
              <w:rPr/>
              <w:t> </w:t>
            </w:r>
          </w:p>
        </w:tc>
      </w:tr>
      <w:tr>
        <w:trPr/>
        <w:tc>
          <w:tcPr>
            <w:tcW w:w="10013"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173,649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123,512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376,193</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447,831</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138,841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203,149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310,768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282,225</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59,519</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60,471</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1,064,475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1,123,608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57,377</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53,784</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28,561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14,704</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15,346</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72,432</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68,277</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47,192</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50,593</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1,323,486</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1,348,781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0013" w:type="dxa"/>
            <w:gridSpan w:val="7"/>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37,111</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46,928</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10,903</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13,022</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89,827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finance lease obligation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177,107</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207,522</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finance lease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39,915</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43,501</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42,639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301,103</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335,991</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75,000 shares authorized; 31,418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2025; 32,365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535,667</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548,654</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487,164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470,318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1,022,383</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1,012,790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1,323,486</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1,348,781</w:t>
            </w:r>
          </w:p>
        </w:tc>
        <w:tc>
          <w:tcPr>
            <w:tcW w:w="192" w:type="dxa"/>
            <w:tcBorders/>
            <w:vAlign w:val="center"/>
          </w:tcPr>
          <w:p>
            <w:pPr>
              <w:pStyle w:val="TableContents"/>
              <w:bidi w:val="0"/>
              <w:spacing w:before="0" w:after="0"/>
              <w:ind w:left="0" w:right="0" w:hanging="0"/>
              <w:jc w:val="left"/>
              <w:rPr/>
            </w:pPr>
            <w:r>
              <w:rPr/>
              <w:t>​</w:t>
            </w:r>
          </w:p>
        </w:tc>
      </w:tr>
      <w:tr>
        <w:trPr/>
        <w:tc>
          <w:tcPr>
            <w:tcW w:w="70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5" w:name="_3ddec8c6_f17e_4c7b_8ee7_e1ce5b86fc64"/>
      <w:bookmarkEnd w:id="295"/>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96" w:name="ConsolidatedStatementEquity"/>
      <w:bookmarkEnd w:id="296"/>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7" w:name="Tc_gV4z6SAnR0ajIaGWvzfh5w_21_17"/>
      <w:bookmarkStart w:id="298" w:name="Tc_3mruS91EP0Gc8qqqLoEhaw_21_14"/>
      <w:bookmarkStart w:id="299" w:name="Tc_lLEeR8oRMUuPeg1pK-oJlQ_21_11"/>
      <w:bookmarkStart w:id="300" w:name="Tc_Tyfqa8nn-Ump_VHgNlg7qQ_21_8"/>
      <w:bookmarkStart w:id="301" w:name="Tc_9j4rnSjAZ06ez8hL4CQzAw_21_5"/>
      <w:bookmarkStart w:id="302" w:name="Tc_dPLkm78FOUe3avmH1vkcZg_21_0"/>
      <w:bookmarkStart w:id="303" w:name="Tc_bxLfYQDi6kS_kGrS-9VLpw_20_15"/>
      <w:bookmarkStart w:id="304" w:name="Tc_wosC8qZgwEOvxcXg-zf4Bw_20_6"/>
      <w:bookmarkStart w:id="305" w:name="Tc_Cp8CH9nvAUWpDFdWCjLCHg_20_0"/>
      <w:bookmarkStart w:id="306" w:name="Tc_M5bI_XIsHkq3ia5nA5BXTg_19_15"/>
      <w:bookmarkStart w:id="307" w:name="Tc_n0vplG3nLUOFHFQuXgTCuA_19_12"/>
      <w:bookmarkStart w:id="308" w:name="Tc_EZKn5eEn_EignfrXE2f7bw_19_6"/>
      <w:bookmarkStart w:id="309" w:name="Tc_NCTrSYA7U0e5Pr2JBvWcww_19_3"/>
      <w:bookmarkStart w:id="310" w:name="Tc_0safE21o9U29inpwtH_qKA_19_0"/>
      <w:bookmarkStart w:id="311" w:name="Tc_dOgKgo-1_UK6W2e1iit0-A_18_15"/>
      <w:bookmarkStart w:id="312" w:name="Tc_BW1rrD2Re0GT_uErFKWeMQ_18_12"/>
      <w:bookmarkStart w:id="313" w:name="Tc_liS6rqbgj0KUcKfzmwiS5Q_18_6"/>
      <w:bookmarkStart w:id="314" w:name="Tc_cAAwGjVwakO9TOoK2jzPQA_18_0"/>
      <w:bookmarkStart w:id="315" w:name="Tc_23K_kk8Qf0qgr6ZpopsmCQ_17_15"/>
      <w:bookmarkStart w:id="316" w:name="Tc_4XXHY0l8pUKly4o_9dt9VQ_17_12"/>
      <w:bookmarkStart w:id="317" w:name="Tc_m3ylNvL7g0iHH20s7ueRlg_17_6"/>
      <w:bookmarkStart w:id="318" w:name="Tc_eRiVQHt-vESqkOGuUWo4bw_17_0"/>
      <w:bookmarkStart w:id="319" w:name="Tc_M-waWjntkUWPddbxXinwpw_16_12"/>
      <w:bookmarkStart w:id="320" w:name="Tc_DuOGYW6hvkaOX2Hc07x58A_16_9"/>
      <w:bookmarkStart w:id="321" w:name="Tc_NBV9pg8bwkCq9CvkjJXhtg_16_6"/>
      <w:bookmarkStart w:id="322" w:name="Tc_0Kw98r1ZhUme1UDdJM5bSQ_16_3"/>
      <w:bookmarkStart w:id="323" w:name="Tc_Z8mBMfsGwEGGA7mk9FVLlw_16_0"/>
      <w:bookmarkStart w:id="324" w:name="Tc_pFjq3-CyvEqnuD2IvDyEPQ_15_12"/>
      <w:bookmarkStart w:id="325" w:name="Tc_nGmrB6UmJUmo8SMixiMaQA_15_9"/>
      <w:bookmarkStart w:id="326" w:name="Tc_n1WrRUXGc0KA0d5QyRbIQw_15_6"/>
      <w:bookmarkStart w:id="327" w:name="Tc_T7jNmaw-C0udFzbDkOSAjQ_15_3"/>
      <w:bookmarkStart w:id="328" w:name="Tc_QptQdybArku_ojZV02h3yw_15_0"/>
      <w:bookmarkStart w:id="329" w:name="Tc_-FeFUqdQzkykZHXoA-GOOg_14_15"/>
      <w:bookmarkStart w:id="330" w:name="Tc_DQdC5Jdw80imtItf73RaJA_14_9"/>
      <w:bookmarkStart w:id="331" w:name="Tc_-ots8cb5uUSmzouk71pPpg_14_6"/>
      <w:bookmarkStart w:id="332" w:name="Tc_IIStAE8ar0mHAml9jtKaQA_14_3"/>
      <w:bookmarkStart w:id="333" w:name="Tc_mCEuCaeECUmZuPerv6EhjA_14_0"/>
      <w:bookmarkStart w:id="334" w:name="Tc_dcU98QqwvUWiG5YIUB8i5Q_12_17"/>
      <w:bookmarkStart w:id="335" w:name="Tc_4Tv9eTeLXkO4O7wtb4h-kA_12_14"/>
      <w:bookmarkStart w:id="336" w:name="Tc_8icMnH0VLUWTvsTCntUKJA_12_11"/>
      <w:bookmarkStart w:id="337" w:name="Tc_Kcq-7PM-ykGd7XmCG_rg7g_12_8"/>
      <w:bookmarkStart w:id="338" w:name="Tc_ZosXIZTqlUelr5M453Aheg_12_5"/>
      <w:bookmarkStart w:id="339" w:name="Tc_0A_SC1xZaUu5HHlmIEsU9w_12_0"/>
      <w:bookmarkStart w:id="340" w:name="Tc_DHXbWvTS10WkpRHmpHV9RA_11_15"/>
      <w:bookmarkStart w:id="341" w:name="Tc_F4Uh0XXCmk6nDsX0sjUNDg_11_6"/>
      <w:bookmarkStart w:id="342" w:name="Tc_oexr9ylOvEyA0ZDBOdsQuQ_11_0"/>
      <w:bookmarkStart w:id="343" w:name="Tc_WtiGWkwLW0K39Anv9C9aAw_10_15"/>
      <w:bookmarkStart w:id="344" w:name="Tc_1oTETsXgd0Sh2nF34j4_fA_10_12"/>
      <w:bookmarkStart w:id="345" w:name="Tc_clDrzKO6ikmq29vLi0-Ntg_10_6"/>
      <w:bookmarkStart w:id="346" w:name="Tc_UXEbhXvkVEesD8UJoDM6qw_10_3"/>
      <w:bookmarkStart w:id="347" w:name="Tc_TFuIU_U_xEulB1lut0AotQ_10_0"/>
      <w:bookmarkStart w:id="348" w:name="Tc_eT0THd_gi0--yKpYBc1qgQ_9_15"/>
      <w:bookmarkStart w:id="349" w:name="Tc_r24UU5WDaEmNniZBZyqXeQ_9_12"/>
      <w:bookmarkStart w:id="350" w:name="Tc_BBRtwPtorUu0j5GtfkAQGw_9_6"/>
      <w:bookmarkStart w:id="351" w:name="Tc_OhSXsKNBGkqx91jfOU2B7w_9_0"/>
      <w:bookmarkStart w:id="352" w:name="Tc_a3V_DyHUPkCEmGNSXV03uw_8_12"/>
      <w:bookmarkStart w:id="353" w:name="Tc_Zq3CjgzcfU-21AGnBpHVjw_8_9"/>
      <w:bookmarkStart w:id="354" w:name="Tc_s2__vlYNi0KuihwrJWv6_g_8_6"/>
      <w:bookmarkStart w:id="355" w:name="Tc_ZJs7h9RS20aISG4P6ak_gw_8_3"/>
      <w:bookmarkStart w:id="356" w:name="Tc_njTdgDpZ30-pyK2bkG_Trg_8_0"/>
      <w:bookmarkStart w:id="357" w:name="Tc_GLXh-_FUL0y-N9yYa3pkuA_7_12"/>
      <w:bookmarkStart w:id="358" w:name="Tc__F5md7RFBUqH_SdJMuNduA_7_9"/>
      <w:bookmarkStart w:id="359" w:name="Tc_4FiCBkJcx0WfPKTkzzNJag_7_6"/>
      <w:bookmarkStart w:id="360" w:name="Tc_QsHoA7A1vkiYV8-zvO7ZOQ_7_3"/>
      <w:bookmarkStart w:id="361" w:name="Tc_BxlQE3cnGkSF8lEAwm1wBA_7_0"/>
      <w:bookmarkStart w:id="362" w:name="Tc_PoP6vdplDUq6ZO068erGag_6_15"/>
      <w:bookmarkStart w:id="363" w:name="Tc_RMEdJtIuWEW9OV4L4YHi1A_6_9"/>
      <w:bookmarkStart w:id="364" w:name="Tc_OG8VBmsLMEa6wtA3X-OPyQ_6_6"/>
      <w:bookmarkStart w:id="365" w:name="Tc_-St8BGsi5EWSQKbw9Zti1w_6_3"/>
      <w:bookmarkStart w:id="366" w:name="Tc_U_fU0BDvXE-gIyRKKLcAFA_6_0"/>
      <w:bookmarkStart w:id="367" w:name="Tc_1Ce4pEW6wEy2NuVMl8Umsg_5_17"/>
      <w:bookmarkStart w:id="368" w:name="Tc_yRbP0M3N5Em-G6IYhtqiew_5_14"/>
      <w:bookmarkStart w:id="369" w:name="Tc_lB_6a8-VzkuKHu0M5F21nw_5_11"/>
      <w:bookmarkStart w:id="370" w:name="Tc_IMAY8XZG20OsO4KgkI2r3w_5_8"/>
      <w:bookmarkStart w:id="371" w:name="Tc_c1lXocdyxEyIu28yuYdK6Q_5_5"/>
      <w:bookmarkStart w:id="372" w:name="Tc_AE3ugz6UL0GY7zVqyJw8HA_5_0"/>
      <w:bookmarkStart w:id="373" w:name="Tc_chQqAt7ynE-C02jYVpx_5A_4_17"/>
      <w:bookmarkStart w:id="374" w:name="Tc_6McD02bQi0iACYeJyvINcg_4_14"/>
      <w:bookmarkStart w:id="375" w:name="Tc_yFPpPIBRY0eaOIkFjAE4rg_4_11"/>
      <w:bookmarkStart w:id="376" w:name="Tc_eOp5sRNUmkWfzGwaVAhdig_4_8"/>
      <w:bookmarkStart w:id="377" w:name="Tc_MCYRXLyqkEuXkLH5EFzOdQ_4_5"/>
      <w:bookmarkStart w:id="378" w:name="Tc_YrO55XOo8028_XwQE8IJgA_4_3"/>
      <w:bookmarkStart w:id="379" w:name="Tc_j20qNpXxqUqSAYIEswyscQ_3_17"/>
      <w:bookmarkStart w:id="380" w:name="Tc_xoAyh0sfqE6paIOjI5iFDQ_3_14"/>
      <w:bookmarkStart w:id="381" w:name="Tc_6xE69KCcgkSQV77a3jUMXA_3_11"/>
      <w:bookmarkStart w:id="382" w:name="Tc_UbGQZV1dEUqli30YWL1MGw_3_8"/>
      <w:bookmarkStart w:id="383" w:name="Tc_NKgHavZ43USfqXk643k98g_3_3"/>
      <w:bookmarkStart w:id="384" w:name="Tc_DCB2ao8YKUyQ3Y0sYp2Gaw_2_17"/>
      <w:bookmarkStart w:id="385" w:name="Tc_e9YZX3n2k0a4aesktIFqqQ_2_14"/>
      <w:bookmarkStart w:id="386" w:name="Tc_uN94ilGAbUuqlQMHXHiatA_2_8"/>
      <w:bookmarkStart w:id="387" w:name="Tc_NRkWhnTXQEyL6YAsYEdZjA_1_14"/>
      <w:bookmarkStart w:id="388" w:name="_99eff1d5_ee31_432e_b99b_6582f5cfd9fe"/>
      <w:bookmarkStart w:id="389" w:name="Tc_gV4z6SAnR0ajIaGWvzfh5w_21_17"/>
      <w:bookmarkStart w:id="390" w:name="Tc_3mruS91EP0Gc8qqqLoEhaw_21_14"/>
      <w:bookmarkStart w:id="391" w:name="Tc_lLEeR8oRMUuPeg1pK-oJlQ_21_11"/>
      <w:bookmarkStart w:id="392" w:name="Tc_Tyfqa8nn-Ump_VHgNlg7qQ_21_8"/>
      <w:bookmarkStart w:id="393" w:name="Tc_9j4rnSjAZ06ez8hL4CQzAw_21_5"/>
      <w:bookmarkStart w:id="394" w:name="Tc_dPLkm78FOUe3avmH1vkcZg_21_0"/>
      <w:bookmarkStart w:id="395" w:name="Tc_bxLfYQDi6kS_kGrS-9VLpw_20_15"/>
      <w:bookmarkStart w:id="396" w:name="Tc_wosC8qZgwEOvxcXg-zf4Bw_20_6"/>
      <w:bookmarkStart w:id="397" w:name="Tc_Cp8CH9nvAUWpDFdWCjLCHg_20_0"/>
      <w:bookmarkStart w:id="398" w:name="Tc_M5bI_XIsHkq3ia5nA5BXTg_19_15"/>
      <w:bookmarkStart w:id="399" w:name="Tc_n0vplG3nLUOFHFQuXgTCuA_19_12"/>
      <w:bookmarkStart w:id="400" w:name="Tc_EZKn5eEn_EignfrXE2f7bw_19_6"/>
      <w:bookmarkStart w:id="401" w:name="Tc_NCTrSYA7U0e5Pr2JBvWcww_19_3"/>
      <w:bookmarkStart w:id="402" w:name="Tc_0safE21o9U29inpwtH_qKA_19_0"/>
      <w:bookmarkStart w:id="403" w:name="Tc_dOgKgo-1_UK6W2e1iit0-A_18_15"/>
      <w:bookmarkStart w:id="404" w:name="Tc_BW1rrD2Re0GT_uErFKWeMQ_18_12"/>
      <w:bookmarkStart w:id="405" w:name="Tc_liS6rqbgj0KUcKfzmwiS5Q_18_6"/>
      <w:bookmarkStart w:id="406" w:name="Tc_cAAwGjVwakO9TOoK2jzPQA_18_0"/>
      <w:bookmarkStart w:id="407" w:name="Tc_23K_kk8Qf0qgr6ZpopsmCQ_17_15"/>
      <w:bookmarkStart w:id="408" w:name="Tc_4XXHY0l8pUKly4o_9dt9VQ_17_12"/>
      <w:bookmarkStart w:id="409" w:name="Tc_m3ylNvL7g0iHH20s7ueRlg_17_6"/>
      <w:bookmarkStart w:id="410" w:name="Tc_eRiVQHt-vESqkOGuUWo4bw_17_0"/>
      <w:bookmarkStart w:id="411" w:name="Tc_M-waWjntkUWPddbxXinwpw_16_12"/>
      <w:bookmarkStart w:id="412" w:name="Tc_DuOGYW6hvkaOX2Hc07x58A_16_9"/>
      <w:bookmarkStart w:id="413" w:name="Tc_NBV9pg8bwkCq9CvkjJXhtg_16_6"/>
      <w:bookmarkStart w:id="414" w:name="Tc_0Kw98r1ZhUme1UDdJM5bSQ_16_3"/>
      <w:bookmarkStart w:id="415" w:name="Tc_Z8mBMfsGwEGGA7mk9FVLlw_16_0"/>
      <w:bookmarkStart w:id="416" w:name="Tc_pFjq3-CyvEqnuD2IvDyEPQ_15_12"/>
      <w:bookmarkStart w:id="417" w:name="Tc_nGmrB6UmJUmo8SMixiMaQA_15_9"/>
      <w:bookmarkStart w:id="418" w:name="Tc_n1WrRUXGc0KA0d5QyRbIQw_15_6"/>
      <w:bookmarkStart w:id="419" w:name="Tc_T7jNmaw-C0udFzbDkOSAjQ_15_3"/>
      <w:bookmarkStart w:id="420" w:name="Tc_QptQdybArku_ojZV02h3yw_15_0"/>
      <w:bookmarkStart w:id="421" w:name="Tc_-FeFUqdQzkykZHXoA-GOOg_14_15"/>
      <w:bookmarkStart w:id="422" w:name="Tc_DQdC5Jdw80imtItf73RaJA_14_9"/>
      <w:bookmarkStart w:id="423" w:name="Tc_-ots8cb5uUSmzouk71pPpg_14_6"/>
      <w:bookmarkStart w:id="424" w:name="Tc_IIStAE8ar0mHAml9jtKaQA_14_3"/>
      <w:bookmarkStart w:id="425" w:name="Tc_mCEuCaeECUmZuPerv6EhjA_14_0"/>
      <w:bookmarkStart w:id="426" w:name="Tc_dcU98QqwvUWiG5YIUB8i5Q_12_17"/>
      <w:bookmarkStart w:id="427" w:name="Tc_4Tv9eTeLXkO4O7wtb4h-kA_12_14"/>
      <w:bookmarkStart w:id="428" w:name="Tc_8icMnH0VLUWTvsTCntUKJA_12_11"/>
      <w:bookmarkStart w:id="429" w:name="Tc_Kcq-7PM-ykGd7XmCG_rg7g_12_8"/>
      <w:bookmarkStart w:id="430" w:name="Tc_ZosXIZTqlUelr5M453Aheg_12_5"/>
      <w:bookmarkStart w:id="431" w:name="Tc_0A_SC1xZaUu5HHlmIEsU9w_12_0"/>
      <w:bookmarkStart w:id="432" w:name="Tc_DHXbWvTS10WkpRHmpHV9RA_11_15"/>
      <w:bookmarkStart w:id="433" w:name="Tc_F4Uh0XXCmk6nDsX0sjUNDg_11_6"/>
      <w:bookmarkStart w:id="434" w:name="Tc_oexr9ylOvEyA0ZDBOdsQuQ_11_0"/>
      <w:bookmarkStart w:id="435" w:name="Tc_WtiGWkwLW0K39Anv9C9aAw_10_15"/>
      <w:bookmarkStart w:id="436" w:name="Tc_1oTETsXgd0Sh2nF34j4_fA_10_12"/>
      <w:bookmarkStart w:id="437" w:name="Tc_clDrzKO6ikmq29vLi0-Ntg_10_6"/>
      <w:bookmarkStart w:id="438" w:name="Tc_UXEbhXvkVEesD8UJoDM6qw_10_3"/>
      <w:bookmarkStart w:id="439" w:name="Tc_TFuIU_U_xEulB1lut0AotQ_10_0"/>
      <w:bookmarkStart w:id="440" w:name="Tc_eT0THd_gi0--yKpYBc1qgQ_9_15"/>
      <w:bookmarkStart w:id="441" w:name="Tc_r24UU5WDaEmNniZBZyqXeQ_9_12"/>
      <w:bookmarkStart w:id="442" w:name="Tc_BBRtwPtorUu0j5GtfkAQGw_9_6"/>
      <w:bookmarkStart w:id="443" w:name="Tc_OhSXsKNBGkqx91jfOU2B7w_9_0"/>
      <w:bookmarkStart w:id="444" w:name="Tc_a3V_DyHUPkCEmGNSXV03uw_8_12"/>
      <w:bookmarkStart w:id="445" w:name="Tc_Zq3CjgzcfU-21AGnBpHVjw_8_9"/>
      <w:bookmarkStart w:id="446" w:name="Tc_s2__vlYNi0KuihwrJWv6_g_8_6"/>
      <w:bookmarkStart w:id="447" w:name="Tc_ZJs7h9RS20aISG4P6ak_gw_8_3"/>
      <w:bookmarkStart w:id="448" w:name="Tc_njTdgDpZ30-pyK2bkG_Trg_8_0"/>
      <w:bookmarkStart w:id="449" w:name="Tc_GLXh-_FUL0y-N9yYa3pkuA_7_12"/>
      <w:bookmarkStart w:id="450" w:name="Tc__F5md7RFBUqH_SdJMuNduA_7_9"/>
      <w:bookmarkStart w:id="451" w:name="Tc_4FiCBkJcx0WfPKTkzzNJag_7_6"/>
      <w:bookmarkStart w:id="452" w:name="Tc_QsHoA7A1vkiYV8-zvO7ZOQ_7_3"/>
      <w:bookmarkStart w:id="453" w:name="Tc_BxlQE3cnGkSF8lEAwm1wBA_7_0"/>
      <w:bookmarkStart w:id="454" w:name="Tc_PoP6vdplDUq6ZO068erGag_6_15"/>
      <w:bookmarkStart w:id="455" w:name="Tc_RMEdJtIuWEW9OV4L4YHi1A_6_9"/>
      <w:bookmarkStart w:id="456" w:name="Tc_OG8VBmsLMEa6wtA3X-OPyQ_6_6"/>
      <w:bookmarkStart w:id="457" w:name="Tc_-St8BGsi5EWSQKbw9Zti1w_6_3"/>
      <w:bookmarkStart w:id="458" w:name="Tc_U_fU0BDvXE-gIyRKKLcAFA_6_0"/>
      <w:bookmarkStart w:id="459" w:name="Tc_1Ce4pEW6wEy2NuVMl8Umsg_5_17"/>
      <w:bookmarkStart w:id="460" w:name="Tc_yRbP0M3N5Em-G6IYhtqiew_5_14"/>
      <w:bookmarkStart w:id="461" w:name="Tc_lB_6a8-VzkuKHu0M5F21nw_5_11"/>
      <w:bookmarkStart w:id="462" w:name="Tc_IMAY8XZG20OsO4KgkI2r3w_5_8"/>
      <w:bookmarkStart w:id="463" w:name="Tc_c1lXocdyxEyIu28yuYdK6Q_5_5"/>
      <w:bookmarkStart w:id="464" w:name="Tc_AE3ugz6UL0GY7zVqyJw8HA_5_0"/>
      <w:bookmarkStart w:id="465" w:name="Tc_chQqAt7ynE-C02jYVpx_5A_4_17"/>
      <w:bookmarkStart w:id="466" w:name="Tc_6McD02bQi0iACYeJyvINcg_4_14"/>
      <w:bookmarkStart w:id="467" w:name="Tc_yFPpPIBRY0eaOIkFjAE4rg_4_11"/>
      <w:bookmarkStart w:id="468" w:name="Tc_eOp5sRNUmkWfzGwaVAhdig_4_8"/>
      <w:bookmarkStart w:id="469" w:name="Tc_MCYRXLyqkEuXkLH5EFzOdQ_4_5"/>
      <w:bookmarkStart w:id="470" w:name="Tc_YrO55XOo8028_XwQE8IJgA_4_3"/>
      <w:bookmarkStart w:id="471" w:name="Tc_j20qNpXxqUqSAYIEswyscQ_3_17"/>
      <w:bookmarkStart w:id="472" w:name="Tc_xoAyh0sfqE6paIOjI5iFDQ_3_14"/>
      <w:bookmarkStart w:id="473" w:name="Tc_6xE69KCcgkSQV77a3jUMXA_3_11"/>
      <w:bookmarkStart w:id="474" w:name="Tc_UbGQZV1dEUqli30YWL1MGw_3_8"/>
      <w:bookmarkStart w:id="475" w:name="Tc_NKgHavZ43USfqXk643k98g_3_3"/>
      <w:bookmarkStart w:id="476" w:name="Tc_DCB2ao8YKUyQ3Y0sYp2Gaw_2_17"/>
      <w:bookmarkStart w:id="477" w:name="Tc_e9YZX3n2k0a4aesktIFqqQ_2_14"/>
      <w:bookmarkStart w:id="478" w:name="Tc_uN94ilGAbUuqlQMHXHiatA_2_8"/>
      <w:bookmarkStart w:id="479" w:name="Tc_NRkWhnTXQEyL6YAsYEdZjA_1_14"/>
      <w:bookmarkStart w:id="480" w:name="_99eff1d5_ee31_432e_b99b_6582f5cfd9fe"/>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tbl>
      <w:tblPr>
        <w:tblW w:w="10205" w:type="dxa"/>
        <w:jc w:val="left"/>
        <w:tblInd w:w="0" w:type="dxa"/>
        <w:tblLayout w:type="fixed"/>
        <w:tblCellMar>
          <w:top w:w="0" w:type="dxa"/>
          <w:left w:w="0" w:type="dxa"/>
          <w:bottom w:w="0" w:type="dxa"/>
          <w:right w:w="0" w:type="dxa"/>
        </w:tblCellMar>
      </w:tblPr>
      <w:tblGrid>
        <w:gridCol w:w="2599"/>
        <w:gridCol w:w="326"/>
        <w:gridCol w:w="109"/>
        <w:gridCol w:w="601"/>
        <w:gridCol w:w="326"/>
        <w:gridCol w:w="249"/>
        <w:gridCol w:w="442"/>
        <w:gridCol w:w="326"/>
        <w:gridCol w:w="196"/>
        <w:gridCol w:w="691"/>
        <w:gridCol w:w="326"/>
        <w:gridCol w:w="196"/>
        <w:gridCol w:w="701"/>
        <w:gridCol w:w="326"/>
        <w:gridCol w:w="310"/>
        <w:gridCol w:w="906"/>
        <w:gridCol w:w="326"/>
        <w:gridCol w:w="232"/>
        <w:gridCol w:w="824"/>
        <w:gridCol w:w="193"/>
      </w:tblGrid>
      <w:tr>
        <w:trPr/>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50365" cy="175260"/>
                      <wp:effectExtent l="0" t="0" r="0" b="0"/>
                      <wp:wrapNone/>
                      <wp:docPr id="38" name="Frame38"/>
                      <a:graphic xmlns:a="http://schemas.openxmlformats.org/drawingml/2006/main">
                        <a:graphicData uri="http://schemas.microsoft.com/office/word/2010/wordprocessingShape">
                          <wps:wsp>
                            <wps:cNvSpPr txBox="1"/>
                            <wps:spPr>
                              <a:xfrm>
                                <a:off x="0" y="0"/>
                                <a:ext cx="165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1635" cy="175260"/>
                      <wp:effectExtent l="0" t="0" r="0" b="0"/>
                      <wp:wrapNone/>
                      <wp:docPr id="41" name="Frame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8115" cy="175260"/>
                      <wp:effectExtent l="0" t="0" r="0" b="0"/>
                      <wp:wrapNone/>
                      <wp:docPr id="43" name="Frame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0670" cy="175260"/>
                      <wp:effectExtent l="0" t="0" r="0" b="0"/>
                      <wp:wrapNone/>
                      <wp:docPr id="44" name="Frame4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38785" cy="175260"/>
                      <wp:effectExtent l="0" t="0" r="0" b="0"/>
                      <wp:wrapNone/>
                      <wp:docPr id="47"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45135" cy="175260"/>
                      <wp:effectExtent l="0" t="0" r="0" b="0"/>
                      <wp:wrapNone/>
                      <wp:docPr id="50" name="Frame5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6850" cy="175260"/>
                      <wp:effectExtent l="0" t="0" r="0" b="0"/>
                      <wp:wrapNone/>
                      <wp:docPr id="52" name="Frame5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5310" cy="175260"/>
                      <wp:effectExtent l="0" t="0" r="0" b="0"/>
                      <wp:wrapNone/>
                      <wp:docPr id="53" name="Frame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7320" cy="175260"/>
                      <wp:effectExtent l="0" t="0" r="0" b="0"/>
                      <wp:wrapNone/>
                      <wp:docPr id="55" name="Frame5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23240" cy="175260"/>
                      <wp:effectExtent l="0" t="0" r="0" b="0"/>
                      <wp:wrapNone/>
                      <wp:docPr id="56" name="Frame56"/>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2555" cy="175260"/>
                      <wp:effectExtent l="0" t="0" r="0" b="0"/>
                      <wp:wrapNone/>
                      <wp:docPr id="57" name="Frame57"/>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824"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 </w:t>
            </w:r>
          </w:p>
        </w:tc>
      </w:tr>
      <w:tr>
        <w:trPr/>
        <w:tc>
          <w:tcPr>
            <w:tcW w:w="2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3" w:type="dxa"/>
            <w:tcBorders/>
            <w:vAlign w:val="center"/>
          </w:tcPr>
          <w:p>
            <w:pPr>
              <w:pStyle w:val="TableContents"/>
              <w:bidi w:val="0"/>
              <w:spacing w:before="0" w:after="0"/>
              <w:ind w:left="0" w:right="0" w:hanging="0"/>
              <w:jc w:val="center"/>
              <w:rPr/>
            </w:pPr>
            <w:r>
              <w:rPr/>
              <w:t> </w:t>
            </w:r>
          </w:p>
        </w:tc>
      </w:tr>
      <w:tr>
        <w:trPr/>
        <w:tc>
          <w:tcPr>
            <w:tcW w:w="2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93" w:type="dxa"/>
            <w:tcBorders/>
            <w:vAlign w:val="center"/>
          </w:tcPr>
          <w:p>
            <w:pPr>
              <w:pStyle w:val="TableContents"/>
              <w:bidi w:val="0"/>
              <w:spacing w:before="0" w:after="0"/>
              <w:ind w:left="0" w:right="0" w:hanging="0"/>
              <w:jc w:val="center"/>
              <w:rPr/>
            </w:pPr>
            <w:r>
              <w:rPr/>
              <w:t> </w:t>
            </w:r>
          </w:p>
        </w:tc>
      </w:tr>
      <w:tr>
        <w:trPr/>
        <w:tc>
          <w:tcPr>
            <w:tcW w:w="2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3" w:type="dxa"/>
            <w:tcBorders/>
            <w:vAlign w:val="center"/>
          </w:tcPr>
          <w:p>
            <w:pPr>
              <w:pStyle w:val="TableContents"/>
              <w:bidi w:val="0"/>
              <w:spacing w:before="0" w:after="0"/>
              <w:ind w:left="0" w:right="0" w:hanging="0"/>
              <w:jc w:val="center"/>
              <w:rPr/>
            </w:pPr>
            <w:r>
              <w:rPr/>
              <w:t> </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32,685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547,189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319,506</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(1,846)</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864,882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51,595</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51,595</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(1,731)</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pension obligation</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4,690</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(12,798)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(14,999)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March 31, 2024</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32,605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546,979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358,303</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(3,572)</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901,743</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50,866</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50,866</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pension obligation</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(8,468)</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5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c>
          <w:tcPr>
            <w:tcW w:w="326" w:type="dxa"/>
            <w:tcBorders/>
            <w:vAlign w:val="center"/>
          </w:tcPr>
          <w:p>
            <w:pPr>
              <w:pStyle w:val="TableContents"/>
              <w:bidi w:val="0"/>
              <w:spacing w:before="0" w:after="0"/>
              <w:ind w:left="0" w:right="0" w:hanging="0"/>
              <w:jc w:val="center"/>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(12,451)</w:t>
            </w:r>
          </w:p>
        </w:tc>
        <w:tc>
          <w:tcPr>
            <w:tcW w:w="32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(14,996)</w:t>
            </w:r>
          </w:p>
        </w:tc>
        <w:tc>
          <w:tcPr>
            <w:tcW w:w="193" w:type="dxa"/>
            <w:tcBorders/>
            <w:vAlign w:val="center"/>
          </w:tcPr>
          <w:p>
            <w:pPr>
              <w:pStyle w:val="TableContents"/>
              <w:bidi w:val="0"/>
              <w:spacing w:before="0" w:after="0"/>
              <w:ind w:left="0" w:right="0" w:hanging="0"/>
              <w:jc w:val="left"/>
              <w:rPr/>
            </w:pPr>
            <w:r>
              <w:rPr/>
              <w:t>​</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32,617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542,677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396,718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(4,480)</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934,948</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1" w:name="Tc_ca9yOwPzcE-89XERqmA4vg_21_17"/>
      <w:bookmarkStart w:id="482" w:name="Tc_skqa7wHv4UG2LQ8or7aaPw_21_14"/>
      <w:bookmarkStart w:id="483" w:name="Tc_grKAGDrv_kawa5V5hwAADQ_21_11"/>
      <w:bookmarkStart w:id="484" w:name="Tc_3MPaGiWeL027mlSUrhkN8A_21_8"/>
      <w:bookmarkStart w:id="485" w:name="Tc_4nJfT2gnGk2w34Wn61TOnQ_21_5"/>
      <w:bookmarkStart w:id="486" w:name="Tc_eQWN0iHV4kaW8efQvITgqw_21_0"/>
      <w:bookmarkStart w:id="487" w:name="Tc_A0WEWHo9oki4Cb2CmcfNGg_20_15"/>
      <w:bookmarkStart w:id="488" w:name="Tc_tLDei4r3Ak6F8pkc1K8OZA_20_0"/>
      <w:bookmarkStart w:id="489" w:name="Tc_9KWm8sp5ikiQfhNefdtvhw_19_15"/>
      <w:bookmarkStart w:id="490" w:name="Tc_ollXiN6CXkGmASwjJPG5Cw_19_12"/>
      <w:bookmarkStart w:id="491" w:name="Tc_t4MuBYqzbUCWTZO9QFqC6A_19_6"/>
      <w:bookmarkStart w:id="492" w:name="Tc_WG2QRYjNP021rUDk6-huZQ_19_3"/>
      <w:bookmarkStart w:id="493" w:name="Tc_Q1WnGRhkNkKZaneWWDXyMQ_19_0"/>
      <w:bookmarkStart w:id="494" w:name="Tc_57KCiNvaY0Czom4Ljtl8RQ_18_15"/>
      <w:bookmarkStart w:id="495" w:name="Tc_1Ya4vRHe8kCGVDsl_2iK7A_18_12"/>
      <w:bookmarkStart w:id="496" w:name="Tc_nWMVaMsAmUeDR-yikFkKtw_18_6"/>
      <w:bookmarkStart w:id="497" w:name="Tc_tJNteNOLtUy5r3-fbk5ChQ_18_0"/>
      <w:bookmarkStart w:id="498" w:name="Tc_GoBRphXcdEWNmt38gwZvGg_17_15"/>
      <w:bookmarkStart w:id="499" w:name="Tc_omn09ZZ5PkGvfpNru4tDGA_17_12"/>
      <w:bookmarkStart w:id="500" w:name="Tc_Xkv7XAzLqEGsHHYfdxGD0w_17_6"/>
      <w:bookmarkStart w:id="501" w:name="Tc_3B_5uKPLh0yY5OkvexIrmw_17_0"/>
      <w:bookmarkStart w:id="502" w:name="Tc_rb765iXzYk2aDD8zmr422g_16_12"/>
      <w:bookmarkStart w:id="503" w:name="Tc_if80v_jzfEqTqmb-V9kRbw_16_9"/>
      <w:bookmarkStart w:id="504" w:name="Tc_rdf-PACVXk6drTX_AmdKgw_16_6"/>
      <w:bookmarkStart w:id="505" w:name="Tc_8nNhaQCh10mdjfeANK5r9A_16_3"/>
      <w:bookmarkStart w:id="506" w:name="Tc_BSCPgFtnkUuLm0YFUxV7OQ_16_0"/>
      <w:bookmarkStart w:id="507" w:name="Tc_6jicyN_yL0K1C-qZzf1u5Q_15_12"/>
      <w:bookmarkStart w:id="508" w:name="Tc_SK2fLmAWw0GxQ6pKaqUEqA_15_9"/>
      <w:bookmarkStart w:id="509" w:name="Tc_GLtFAvBqkUmF39JCGrV_GQ_15_6"/>
      <w:bookmarkStart w:id="510" w:name="Tc__sDhjW79sEG-s9X7PL7O1w_15_3"/>
      <w:bookmarkStart w:id="511" w:name="Tc_fFohPvfiKUiXFQTJTXBlSA_15_0"/>
      <w:bookmarkStart w:id="512" w:name="Tc_Zjf6C_g5CECmDRzf0ZF3HQ_14_15"/>
      <w:bookmarkStart w:id="513" w:name="Tc_8Fgr1cKx7kObpJ8h6S6AUQ_14_9"/>
      <w:bookmarkStart w:id="514" w:name="Tc_eJTQYWt_NkGcZEpxH7EM6w_14_6"/>
      <w:bookmarkStart w:id="515" w:name="Tc_Dci-Ys_EYkCmEW4eeeUWoQ_14_3"/>
      <w:bookmarkStart w:id="516" w:name="Tc_HVoH-TXky0CkhiHRSp0U-A_14_0"/>
      <w:bookmarkStart w:id="517" w:name="Tc_Myoxy5DF_0aU86PKl-4UAg_12_17"/>
      <w:bookmarkStart w:id="518" w:name="Tc_U6VnaxGQYU2m9NTRoQ3eaw_12_14"/>
      <w:bookmarkStart w:id="519" w:name="Tc_IjvY7HsoC02oJVZgoPwgIQ_12_11"/>
      <w:bookmarkStart w:id="520" w:name="Tc_R5kFOQmL0E-EkLmPF2GG4A_12_8"/>
      <w:bookmarkStart w:id="521" w:name="Tc_AH_JXcMPJUW10dFUK9pndw_12_5"/>
      <w:bookmarkStart w:id="522" w:name="Tc_KedMCXVYA0aOynB7xACiWQ_12_0"/>
      <w:bookmarkStart w:id="523" w:name="Tc_L3bEs-v4L0WFMC91-xATPw_11_15"/>
      <w:bookmarkStart w:id="524" w:name="Tc_1GGrBjeTckiGy4V22LpfLQ_11_6"/>
      <w:bookmarkStart w:id="525" w:name="Tc_1oN60tDrAEiTTeKv1neh2Q_11_0"/>
      <w:bookmarkStart w:id="526" w:name="Tc_QQkRP_aob02j5yhWLyjC3A_10_15"/>
      <w:bookmarkStart w:id="527" w:name="Tc_whbCZdkiVEaS5jmmyNs2HQ_10_12"/>
      <w:bookmarkStart w:id="528" w:name="Tc_ehB-Ym_cbUyvhNaWh6vKpw_10_6"/>
      <w:bookmarkStart w:id="529" w:name="Tc_WfNgXy7HRk6M4Z36BHA92Q_10_3"/>
      <w:bookmarkStart w:id="530" w:name="Tc_Vqm4En8K8k2uQp6P3UOZ7A_10_0"/>
      <w:bookmarkStart w:id="531" w:name="Tc_HsabLITEkE-P6S1I9pkj1A_9_15"/>
      <w:bookmarkStart w:id="532" w:name="Tc_dJzZgDUGGkS2f3bssuhBYQ_9_12"/>
      <w:bookmarkStart w:id="533" w:name="Tc_jcqdlmd8F0mQ4ylwF_fwjA_9_6"/>
      <w:bookmarkStart w:id="534" w:name="Tc_WJ6VSsVnUEiFBW5Pg5po5Q_9_0"/>
      <w:bookmarkStart w:id="535" w:name="Tc_a13VIlWQYU6CI7dA9Jk6SA_8_12"/>
      <w:bookmarkStart w:id="536" w:name="Tc_3sgYXvL6ZkCdIN5onfGvHQ_8_9"/>
      <w:bookmarkStart w:id="537" w:name="Tc_PQTRBobYPkuIWkO5krvAYw_8_6"/>
      <w:bookmarkStart w:id="538" w:name="Tc_sDGrVO5YLESlNNZySsTpRw_8_3"/>
      <w:bookmarkStart w:id="539" w:name="Tc_CuhNu-INYEquhFw2G96VVQ_8_0"/>
      <w:bookmarkStart w:id="540" w:name="Tc_ryweNzh4FECZSgMdaQB46A_7_12"/>
      <w:bookmarkStart w:id="541" w:name="Tc_I6h2FCTfr0O5f2Fz18nmlA_7_9"/>
      <w:bookmarkStart w:id="542" w:name="Tc_TzUDJXKSe0-jY2P40ZySpA_7_6"/>
      <w:bookmarkStart w:id="543" w:name="Tc_PHdQ1uS0F0qgrM-BWYzJHg_7_3"/>
      <w:bookmarkStart w:id="544" w:name="Tc_-tg6Qwd4UEuFp2qK-IpEdA_7_0"/>
      <w:bookmarkStart w:id="545" w:name="Tc_-DwG9Y0mCEKX4Ns0q3f7fg_6_15"/>
      <w:bookmarkStart w:id="546" w:name="Tc_341jwkAGXkqZxAoiCrjSzQ_6_9"/>
      <w:bookmarkStart w:id="547" w:name="Tc_uxKAtaTf_kiDRgIqvma-4g_6_6"/>
      <w:bookmarkStart w:id="548" w:name="Tc_6Pv23YBbkEufgvmleVtBZw_6_3"/>
      <w:bookmarkStart w:id="549" w:name="Tc_x8Mrhp9u8E2ntTP0e3ZlWA_6_0"/>
      <w:bookmarkStart w:id="550" w:name="Tc_fNEf2Rxp8Ue2vABAUiYeOQ_5_17"/>
      <w:bookmarkStart w:id="551" w:name="Tc_vaHh7hbb8Eq_9_seH-4IEg_5_14"/>
      <w:bookmarkStart w:id="552" w:name="Tc_7uVxIelCMk67iJuhOrNskQ_5_11"/>
      <w:bookmarkStart w:id="553" w:name="Tc_Rmm858UNNkOO9926Aeo1LQ_5_8"/>
      <w:bookmarkStart w:id="554" w:name="Tc_W8jmrFDvOE-gt81OyMbH7Q_5_5"/>
      <w:bookmarkStart w:id="555" w:name="Tc_JyVFQiX-dE-9ixTGsZX3Yw_5_0"/>
      <w:bookmarkStart w:id="556" w:name="Tc_uEsNKroFqkiHPxaDN-LIng_4_17"/>
      <w:bookmarkStart w:id="557" w:name="Tc_VnIqDIWz4kub99KPrNbxiQ_4_14"/>
      <w:bookmarkStart w:id="558" w:name="Tc_ThaCIKF4d0imB_vnlFbibw_4_11"/>
      <w:bookmarkStart w:id="559" w:name="Tc_AaadJvvffESYkcTS_xeDhQ_4_8"/>
      <w:bookmarkStart w:id="560" w:name="Tc_gPWjFgItjUyobI-IyYLHQg_4_5"/>
      <w:bookmarkStart w:id="561" w:name="Tc__IPbq8DGBkWMjTWAe_9_Mg_4_3"/>
      <w:bookmarkStart w:id="562" w:name="Tc_qhGNPWPiJ0ONCcjJeussqQ_3_17"/>
      <w:bookmarkStart w:id="563" w:name="Tc_T7_ZAR2X8UqeHeshktUUJQ_3_14"/>
      <w:bookmarkStart w:id="564" w:name="Tc_4smnuDOwVkO1ERVXXC_xkQ_3_11"/>
      <w:bookmarkStart w:id="565" w:name="Tc_0ih1tVBfZke0AEYR25uogg_3_8"/>
      <w:bookmarkStart w:id="566" w:name="Tc_N7sGmjODV0itjMKujbsvug_3_3"/>
      <w:bookmarkStart w:id="567" w:name="Tc_Zlo-NUuGY0CHxgrtsQRVqQ_2_17"/>
      <w:bookmarkStart w:id="568" w:name="Tc_eSEYwlmxkEmUO1nQrP3zgQ_2_14"/>
      <w:bookmarkStart w:id="569" w:name="Tc_tqN_zKOPrkq6oP9AZx7G6w_2_8"/>
      <w:bookmarkStart w:id="570" w:name="Tc_t9xoBZgBN062c83rGCFHSQ_1_14"/>
      <w:bookmarkStart w:id="571" w:name="_31f43722_1500_48af_8e5f_4e7b75ebd19e"/>
      <w:bookmarkStart w:id="572" w:name="Tc_ca9yOwPzcE-89XERqmA4vg_21_17"/>
      <w:bookmarkStart w:id="573" w:name="Tc_skqa7wHv4UG2LQ8or7aaPw_21_14"/>
      <w:bookmarkStart w:id="574" w:name="Tc_grKAGDrv_kawa5V5hwAADQ_21_11"/>
      <w:bookmarkStart w:id="575" w:name="Tc_3MPaGiWeL027mlSUrhkN8A_21_8"/>
      <w:bookmarkStart w:id="576" w:name="Tc_4nJfT2gnGk2w34Wn61TOnQ_21_5"/>
      <w:bookmarkStart w:id="577" w:name="Tc_eQWN0iHV4kaW8efQvITgqw_21_0"/>
      <w:bookmarkStart w:id="578" w:name="Tc_A0WEWHo9oki4Cb2CmcfNGg_20_15"/>
      <w:bookmarkStart w:id="579" w:name="Tc_tLDei4r3Ak6F8pkc1K8OZA_20_0"/>
      <w:bookmarkStart w:id="580" w:name="Tc_9KWm8sp5ikiQfhNefdtvhw_19_15"/>
      <w:bookmarkStart w:id="581" w:name="Tc_ollXiN6CXkGmASwjJPG5Cw_19_12"/>
      <w:bookmarkStart w:id="582" w:name="Tc_t4MuBYqzbUCWTZO9QFqC6A_19_6"/>
      <w:bookmarkStart w:id="583" w:name="Tc_WG2QRYjNP021rUDk6-huZQ_19_3"/>
      <w:bookmarkStart w:id="584" w:name="Tc_Q1WnGRhkNkKZaneWWDXyMQ_19_0"/>
      <w:bookmarkStart w:id="585" w:name="Tc_57KCiNvaY0Czom4Ljtl8RQ_18_15"/>
      <w:bookmarkStart w:id="586" w:name="Tc_1Ya4vRHe8kCGVDsl_2iK7A_18_12"/>
      <w:bookmarkStart w:id="587" w:name="Tc_nWMVaMsAmUeDR-yikFkKtw_18_6"/>
      <w:bookmarkStart w:id="588" w:name="Tc_tJNteNOLtUy5r3-fbk5ChQ_18_0"/>
      <w:bookmarkStart w:id="589" w:name="Tc_GoBRphXcdEWNmt38gwZvGg_17_15"/>
      <w:bookmarkStart w:id="590" w:name="Tc_omn09ZZ5PkGvfpNru4tDGA_17_12"/>
      <w:bookmarkStart w:id="591" w:name="Tc_Xkv7XAzLqEGsHHYfdxGD0w_17_6"/>
      <w:bookmarkStart w:id="592" w:name="Tc_3B_5uKPLh0yY5OkvexIrmw_17_0"/>
      <w:bookmarkStart w:id="593" w:name="Tc_rb765iXzYk2aDD8zmr422g_16_12"/>
      <w:bookmarkStart w:id="594" w:name="Tc_if80v_jzfEqTqmb-V9kRbw_16_9"/>
      <w:bookmarkStart w:id="595" w:name="Tc_rdf-PACVXk6drTX_AmdKgw_16_6"/>
      <w:bookmarkStart w:id="596" w:name="Tc_8nNhaQCh10mdjfeANK5r9A_16_3"/>
      <w:bookmarkStart w:id="597" w:name="Tc_BSCPgFtnkUuLm0YFUxV7OQ_16_0"/>
      <w:bookmarkStart w:id="598" w:name="Tc_6jicyN_yL0K1C-qZzf1u5Q_15_12"/>
      <w:bookmarkStart w:id="599" w:name="Tc_SK2fLmAWw0GxQ6pKaqUEqA_15_9"/>
      <w:bookmarkStart w:id="600" w:name="Tc_GLtFAvBqkUmF39JCGrV_GQ_15_6"/>
      <w:bookmarkStart w:id="601" w:name="Tc__sDhjW79sEG-s9X7PL7O1w_15_3"/>
      <w:bookmarkStart w:id="602" w:name="Tc_fFohPvfiKUiXFQTJTXBlSA_15_0"/>
      <w:bookmarkStart w:id="603" w:name="Tc_Zjf6C_g5CECmDRzf0ZF3HQ_14_15"/>
      <w:bookmarkStart w:id="604" w:name="Tc_8Fgr1cKx7kObpJ8h6S6AUQ_14_9"/>
      <w:bookmarkStart w:id="605" w:name="Tc_eJTQYWt_NkGcZEpxH7EM6w_14_6"/>
      <w:bookmarkStart w:id="606" w:name="Tc_Dci-Ys_EYkCmEW4eeeUWoQ_14_3"/>
      <w:bookmarkStart w:id="607" w:name="Tc_HVoH-TXky0CkhiHRSp0U-A_14_0"/>
      <w:bookmarkStart w:id="608" w:name="Tc_Myoxy5DF_0aU86PKl-4UAg_12_17"/>
      <w:bookmarkStart w:id="609" w:name="Tc_U6VnaxGQYU2m9NTRoQ3eaw_12_14"/>
      <w:bookmarkStart w:id="610" w:name="Tc_IjvY7HsoC02oJVZgoPwgIQ_12_11"/>
      <w:bookmarkStart w:id="611" w:name="Tc_R5kFOQmL0E-EkLmPF2GG4A_12_8"/>
      <w:bookmarkStart w:id="612" w:name="Tc_AH_JXcMPJUW10dFUK9pndw_12_5"/>
      <w:bookmarkStart w:id="613" w:name="Tc_KedMCXVYA0aOynB7xACiWQ_12_0"/>
      <w:bookmarkStart w:id="614" w:name="Tc_L3bEs-v4L0WFMC91-xATPw_11_15"/>
      <w:bookmarkStart w:id="615" w:name="Tc_1GGrBjeTckiGy4V22LpfLQ_11_6"/>
      <w:bookmarkStart w:id="616" w:name="Tc_1oN60tDrAEiTTeKv1neh2Q_11_0"/>
      <w:bookmarkStart w:id="617" w:name="Tc_QQkRP_aob02j5yhWLyjC3A_10_15"/>
      <w:bookmarkStart w:id="618" w:name="Tc_whbCZdkiVEaS5jmmyNs2HQ_10_12"/>
      <w:bookmarkStart w:id="619" w:name="Tc_ehB-Ym_cbUyvhNaWh6vKpw_10_6"/>
      <w:bookmarkStart w:id="620" w:name="Tc_WfNgXy7HRk6M4Z36BHA92Q_10_3"/>
      <w:bookmarkStart w:id="621" w:name="Tc_Vqm4En8K8k2uQp6P3UOZ7A_10_0"/>
      <w:bookmarkStart w:id="622" w:name="Tc_HsabLITEkE-P6S1I9pkj1A_9_15"/>
      <w:bookmarkStart w:id="623" w:name="Tc_dJzZgDUGGkS2f3bssuhBYQ_9_12"/>
      <w:bookmarkStart w:id="624" w:name="Tc_jcqdlmd8F0mQ4ylwF_fwjA_9_6"/>
      <w:bookmarkStart w:id="625" w:name="Tc_WJ6VSsVnUEiFBW5Pg5po5Q_9_0"/>
      <w:bookmarkStart w:id="626" w:name="Tc_a13VIlWQYU6CI7dA9Jk6SA_8_12"/>
      <w:bookmarkStart w:id="627" w:name="Tc_3sgYXvL6ZkCdIN5onfGvHQ_8_9"/>
      <w:bookmarkStart w:id="628" w:name="Tc_PQTRBobYPkuIWkO5krvAYw_8_6"/>
      <w:bookmarkStart w:id="629" w:name="Tc_sDGrVO5YLESlNNZySsTpRw_8_3"/>
      <w:bookmarkStart w:id="630" w:name="Tc_CuhNu-INYEquhFw2G96VVQ_8_0"/>
      <w:bookmarkStart w:id="631" w:name="Tc_ryweNzh4FECZSgMdaQB46A_7_12"/>
      <w:bookmarkStart w:id="632" w:name="Tc_I6h2FCTfr0O5f2Fz18nmlA_7_9"/>
      <w:bookmarkStart w:id="633" w:name="Tc_TzUDJXKSe0-jY2P40ZySpA_7_6"/>
      <w:bookmarkStart w:id="634" w:name="Tc_PHdQ1uS0F0qgrM-BWYzJHg_7_3"/>
      <w:bookmarkStart w:id="635" w:name="Tc_-tg6Qwd4UEuFp2qK-IpEdA_7_0"/>
      <w:bookmarkStart w:id="636" w:name="Tc_-DwG9Y0mCEKX4Ns0q3f7fg_6_15"/>
      <w:bookmarkStart w:id="637" w:name="Tc_341jwkAGXkqZxAoiCrjSzQ_6_9"/>
      <w:bookmarkStart w:id="638" w:name="Tc_uxKAtaTf_kiDRgIqvma-4g_6_6"/>
      <w:bookmarkStart w:id="639" w:name="Tc_6Pv23YBbkEufgvmleVtBZw_6_3"/>
      <w:bookmarkStart w:id="640" w:name="Tc_x8Mrhp9u8E2ntTP0e3ZlWA_6_0"/>
      <w:bookmarkStart w:id="641" w:name="Tc_fNEf2Rxp8Ue2vABAUiYeOQ_5_17"/>
      <w:bookmarkStart w:id="642" w:name="Tc_vaHh7hbb8Eq_9_seH-4IEg_5_14"/>
      <w:bookmarkStart w:id="643" w:name="Tc_7uVxIelCMk67iJuhOrNskQ_5_11"/>
      <w:bookmarkStart w:id="644" w:name="Tc_Rmm858UNNkOO9926Aeo1LQ_5_8"/>
      <w:bookmarkStart w:id="645" w:name="Tc_W8jmrFDvOE-gt81OyMbH7Q_5_5"/>
      <w:bookmarkStart w:id="646" w:name="Tc_JyVFQiX-dE-9ixTGsZX3Yw_5_0"/>
      <w:bookmarkStart w:id="647" w:name="Tc_uEsNKroFqkiHPxaDN-LIng_4_17"/>
      <w:bookmarkStart w:id="648" w:name="Tc_VnIqDIWz4kub99KPrNbxiQ_4_14"/>
      <w:bookmarkStart w:id="649" w:name="Tc_ThaCIKF4d0imB_vnlFbibw_4_11"/>
      <w:bookmarkStart w:id="650" w:name="Tc_AaadJvvffESYkcTS_xeDhQ_4_8"/>
      <w:bookmarkStart w:id="651" w:name="Tc_gPWjFgItjUyobI-IyYLHQg_4_5"/>
      <w:bookmarkStart w:id="652" w:name="Tc__IPbq8DGBkWMjTWAe_9_Mg_4_3"/>
      <w:bookmarkStart w:id="653" w:name="Tc_qhGNPWPiJ0ONCcjJeussqQ_3_17"/>
      <w:bookmarkStart w:id="654" w:name="Tc_T7_ZAR2X8UqeHeshktUUJQ_3_14"/>
      <w:bookmarkStart w:id="655" w:name="Tc_4smnuDOwVkO1ERVXXC_xkQ_3_11"/>
      <w:bookmarkStart w:id="656" w:name="Tc_0ih1tVBfZke0AEYR25uogg_3_8"/>
      <w:bookmarkStart w:id="657" w:name="Tc_N7sGmjODV0itjMKujbsvug_3_3"/>
      <w:bookmarkStart w:id="658" w:name="Tc_Zlo-NUuGY0CHxgrtsQRVqQ_2_17"/>
      <w:bookmarkStart w:id="659" w:name="Tc_eSEYwlmxkEmUO1nQrP3zgQ_2_14"/>
      <w:bookmarkStart w:id="660" w:name="Tc_tqN_zKOPrkq6oP9AZx7G6w_2_8"/>
      <w:bookmarkStart w:id="661" w:name="Tc_t9xoBZgBN062c83rGCFHSQ_1_14"/>
      <w:bookmarkStart w:id="662" w:name="_31f43722_1500_48af_8e5f_4e7b75ebd19e"/>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tbl>
      <w:tblPr>
        <w:tblW w:w="10205" w:type="dxa"/>
        <w:jc w:val="left"/>
        <w:tblInd w:w="0" w:type="dxa"/>
        <w:tblLayout w:type="fixed"/>
        <w:tblCellMar>
          <w:top w:w="0" w:type="dxa"/>
          <w:left w:w="0" w:type="dxa"/>
          <w:bottom w:w="0" w:type="dxa"/>
          <w:right w:w="0" w:type="dxa"/>
        </w:tblCellMar>
      </w:tblPr>
      <w:tblGrid>
        <w:gridCol w:w="2706"/>
        <w:gridCol w:w="326"/>
        <w:gridCol w:w="109"/>
        <w:gridCol w:w="601"/>
        <w:gridCol w:w="326"/>
        <w:gridCol w:w="249"/>
        <w:gridCol w:w="442"/>
        <w:gridCol w:w="326"/>
        <w:gridCol w:w="196"/>
        <w:gridCol w:w="701"/>
        <w:gridCol w:w="326"/>
        <w:gridCol w:w="196"/>
        <w:gridCol w:w="701"/>
        <w:gridCol w:w="326"/>
        <w:gridCol w:w="310"/>
        <w:gridCol w:w="906"/>
        <w:gridCol w:w="326"/>
        <w:gridCol w:w="196"/>
        <w:gridCol w:w="936"/>
      </w:tblGrid>
      <w:tr>
        <w:trPr/>
        <w:tc>
          <w:tcPr>
            <w:tcW w:w="2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18310" cy="175260"/>
                      <wp:effectExtent l="0" t="0" r="0" b="0"/>
                      <wp:wrapNone/>
                      <wp:docPr id="58" name="Frame58"/>
                      <a:graphic xmlns:a="http://schemas.openxmlformats.org/drawingml/2006/main">
                        <a:graphicData uri="http://schemas.microsoft.com/office/word/2010/wordprocessingShape">
                          <wps:wsp>
                            <wps:cNvSpPr txBox="1"/>
                            <wps:spPr>
                              <a:xfrm>
                                <a:off x="0" y="0"/>
                                <a:ext cx="171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81635" cy="175260"/>
                      <wp:effectExtent l="0" t="0" r="0" b="0"/>
                      <wp:wrapNone/>
                      <wp:docPr id="61" name="Frame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63" name="Frame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0670" cy="175260"/>
                      <wp:effectExtent l="0" t="0" r="0" b="0"/>
                      <wp:wrapNone/>
                      <wp:docPr id="64" name="Frame6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45135" cy="175260"/>
                      <wp:effectExtent l="0" t="0" r="0" b="0"/>
                      <wp:wrapNone/>
                      <wp:docPr id="67" name="Frame67"/>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5135" cy="175260"/>
                      <wp:effectExtent l="0" t="0" r="0" b="0"/>
                      <wp:wrapNone/>
                      <wp:docPr id="70" name="Frame7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6850" cy="175260"/>
                      <wp:effectExtent l="0" t="0" r="0" b="0"/>
                      <wp:wrapNone/>
                      <wp:docPr id="72" name="Frame7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5310" cy="175260"/>
                      <wp:effectExtent l="0" t="0" r="0" b="0"/>
                      <wp:wrapNone/>
                      <wp:docPr id="73" name="Frame7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4360" cy="175260"/>
                      <wp:effectExtent l="0" t="0" r="0" b="0"/>
                      <wp:wrapNone/>
                      <wp:docPr id="76" name="Frame7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32,365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548,654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470,318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1,012,790</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28,579</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28,579</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on available-for-sale investments</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(13,224)</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(18,178)</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March 31, 2025</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32,129</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547,020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485,673</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1,027,238</w:t>
            </w:r>
          </w:p>
        </w:tc>
      </w:tr>
      <w:tr>
        <w:trPr/>
        <w:tc>
          <w:tcPr>
            <w:tcW w:w="27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losses on available-for-sale investments</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5,421</w:t>
            </w:r>
          </w:p>
        </w:tc>
      </w:tr>
      <w:tr>
        <w:trPr/>
        <w:tc>
          <w:tcPr>
            <w:tcW w:w="27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w:t>
            </w:r>
          </w:p>
        </w:tc>
        <w:tc>
          <w:tcPr>
            <w:tcW w:w="326" w:type="dxa"/>
            <w:tcBorders/>
            <w:vAlign w:val="center"/>
          </w:tcPr>
          <w:p>
            <w:pPr>
              <w:pStyle w:val="TableContents"/>
              <w:bidi w:val="0"/>
              <w:spacing w:before="0" w:after="0"/>
              <w:ind w:left="0" w:right="0" w:hanging="0"/>
              <w:jc w:val="center"/>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(15,451)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(29,885)</w:t>
            </w:r>
          </w:p>
        </w:tc>
        <w:tc>
          <w:tcPr>
            <w:tcW w:w="32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(45,337)</w:t>
            </w:r>
          </w:p>
        </w:tc>
      </w:tr>
      <w:tr>
        <w:trPr/>
        <w:tc>
          <w:tcPr>
            <w:tcW w:w="27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31,418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535,667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487,164</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1,022,383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3" w:name="_c4a78970_4c1f_41d6_809d_f001bcd42cc5"/>
      <w:bookmarkEnd w:id="663"/>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664" w:name="ConsolidatedStatementsofCashFlows_699712"/>
      <w:bookmarkEnd w:id="664"/>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65" w:name="Tc_hWnQjC-S-0OC_BaBPeVOzw_42_5"/>
      <w:bookmarkStart w:id="666" w:name="Tc_UfwqoVw3vEaPT6uJDS4MTA_42_2"/>
      <w:bookmarkStart w:id="667" w:name="Tc_qnuvttdl7UidOCyPc_XYgg_42_0"/>
      <w:bookmarkStart w:id="668" w:name="Tc_LP4FRM3wr0KGOEKtNVpd-A_41_0"/>
      <w:bookmarkStart w:id="669" w:name="Tc_Du9CCLejc0iAzQj4hLzV4Q_39_0"/>
      <w:bookmarkStart w:id="670" w:name="Tc_HkJacVrDIEytCZ0HZ5v3zQ_38_0"/>
      <w:bookmarkStart w:id="671" w:name="Tc_JFpITDLGVky0QbKTU5adDA_36_0"/>
      <w:bookmarkStart w:id="672" w:name="Tc_6iQyJYlQF02wlVCDpfxNxQ_35_0"/>
      <w:bookmarkStart w:id="673" w:name="Tc_f-RJUnO1p0COwS2ynvbvRw_34_0"/>
      <w:bookmarkStart w:id="674" w:name="Tc_83dJSvvfvUC7M81JRF3G5g_33_0"/>
      <w:bookmarkStart w:id="675" w:name="Tc_QEfVe97l80ikg9kXmtd6cw_32_0"/>
      <w:bookmarkStart w:id="676" w:name="Tc_y1FU0IWtfkSyXbSnzyAI4A_31_0"/>
      <w:bookmarkStart w:id="677" w:name="Tc_k1DxM2atckm0vZF8nXPI8Q_29_0"/>
      <w:bookmarkStart w:id="678" w:name="Tc_D5S8130PFEypAckZAHHoqA_28_0"/>
      <w:bookmarkStart w:id="679" w:name="Tc_knA3-uVZiU-FZo7ga0-ISg_27_0"/>
      <w:bookmarkStart w:id="680" w:name="Tc_w9-CvrcuBEekCa6N9E-fDw_26_0"/>
      <w:bookmarkStart w:id="681" w:name="Tc_IXa1EFGkF0OZHwGSiGogfw_25_0"/>
      <w:bookmarkStart w:id="682" w:name="Tc_gdr88CkIgUW3m_wzQ4I0iA_23_0"/>
      <w:bookmarkStart w:id="683" w:name="Tc_joWQVm_MD0e5S95-SR55sQ_22_0"/>
      <w:bookmarkStart w:id="684" w:name="Tc_Aa4s9U-BL0aMifPFp9OejQ_21_0"/>
      <w:bookmarkStart w:id="685" w:name="Tc_n9qqglGz_E-9QXZFkOpqdg_20_0"/>
      <w:bookmarkStart w:id="686" w:name="Tc_R-4njc5gt0e8SAo3-dBMHA_19_0"/>
      <w:bookmarkStart w:id="687" w:name="Tc_qJCdgpVBFkC-E4zJvBa24A_18_0"/>
      <w:bookmarkStart w:id="688" w:name="Tc_1CvE6h4pFUyQ6fHIaRoPog_17_0"/>
      <w:bookmarkStart w:id="689" w:name="Tc_MxexdugkJ0qhAnuboBVH2A_16_0"/>
      <w:bookmarkStart w:id="690" w:name="Tc_fkv0BIHWb0KNtQ3ckO2jTA_15_0"/>
      <w:bookmarkStart w:id="691" w:name="Tc_FP1Y5Sj1Y0-fGjgWVGGM6w_14_6"/>
      <w:bookmarkStart w:id="692" w:name="Tc_KYL25_Fxm0exNMhpzaw0Xg_14_0"/>
      <w:bookmarkStart w:id="693" w:name="Tc_kG1zR4fL-UKInMxvmUsNzQ_13_0"/>
      <w:bookmarkStart w:id="694" w:name="Tc_9Gp4VzrdJUa4YFHMRTvUKg_12_0"/>
      <w:bookmarkStart w:id="695" w:name="Tc_tAtrnj5pp0yrvlFbD7d_mg_11_0"/>
      <w:bookmarkStart w:id="696" w:name="Tc_IgSbsAIJS0yzsmI3ldgXCA_10_3"/>
      <w:bookmarkStart w:id="697" w:name="Tc_FTTKaICY9k2Z_sGGvKd3wg_10_0"/>
      <w:bookmarkStart w:id="698" w:name="Tc_Rh9vRRhnFUCuzXAtW7dViA_9_0"/>
      <w:bookmarkStart w:id="699" w:name="Tc_hqQBNY4mgEOM_70yPf06tQ_8_0"/>
      <w:bookmarkStart w:id="700" w:name="Tc_gN6WOji13kuXKImWW9yRIA_7_0"/>
      <w:bookmarkStart w:id="701" w:name="Tc_fo-i0H5JBU-56T2U3LKSgQ_6_0"/>
      <w:bookmarkStart w:id="702" w:name="Tc_76YuFabkg0eoYkVLGHDfkA_5_5"/>
      <w:bookmarkStart w:id="703" w:name="Tc_2wasu3r1y0WX7jMkldRVCA_5_2"/>
      <w:bookmarkStart w:id="704" w:name="Tc_scclKIf5p0qYNTQEr2hiWw_5_0"/>
      <w:bookmarkStart w:id="705" w:name="Tc_yUa3lOEzlEWd4-BfkMPO_w_4_0"/>
      <w:bookmarkStart w:id="706" w:name="Tc_g41v0VMre0mudI0ycmCbMg_3_5"/>
      <w:bookmarkStart w:id="707" w:name="Tc_85GpH2hgvUOqespslpvscg_3_2"/>
      <w:bookmarkStart w:id="708" w:name="Tc_D1A0IBxP4UmmGCX80Vp08Q_2_2"/>
      <w:bookmarkStart w:id="709" w:name="Tc_dMLVShrBUEOhTRKFabpSUA_1_2"/>
      <w:bookmarkStart w:id="710" w:name="_6fd0c57d_fe5e_4340_bc7e_11cc65357b31"/>
      <w:bookmarkStart w:id="711" w:name="Tc_hWnQjC-S-0OC_BaBPeVOzw_42_5"/>
      <w:bookmarkStart w:id="712" w:name="Tc_UfwqoVw3vEaPT6uJDS4MTA_42_2"/>
      <w:bookmarkStart w:id="713" w:name="Tc_qnuvttdl7UidOCyPc_XYgg_42_0"/>
      <w:bookmarkStart w:id="714" w:name="Tc_LP4FRM3wr0KGOEKtNVpd-A_41_0"/>
      <w:bookmarkStart w:id="715" w:name="Tc_Du9CCLejc0iAzQj4hLzV4Q_39_0"/>
      <w:bookmarkStart w:id="716" w:name="Tc_HkJacVrDIEytCZ0HZ5v3zQ_38_0"/>
      <w:bookmarkStart w:id="717" w:name="Tc_JFpITDLGVky0QbKTU5adDA_36_0"/>
      <w:bookmarkStart w:id="718" w:name="Tc_6iQyJYlQF02wlVCDpfxNxQ_35_0"/>
      <w:bookmarkStart w:id="719" w:name="Tc_f-RJUnO1p0COwS2ynvbvRw_34_0"/>
      <w:bookmarkStart w:id="720" w:name="Tc_83dJSvvfvUC7M81JRF3G5g_33_0"/>
      <w:bookmarkStart w:id="721" w:name="Tc_QEfVe97l80ikg9kXmtd6cw_32_0"/>
      <w:bookmarkStart w:id="722" w:name="Tc_y1FU0IWtfkSyXbSnzyAI4A_31_0"/>
      <w:bookmarkStart w:id="723" w:name="Tc_k1DxM2atckm0vZF8nXPI8Q_29_0"/>
      <w:bookmarkStart w:id="724" w:name="Tc_D5S8130PFEypAckZAHHoqA_28_0"/>
      <w:bookmarkStart w:id="725" w:name="Tc_knA3-uVZiU-FZo7ga0-ISg_27_0"/>
      <w:bookmarkStart w:id="726" w:name="Tc_w9-CvrcuBEekCa6N9E-fDw_26_0"/>
      <w:bookmarkStart w:id="727" w:name="Tc_IXa1EFGkF0OZHwGSiGogfw_25_0"/>
      <w:bookmarkStart w:id="728" w:name="Tc_gdr88CkIgUW3m_wzQ4I0iA_23_0"/>
      <w:bookmarkStart w:id="729" w:name="Tc_joWQVm_MD0e5S95-SR55sQ_22_0"/>
      <w:bookmarkStart w:id="730" w:name="Tc_Aa4s9U-BL0aMifPFp9OejQ_21_0"/>
      <w:bookmarkStart w:id="731" w:name="Tc_n9qqglGz_E-9QXZFkOpqdg_20_0"/>
      <w:bookmarkStart w:id="732" w:name="Tc_R-4njc5gt0e8SAo3-dBMHA_19_0"/>
      <w:bookmarkStart w:id="733" w:name="Tc_qJCdgpVBFkC-E4zJvBa24A_18_0"/>
      <w:bookmarkStart w:id="734" w:name="Tc_1CvE6h4pFUyQ6fHIaRoPog_17_0"/>
      <w:bookmarkStart w:id="735" w:name="Tc_MxexdugkJ0qhAnuboBVH2A_16_0"/>
      <w:bookmarkStart w:id="736" w:name="Tc_fkv0BIHWb0KNtQ3ckO2jTA_15_0"/>
      <w:bookmarkStart w:id="737" w:name="Tc_FP1Y5Sj1Y0-fGjgWVGGM6w_14_6"/>
      <w:bookmarkStart w:id="738" w:name="Tc_KYL25_Fxm0exNMhpzaw0Xg_14_0"/>
      <w:bookmarkStart w:id="739" w:name="Tc_kG1zR4fL-UKInMxvmUsNzQ_13_0"/>
      <w:bookmarkStart w:id="740" w:name="Tc_9Gp4VzrdJUa4YFHMRTvUKg_12_0"/>
      <w:bookmarkStart w:id="741" w:name="Tc_tAtrnj5pp0yrvlFbD7d_mg_11_0"/>
      <w:bookmarkStart w:id="742" w:name="Tc_IgSbsAIJS0yzsmI3ldgXCA_10_3"/>
      <w:bookmarkStart w:id="743" w:name="Tc_FTTKaICY9k2Z_sGGvKd3wg_10_0"/>
      <w:bookmarkStart w:id="744" w:name="Tc_Rh9vRRhnFUCuzXAtW7dViA_9_0"/>
      <w:bookmarkStart w:id="745" w:name="Tc_hqQBNY4mgEOM_70yPf06tQ_8_0"/>
      <w:bookmarkStart w:id="746" w:name="Tc_gN6WOji13kuXKImWW9yRIA_7_0"/>
      <w:bookmarkStart w:id="747" w:name="Tc_fo-i0H5JBU-56T2U3LKSgQ_6_0"/>
      <w:bookmarkStart w:id="748" w:name="Tc_76YuFabkg0eoYkVLGHDfkA_5_5"/>
      <w:bookmarkStart w:id="749" w:name="Tc_2wasu3r1y0WX7jMkldRVCA_5_2"/>
      <w:bookmarkStart w:id="750" w:name="Tc_scclKIf5p0qYNTQEr2hiWw_5_0"/>
      <w:bookmarkStart w:id="751" w:name="Tc_yUa3lOEzlEWd4-BfkMPO_w_4_0"/>
      <w:bookmarkStart w:id="752" w:name="Tc_g41v0VMre0mudI0ycmCbMg_3_5"/>
      <w:bookmarkStart w:id="753" w:name="Tc_85GpH2hgvUOqespslpvscg_3_2"/>
      <w:bookmarkStart w:id="754" w:name="Tc_D1A0IBxP4UmmGCX80Vp08Q_2_2"/>
      <w:bookmarkStart w:id="755" w:name="Tc_dMLVShrBUEOhTRKFabpSUA_1_2"/>
      <w:bookmarkStart w:id="756" w:name="_6fd0c57d_fe5e_4340_bc7e_11cc65357b31"/>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tbl>
      <w:tblPr>
        <w:tblW w:w="8828" w:type="dxa"/>
        <w:jc w:val="left"/>
        <w:tblInd w:w="0" w:type="dxa"/>
        <w:tblLayout w:type="fixed"/>
        <w:tblCellMar>
          <w:top w:w="0" w:type="dxa"/>
          <w:left w:w="0" w:type="dxa"/>
          <w:bottom w:w="0" w:type="dxa"/>
          <w:right w:w="0" w:type="dxa"/>
        </w:tblCellMar>
      </w:tblPr>
      <w:tblGrid>
        <w:gridCol w:w="5791"/>
        <w:gridCol w:w="326"/>
        <w:gridCol w:w="196"/>
        <w:gridCol w:w="811"/>
        <w:gridCol w:w="326"/>
        <w:gridCol w:w="196"/>
        <w:gridCol w:w="811"/>
        <w:gridCol w:w="371"/>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77285" cy="175260"/>
                      <wp:effectExtent l="0" t="0" r="0" b="0"/>
                      <wp:wrapNone/>
                      <wp:docPr id="77" name="Frame77"/>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14985" cy="175260"/>
                      <wp:effectExtent l="0" t="0" r="0" b="0"/>
                      <wp:wrapNone/>
                      <wp:docPr id="83" name="Frame8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35585" cy="175260"/>
                      <wp:effectExtent l="0" t="0" r="0" b="0"/>
                      <wp:wrapNone/>
                      <wp:docPr id="84" name="Frame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c>
          <w:tcPr>
            <w:tcW w:w="371" w:type="dxa"/>
            <w:tcBorders/>
            <w:vAlign w:val="center"/>
          </w:tcPr>
          <w:p>
            <w:pPr>
              <w:pStyle w:val="TableContents"/>
              <w:bidi w:val="0"/>
              <w:spacing w:before="0" w:after="0"/>
              <w:ind w:left="0" w:right="0" w:hanging="0"/>
              <w:jc w:val="center"/>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June 30, </w:t>
            </w:r>
          </w:p>
        </w:tc>
        <w:tc>
          <w:tcPr>
            <w:tcW w:w="371" w:type="dxa"/>
            <w:tcBorders/>
            <w:vAlign w:val="center"/>
          </w:tcPr>
          <w:p>
            <w:pPr>
              <w:pStyle w:val="TableContents"/>
              <w:bidi w:val="0"/>
              <w:spacing w:before="0" w:after="0"/>
              <w:ind w:left="0" w:right="0" w:hanging="0"/>
              <w:jc w:val="center"/>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102,460</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7,636</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10,159</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doubtful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excess and obsolete inventory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2,846</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discounts and premiums on short-term and 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currency (gain) loss on foreign denominated transactions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11,505</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Mark-to-market adjustment on forward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12,951</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(18,541)</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(8,391)</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82,290</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Expenditures for property, plant and equipment and 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short-term and long-term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(345,174)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(249,015)</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and sales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387,975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191,345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(61,294)</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settlement on restricted stock grants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(11,167)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(29,995)</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Employee Stock Purchase Plan purchases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 obligation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(40,656)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(22,134)</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173,951</w:t>
            </w:r>
          </w:p>
        </w:tc>
        <w:tc>
          <w:tcPr>
            <w:tcW w:w="37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181,280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151,817</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7" w:name="_55cbd8ee_5d36_4f77_a126_be9ab8fb0723"/>
      <w:bookmarkEnd w:id="757"/>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758" w:name="NotestoConsolidatedFinancialStatementsUn"/>
      <w:bookmarkEnd w:id="758"/>
      <w:r>
        <w:rPr>
          <w:rFonts w:ascii="Times New Roman;Times;serif" w:hAnsi="Times New Roman;Times;serif"/>
          <w:b/>
          <w:sz w:val="20"/>
        </w:rPr>
        <w:t>Notes to Consolidated Financial Statements (Unaudited)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  Nature of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balance sheet at December 31, 2024 has been derived from the audited consolidated financial statements at that date but does not include all the information and footnotes required by generally accepted accounting principles for complete financial statements. As of June 30, 2025, there have been no material changes in the Company’s significant accounting policies, other than as described in Note 2 below. For further information, refer to the consolidated financial statements and footnotes thereto included in the Company’s Annual Report on Form 10-K for the year ended December 31, 2024 (the “2024 Form 10-K”).</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20"/>
        </w:rPr>
        <w:t>Cash, Cash Equivalents, Short-term Investments, and Long-term Investments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and cash equivalents consist of cash on hand and highly liquid investments with original maturities of 90 days or less. Cash equivalents consist primarily of money market funds, U.S. government and agency securities and deposit accounts. Cash equivalents are carried on the balance sheet at fair market value. Short-term investments are h</w:t>
      </w:r>
      <w:r>
        <w:rPr>
          <w:rFonts w:ascii="Times New Roman;Times;serif" w:hAnsi="Times New Roman;Times;serif"/>
          <w:sz w:val="20"/>
          <w:shd w:fill="FFFFFF" w:val="clear"/>
        </w:rPr>
        <w:t xml:space="preserve">ighly liquid investments, primarily consisting of U.S. government and agency securities, with original maturities of greater than 90 days but less than one year from date of purchase. </w:t>
      </w:r>
      <w:r>
        <w:rPr>
          <w:rFonts w:ascii="Times New Roman;Times;serif" w:hAnsi="Times New Roman;Times;serif"/>
          <w:sz w:val="20"/>
        </w:rPr>
        <w:t xml:space="preserve">Long-term investments consist of U.S. government and agency securities with original maturities greater than one year from the date of purchase. </w:t>
      </w:r>
      <w:r>
        <w:rPr>
          <w:rFonts w:ascii="Times New Roman;Times;serif" w:hAnsi="Times New Roman;Times;serif"/>
          <w:sz w:val="20"/>
          <w:shd w:fill="FFFFFF" w:val="clear"/>
        </w:rPr>
        <w:t xml:space="preserve">Beginning as of March 31, 2025, both our short-term and long-term investments are classified as available-for-sale as a result of the below noted sale of securities. In prior periods, our short-term investments were classified as held-to-maturity. </w:t>
      </w:r>
      <w:r>
        <w:rPr>
          <w:rFonts w:ascii="Times New Roman;Times;serif" w:hAnsi="Times New Roman;Times;serif"/>
          <w:sz w:val="20"/>
        </w:rPr>
        <w:t>We classify our long-term investments as non-current based on the security’s contractual maturity. We evaluate if a</w:t>
      </w:r>
      <w:r>
        <w:rPr>
          <w:rFonts w:ascii="Times New Roman;Times;serif" w:hAnsi="Times New Roman;Times;serif"/>
          <w:sz w:val="20"/>
          <w:shd w:fill="FFFFFF" w:val="clear"/>
        </w:rPr>
        <w:t>ny declines in fair value below amortized cost are caused by expected credit losses, as well as our ability and intent to hold the investment until a forecasted recovery occurs. Any unrealized gains and losses are included in accumulated other comprehensive loss in the Consolidated Statement of Stockholders’ Equity. Income related to these securities is recorded in interest income in the Consolidated Statements of Operations</w:t>
      </w:r>
      <w:r>
        <w:rPr>
          <w:rFonts w:ascii="Times New Roman;Times;serif" w:hAnsi="Times New Roman;Times;serif"/>
          <w:sz w:val="20"/>
        </w:rPr>
        <w:t>.</w:t>
      </w:r>
      <w:r>
        <w:rPr>
          <w:rFonts w:ascii="Times New Roman;Times;serif" w:hAnsi="Times New Roman;Times;serif"/>
          <w:sz w:val="20"/>
          <w:shd w:fill="FFFFFF" w:val="clear"/>
        </w:rPr>
        <w:t xml:space="preserve"> </w:t>
      </w:r>
      <w:r>
        <w:rPr>
          <w:rFonts w:ascii="Times New Roman;Times;serif" w:hAnsi="Times New Roman;Times;serif"/>
          <w:sz w:val="20"/>
        </w:rPr>
        <w:t>As of June 30, 2025, the amortized cost and fair value of the available-for-sale short-term investments was $376.3 million and $376.2 million, respectively. As of June 30, 2025, the amortized cost and fair value of the long-term investments was $31.0 million and $31.1 million, respectively. As of June 30, 2025, we had no allowances for credit loss on our investments.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2025, we sold securities classified as held-to-maturity with a total net carrying value of $199.5 million. The majority of the proceeds were reinvested back into short-term investments during the three months ended March 31, 2025. Due to this sale, the remaining held-to-maturity securities were reclassified as available-for-sale, resulting in a remeasurement increase in short-term investments for balance sheet presentation purposes with a corresponding adjustment to accumulated other comprehensive loss of $81.0 thousand as of March 31,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  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2012 Equity Plan is more fully described in Note 13 to the consolidated financial statements in our 2024 Form 10-K.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recognized stock-based compensation expense of $5.4 million and $5.5 million for the three-month periods ended June 30, 2025 and 2024, respectively. We recognized stock-based compensation expense of $10.3 million and $10.2 million for the six-month periods ended June 30, 2025 and 2024, respectively. These amounts include compensation expense related to RSUs and stock issued to participants under the 2020 Employee Stock Purchase Plan (the “2020 ESPP”).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three-month periods ended June 30, 2025 and 2024, we issued 0.1 million and 0.2 million shares of common stock, respectively, upon vesting of RSUs granted under the 2012 Equity Plan and purchases under the 2020 ESPP. In both the three-month periods ended June 30, 2025 and 2024, we received proceeds of $1.2 million in connection with purchases under the 2020 ESPP.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each of the six-month periods ended June 30, 2025 and 2024, we issued 0.2 million shares of common stock, upon vesting of RSUs granted under the 2012 Equity Plan and purchases under the 2020 ESPP. In both the six-month periods ended June 30, 2025 and 2024, we received proceeds of $1.2 million in connection with purchases under the 2020 ESPP.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4.  Leases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operating lease obligations under Accounting Standards Codification Topic 842, </w:t>
      </w:r>
      <w:r>
        <w:rPr>
          <w:rFonts w:ascii="Times New Roman;Times;serif" w:hAnsi="Times New Roman;Times;serif"/>
          <w:i/>
          <w:sz w:val="20"/>
        </w:rPr>
        <w:t>Leases</w:t>
      </w:r>
      <w:r>
        <w:rPr>
          <w:rFonts w:ascii="Times New Roman;Times;serif" w:hAnsi="Times New Roman;Times;serif"/>
          <w:sz w:val="20"/>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w:t>
      </w:r>
      <w:r>
        <w:rPr>
          <w:rFonts w:ascii="Times New Roman;Times;serif" w:hAnsi="Times New Roman;Times;serif"/>
          <w:b w:val="false"/>
          <w:i w:val="false"/>
          <w:caps w:val="false"/>
          <w:smallCaps w:val="false"/>
          <w:sz w:val="20"/>
        </w:rPr>
        <w:t>options to renew</w:t>
      </w:r>
      <w:r>
        <w:rPr>
          <w:rFonts w:ascii="Times New Roman;Times;serif" w:hAnsi="Times New Roman;Times;serif"/>
          <w:sz w:val="20"/>
        </w:rPr>
        <w:t xml:space="preserve">, with renewal terms that can extend the respective lease term by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759" w:name="Tc_bwaIA7MBlk20y1pgBCwFEQ_16_0"/>
      <w:bookmarkStart w:id="760" w:name="Tc_qOa7ywmTcEW1y23ebljn0g_14_6"/>
      <w:bookmarkStart w:id="761" w:name="Tc_Uqfd9_f7pkGQt4ZlZGZb2Q_14_3"/>
      <w:bookmarkStart w:id="762" w:name="Tc_W8Z0aiKobU6Mt2PTf4ZYbg_13_1"/>
      <w:bookmarkStart w:id="763" w:name="Tc_sckZW3710UmQtMvRduJm9g_12_1"/>
      <w:bookmarkStart w:id="764" w:name="Tc_km7R3-y6PUCJ8r-GosxqZA_11_0"/>
      <w:bookmarkStart w:id="765" w:name="Tc_SB0ir9R1r0ezd0eDXmhJTg_10_1"/>
      <w:bookmarkStart w:id="766" w:name="Tc_EFBRilA1ukGoe8ee3lxQuA_9_6"/>
      <w:bookmarkStart w:id="767" w:name="Tc_z7oSdsxNx0q1wNn2INnMdA_9_3"/>
      <w:bookmarkStart w:id="768" w:name="Tc_gwl7E5jySUShg8z3gvNIjA_9_1"/>
      <w:bookmarkStart w:id="769" w:name="Tc_FHHkBC4DPEys1TfNl4sMTw_8_0"/>
      <w:bookmarkStart w:id="770" w:name="Tc_Gi_C-W9DeUm8beqVb0qJ_A_7_0"/>
      <w:bookmarkStart w:id="771" w:name="Tc_4OUcR-uSI0SIxE_AHf8Eng_6_6"/>
      <w:bookmarkStart w:id="772" w:name="Tc_QZG2lqF8jkiwgkpGC-7O1Q_6_3"/>
      <w:bookmarkStart w:id="773" w:name="Tc_DUl84uVKmUCXQrqFynnAlA_6_0"/>
      <w:bookmarkStart w:id="774" w:name="Tc_QjY4uyd1Yku_wRr7uHk92A_5_1"/>
      <w:bookmarkStart w:id="775" w:name="Tc_IJYVV1wEekqX7cwBKn64yQ_4_6"/>
      <w:bookmarkStart w:id="776" w:name="Tc_LG82dhWysUOFHXJUTrGASw_4_3"/>
      <w:bookmarkStart w:id="777" w:name="Tc_1S8HsCC-t0mjue0VEVeNug_4_1"/>
      <w:bookmarkStart w:id="778" w:name="Tc_atI9qRBRakOeOJaNmnT7wg_3_3"/>
      <w:bookmarkStart w:id="779" w:name="Tc_Q4GxURu4CUW2lSL9zadXlA_3_0"/>
      <w:bookmarkStart w:id="780" w:name="Tc_hk84MbgRxkaf9FHSluUXgQ_2_6"/>
      <w:bookmarkStart w:id="781" w:name="Tc_JMGCBQrsG0SjbVZhtI9qJQ_2_3"/>
      <w:bookmarkStart w:id="782" w:name="Tc_esIWeQKB3EqsFmtuC8n3FA_2_1"/>
      <w:bookmarkStart w:id="783" w:name="Tc_JYwHxMjUgkyAyij47StKCw_2_0"/>
      <w:bookmarkStart w:id="784" w:name="Tc_VQZYC5dIKEyNFPibsx-Oqw_1_6"/>
      <w:bookmarkStart w:id="785" w:name="Tc_ZCVhfdHbGUGBYAIVmNoIYQ_1_3"/>
      <w:bookmarkStart w:id="786" w:name="Tc_bwaIA7MBlk20y1pgBCwFEQ_16_0"/>
      <w:bookmarkStart w:id="787" w:name="Tc_qOa7ywmTcEW1y23ebljn0g_14_6"/>
      <w:bookmarkStart w:id="788" w:name="Tc_Uqfd9_f7pkGQt4ZlZGZb2Q_14_3"/>
      <w:bookmarkStart w:id="789" w:name="Tc_W8Z0aiKobU6Mt2PTf4ZYbg_13_1"/>
      <w:bookmarkStart w:id="790" w:name="Tc_sckZW3710UmQtMvRduJm9g_12_1"/>
      <w:bookmarkStart w:id="791" w:name="Tc_km7R3-y6PUCJ8r-GosxqZA_11_0"/>
      <w:bookmarkStart w:id="792" w:name="Tc_SB0ir9R1r0ezd0eDXmhJTg_10_1"/>
      <w:bookmarkStart w:id="793" w:name="Tc_EFBRilA1ukGoe8ee3lxQuA_9_6"/>
      <w:bookmarkStart w:id="794" w:name="Tc_z7oSdsxNx0q1wNn2INnMdA_9_3"/>
      <w:bookmarkStart w:id="795" w:name="Tc_gwl7E5jySUShg8z3gvNIjA_9_1"/>
      <w:bookmarkStart w:id="796" w:name="Tc_FHHkBC4DPEys1TfNl4sMTw_8_0"/>
      <w:bookmarkStart w:id="797" w:name="Tc_Gi_C-W9DeUm8beqVb0qJ_A_7_0"/>
      <w:bookmarkStart w:id="798" w:name="Tc_4OUcR-uSI0SIxE_AHf8Eng_6_6"/>
      <w:bookmarkStart w:id="799" w:name="Tc_QZG2lqF8jkiwgkpGC-7O1Q_6_3"/>
      <w:bookmarkStart w:id="800" w:name="Tc_DUl84uVKmUCXQrqFynnAlA_6_0"/>
      <w:bookmarkStart w:id="801" w:name="Tc_QjY4uyd1Yku_wRr7uHk92A_5_1"/>
      <w:bookmarkStart w:id="802" w:name="Tc_IJYVV1wEekqX7cwBKn64yQ_4_6"/>
      <w:bookmarkStart w:id="803" w:name="Tc_LG82dhWysUOFHXJUTrGASw_4_3"/>
      <w:bookmarkStart w:id="804" w:name="Tc_1S8HsCC-t0mjue0VEVeNug_4_1"/>
      <w:bookmarkStart w:id="805" w:name="Tc_atI9qRBRakOeOJaNmnT7wg_3_3"/>
      <w:bookmarkStart w:id="806" w:name="Tc_Q4GxURu4CUW2lSL9zadXlA_3_0"/>
      <w:bookmarkStart w:id="807" w:name="Tc_hk84MbgRxkaf9FHSluUXgQ_2_6"/>
      <w:bookmarkStart w:id="808" w:name="Tc_JMGCBQrsG0SjbVZhtI9qJQ_2_3"/>
      <w:bookmarkStart w:id="809" w:name="Tc_esIWeQKB3EqsFmtuC8n3FA_2_1"/>
      <w:bookmarkStart w:id="810" w:name="Tc_JYwHxMjUgkyAyij47StKCw_2_0"/>
      <w:bookmarkStart w:id="811" w:name="Tc_VQZYC5dIKEyNFPibsx-Oqw_1_6"/>
      <w:bookmarkStart w:id="812" w:name="Tc_ZCVhfdHbGUGBYAIVmNoIYQ_1_3"/>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tbl>
      <w:tblPr>
        <w:tblW w:w="10205" w:type="dxa"/>
        <w:jc w:val="left"/>
        <w:tblInd w:w="0" w:type="dxa"/>
        <w:tblLayout w:type="fixed"/>
        <w:tblCellMar>
          <w:top w:w="0" w:type="dxa"/>
          <w:left w:w="0" w:type="dxa"/>
          <w:bottom w:w="0" w:type="dxa"/>
          <w:right w:w="0" w:type="dxa"/>
        </w:tblCellMar>
      </w:tblPr>
      <w:tblGrid>
        <w:gridCol w:w="2224"/>
        <w:gridCol w:w="3662"/>
        <w:gridCol w:w="179"/>
        <w:gridCol w:w="323"/>
        <w:gridCol w:w="990"/>
        <w:gridCol w:w="537"/>
        <w:gridCol w:w="407"/>
        <w:gridCol w:w="1252"/>
        <w:gridCol w:w="326"/>
        <w:gridCol w:w="146"/>
        <w:gridCol w:w="159"/>
      </w:tblGrid>
      <w:tr>
        <w:trPr/>
        <w:tc>
          <w:tcPr>
            <w:tcW w:w="2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12240" cy="175260"/>
                      <wp:effectExtent l="0" t="0" r="0" b="0"/>
                      <wp:wrapNone/>
                      <wp:docPr id="85" name="Frame85"/>
                      <a:graphic xmlns:a="http://schemas.openxmlformats.org/drawingml/2006/main">
                        <a:graphicData uri="http://schemas.microsoft.com/office/word/2010/wordprocessingShape">
                          <wps:wsp>
                            <wps:cNvSpPr txBox="1"/>
                            <wps:spPr>
                              <a:xfrm>
                                <a:off x="0" y="0"/>
                                <a:ext cx="141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325370" cy="175260"/>
                      <wp:effectExtent l="0" t="0" r="0" b="0"/>
                      <wp:wrapNone/>
                      <wp:docPr id="86" name="Frame86"/>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3665" cy="175260"/>
                      <wp:effectExtent l="0" t="0" r="0" b="0"/>
                      <wp:wrapNone/>
                      <wp:docPr id="87" name="Frame87"/>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5105" cy="175260"/>
                      <wp:effectExtent l="0" t="0" r="0" b="0"/>
                      <wp:wrapNone/>
                      <wp:docPr id="88" name="Frame8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28650" cy="175260"/>
                      <wp:effectExtent l="0" t="0" r="0" b="0"/>
                      <wp:wrapNone/>
                      <wp:docPr id="89" name="Frame89"/>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0995" cy="175260"/>
                      <wp:effectExtent l="0" t="0" r="0" b="0"/>
                      <wp:wrapNone/>
                      <wp:docPr id="90" name="Frame90"/>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8445" cy="175260"/>
                      <wp:effectExtent l="0" t="0" r="0" b="0"/>
                      <wp:wrapNone/>
                      <wp:docPr id="91" name="Frame9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95020" cy="175260"/>
                      <wp:effectExtent l="0" t="0" r="0" b="0"/>
                      <wp:wrapNone/>
                      <wp:docPr id="92" name="Frame92"/>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00965" cy="175260"/>
                      <wp:effectExtent l="0" t="0" r="0" b="0"/>
                      <wp:wrapNone/>
                      <wp:docPr id="95" name="Frame95"/>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4" w:type="dxa"/>
            <w:tcBorders/>
            <w:vAlign w:val="center"/>
          </w:tcPr>
          <w:p>
            <w:pPr>
              <w:pStyle w:val="TableContents"/>
              <w:bidi w:val="0"/>
              <w:spacing w:before="0" w:after="0"/>
              <w:ind w:left="0" w:right="0" w:hanging="0"/>
              <w:jc w:val="left"/>
              <w:rPr/>
            </w:pPr>
            <w:r>
              <w:rPr/>
              <w:t>​</w:t>
            </w:r>
          </w:p>
        </w:tc>
        <w:tc>
          <w:tcPr>
            <w:tcW w:w="3662"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36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79" w:type="dxa"/>
            <w:tcBorders/>
            <w:vAlign w:val="center"/>
          </w:tcPr>
          <w:p>
            <w:pPr>
              <w:pStyle w:val="TableContents"/>
              <w:bidi w:val="0"/>
              <w:spacing w:before="0" w:after="0"/>
              <w:ind w:left="0" w:right="0" w:hanging="0"/>
              <w:jc w:val="left"/>
              <w:rPr/>
            </w:pPr>
            <w:r>
              <w:rPr/>
              <w:t>​</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37" w:type="dxa"/>
            <w:tcBorders/>
            <w:vAlign w:val="center"/>
          </w:tcPr>
          <w:p>
            <w:pPr>
              <w:pStyle w:val="TableContents"/>
              <w:bidi w:val="0"/>
              <w:spacing w:before="0" w:after="0"/>
              <w:ind w:left="0" w:right="0" w:hanging="0"/>
              <w:jc w:val="center"/>
              <w:rPr/>
            </w:pPr>
            <w:r>
              <w:rPr/>
              <w:t>    </w:t>
            </w:r>
          </w:p>
        </w:tc>
        <w:tc>
          <w:tcPr>
            <w:tcW w:w="16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left"/>
              <w:rPr/>
            </w:pPr>
            <w:r>
              <w:rPr/>
              <w:t>​</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2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662"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5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leases</w:t>
            </w:r>
          </w:p>
        </w:tc>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17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28,561</w:t>
            </w:r>
          </w:p>
        </w:tc>
        <w:tc>
          <w:tcPr>
            <w:tcW w:w="537"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29,621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22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Finance lease</w:t>
            </w:r>
          </w:p>
        </w:tc>
        <w:tc>
          <w:tcPr>
            <w:tcW w:w="36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w:t>
            </w:r>
          </w:p>
        </w:tc>
        <w:tc>
          <w:tcPr>
            <w:tcW w:w="17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14,704</w:t>
            </w:r>
          </w:p>
        </w:tc>
        <w:tc>
          <w:tcPr>
            <w:tcW w:w="537"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15,346</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leased assets</w:t>
            </w:r>
          </w:p>
        </w:tc>
        <w:tc>
          <w:tcPr>
            <w:tcW w:w="3662"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43,265</w:t>
            </w:r>
          </w:p>
        </w:tc>
        <w:tc>
          <w:tcPr>
            <w:tcW w:w="537" w:type="dxa"/>
            <w:tcBorders/>
            <w:shd w:fill="CCEEFF" w:val="clear"/>
            <w:vAlign w:val="center"/>
          </w:tcPr>
          <w:p>
            <w:pPr>
              <w:pStyle w:val="TableContents"/>
              <w:bidi w:val="0"/>
              <w:spacing w:before="0" w:after="0"/>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44,967</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2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662"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537"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w:t>
            </w:r>
          </w:p>
        </w:tc>
        <w:tc>
          <w:tcPr>
            <w:tcW w:w="3662"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w:t>
            </w:r>
          </w:p>
        </w:tc>
        <w:tc>
          <w:tcPr>
            <w:tcW w:w="537"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22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w:t>
            </w:r>
          </w:p>
        </w:tc>
        <w:tc>
          <w:tcPr>
            <w:tcW w:w="36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17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4,574</w:t>
            </w:r>
          </w:p>
        </w:tc>
        <w:tc>
          <w:tcPr>
            <w:tcW w:w="537"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Finance</w:t>
            </w:r>
          </w:p>
        </w:tc>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finance lease obligation</w:t>
            </w:r>
          </w:p>
        </w:tc>
        <w:tc>
          <w:tcPr>
            <w:tcW w:w="17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w:t>
            </w:r>
          </w:p>
        </w:tc>
        <w:tc>
          <w:tcPr>
            <w:tcW w:w="537"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2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w:t>
            </w:r>
          </w:p>
        </w:tc>
        <w:tc>
          <w:tcPr>
            <w:tcW w:w="3662"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right"/>
              <w:rPr/>
            </w:pPr>
            <w:r>
              <w:rPr/>
              <w:t>​</w:t>
            </w:r>
          </w:p>
        </w:tc>
        <w:tc>
          <w:tcPr>
            <w:tcW w:w="537"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Operating </w:t>
            </w:r>
          </w:p>
        </w:tc>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17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24,363</w:t>
            </w:r>
          </w:p>
        </w:tc>
        <w:tc>
          <w:tcPr>
            <w:tcW w:w="537"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25,321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22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Finance </w:t>
            </w:r>
          </w:p>
        </w:tc>
        <w:tc>
          <w:tcPr>
            <w:tcW w:w="36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obligation</w:t>
            </w:r>
          </w:p>
        </w:tc>
        <w:tc>
          <w:tcPr>
            <w:tcW w:w="17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41,567</w:t>
            </w:r>
          </w:p>
        </w:tc>
        <w:tc>
          <w:tcPr>
            <w:tcW w:w="537"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42,329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2224"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lease liabilities</w:t>
            </w:r>
          </w:p>
        </w:tc>
        <w:tc>
          <w:tcPr>
            <w:tcW w:w="3662"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71,941</w:t>
            </w:r>
          </w:p>
        </w:tc>
        <w:tc>
          <w:tcPr>
            <w:tcW w:w="537" w:type="dxa"/>
            <w:tcBorders/>
            <w:shd w:fill="CCEEFF" w:val="clear"/>
            <w:vAlign w:val="center"/>
          </w:tcPr>
          <w:p>
            <w:pPr>
              <w:pStyle w:val="TableContents"/>
              <w:bidi w:val="0"/>
              <w:spacing w:before="0" w:after="0"/>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73,465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224" w:type="dxa"/>
            <w:tcBorders/>
            <w:vAlign w:val="center"/>
          </w:tcPr>
          <w:p>
            <w:pPr>
              <w:pStyle w:val="TableContents"/>
              <w:bidi w:val="0"/>
              <w:spacing w:before="0" w:after="0"/>
              <w:ind w:left="0" w:right="0" w:hanging="0"/>
              <w:jc w:val="left"/>
              <w:rPr/>
            </w:pPr>
            <w:r>
              <w:rPr/>
              <w:t>​</w:t>
            </w:r>
          </w:p>
        </w:tc>
        <w:tc>
          <w:tcPr>
            <w:tcW w:w="3662"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9574" w:type="dxa"/>
            <w:gridSpan w:val="8"/>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*Finance lease assets are recorded net of accumulated depreciation of $47.9 million and include $0.5 million of prepaid financing costs as of June 30, 2025. Finance lease assets are recorded net of accumulated depreciation of $47.4 million and include $0.5 million of prepaid financing costs as of December 31, 2024. </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13" w:name="Tc_U3OJkElUdEyIFj5cGxovuA_14_0"/>
      <w:bookmarkStart w:id="814" w:name="Tc_6CdgzV-lZUS_wlma_n3phw_12_8"/>
      <w:bookmarkStart w:id="815" w:name="Tc_4qbi672ACk-DLXVtyibFiA_12_5"/>
      <w:bookmarkStart w:id="816" w:name="Tc_9EJ-y-OreUC4KWkYBcQ_oQ_12_2"/>
      <w:bookmarkStart w:id="817" w:name="Tc_ZgdCLVWR50u0akjEFPKNow_12_0"/>
      <w:bookmarkStart w:id="818" w:name="Tc_86Z4TtcPX02yQVB0eYZtBw_11_0"/>
      <w:bookmarkStart w:id="819" w:name="Tc_6BmCs1oplEKGL33C44bshg_10_8"/>
      <w:bookmarkStart w:id="820" w:name="Tc_qHQNPGuQEUCDO_aSgH0xZQ_10_5"/>
      <w:bookmarkStart w:id="821" w:name="Tc_C31SbWxLEUeCJdYeJYFk2g_10_2"/>
      <w:bookmarkStart w:id="822" w:name="Tc_OcyUoZINXUiNo_Zs6TaSXw_10_0"/>
      <w:bookmarkStart w:id="823" w:name="Tc_VzVf_DpOTkyiAW8YpFedmw_9_0"/>
      <w:bookmarkStart w:id="824" w:name="Tc_espr4KFzgEyvIp17WrKENg_8_0"/>
      <w:bookmarkStart w:id="825" w:name="Tc_bpa0iRPZkkmbACryvAWINQ_7_0"/>
      <w:bookmarkStart w:id="826" w:name="Tc_CgEuCqYy60WzoMIJ5rC6Kw_6_0"/>
      <w:bookmarkStart w:id="827" w:name="Tc_LucbLPQVbEuHvtCbgvJmuw_5_0"/>
      <w:bookmarkStart w:id="828" w:name="Tc_bS_8tckFNEiyU5ZBw_Kpww_4_8"/>
      <w:bookmarkStart w:id="829" w:name="Tc_eYjLAWQci0SrUkCaujpgbA_4_5"/>
      <w:bookmarkStart w:id="830" w:name="Tc_ommlGppE0EWdNyNPVniBGQ_4_2"/>
      <w:bookmarkStart w:id="831" w:name="Tc_qd0Xy0ncLUyeBb9rbJ7J8w_4_0"/>
      <w:bookmarkStart w:id="832" w:name="Tc_erIwtqlM4UCuWxtA040cDg_3_2"/>
      <w:bookmarkStart w:id="833" w:name="Tc_xgEaRYNS2Eyu_hKGSqOiAA_2_8"/>
      <w:bookmarkStart w:id="834" w:name="Tc_YoxN9MPpPEiI7e3VwSpMSQ_2_5"/>
      <w:bookmarkStart w:id="835" w:name="Tc_jaObcA9wX06idIPU6nJ9fA_2_2"/>
      <w:bookmarkStart w:id="836" w:name="Tc_ViHBYS2j5EiZnZmxdyh39A_2_0"/>
      <w:bookmarkStart w:id="837" w:name="Tc_XKaY-6jDsUCnu20eq4oUjQ_1_8"/>
      <w:bookmarkStart w:id="838" w:name="Tc_5RPrCZ2EO0-E6zWc0vp56Q_1_5"/>
      <w:bookmarkStart w:id="839" w:name="Tc_WFWqLqF7Wk-7lD-Dhcsrzg_1_2"/>
      <w:bookmarkStart w:id="840" w:name="_9e9f66e6_08f1_406a_82bb_1d6cee3fdc81"/>
      <w:bookmarkStart w:id="841" w:name="Tc_Y_UJ1NAj5UGghtvneIcAiQ_17_0"/>
      <w:bookmarkStart w:id="842" w:name="Tc_D6BZfr-kDEKFJLI_iL7m-A_15_12"/>
      <w:bookmarkStart w:id="843" w:name="Tc_JfvFvnp7AEWsq4CVlwTMlA_15_9"/>
      <w:bookmarkStart w:id="844" w:name="Tc_4_tS1Y0ZBE-tKdVozI7PDw_15_6"/>
      <w:bookmarkStart w:id="845" w:name="Tc_-tl3fy3YCkq7gTpTKIuN7A_15_3"/>
      <w:bookmarkStart w:id="846" w:name="Tc_btxg7guuV0SHAWSiNDht7A_15_0"/>
      <w:bookmarkStart w:id="847" w:name="Tc_Oab6fFisXEeyj-stg3viqA_13_12"/>
      <w:bookmarkStart w:id="848" w:name="Tc_xK1cRoXcRkmXLk7V2OGKIg_13_9"/>
      <w:bookmarkStart w:id="849" w:name="Tc_fPs8akBF2kWEXT-bhhmz9Q_13_6"/>
      <w:bookmarkStart w:id="850" w:name="Tc_XSbQW4m110u2M9bY9TPKQQ_13_3"/>
      <w:bookmarkStart w:id="851" w:name="Tc_bssIjRtv206ftuJcKFS8jw_13_0"/>
      <w:bookmarkStart w:id="852" w:name="Tc_vtW0JM3HtEq0525-jNemBQ_12_1"/>
      <w:bookmarkStart w:id="853" w:name="Tc_1TOns1mqeUSksxlJQRVSPQ_12_0"/>
      <w:bookmarkStart w:id="854" w:name="Tc_u1ud3yEe7k6KORRz3GBkVw_11_12"/>
      <w:bookmarkStart w:id="855" w:name="Tc_WzOhDgo-ek-B4h81AZgsmQ_11_9"/>
      <w:bookmarkStart w:id="856" w:name="Tc_vbdGSNWStUKDi_62k3j8_w_11_6"/>
      <w:bookmarkStart w:id="857" w:name="Tc_dzTRiCjtYE-KEl8R3ctWaw_11_3"/>
      <w:bookmarkStart w:id="858" w:name="Tc_jrA_iR9hck-CnYFhdj1fng_11_1"/>
      <w:bookmarkStart w:id="859" w:name="Tc_CjRhL-Y_A0aLYHKjRdO_rg_11_0"/>
      <w:bookmarkStart w:id="860" w:name="Tc_aIovwQSU4EmcmSwadHK2UQ_10_0"/>
      <w:bookmarkStart w:id="861" w:name="Tc_6YoEpwaF30qM_lmfbQXHxw_9_12"/>
      <w:bookmarkStart w:id="862" w:name="Tc_kHY44ih1okODdjN9ue396Q_9_9"/>
      <w:bookmarkStart w:id="863" w:name="Tc_p8eYubDilEqHd0gZytfnOQ_9_6"/>
      <w:bookmarkStart w:id="864" w:name="Tc_ZRgQQ3u3LUmL61U2PSXj4g_9_3"/>
      <w:bookmarkStart w:id="865" w:name="Tc_j8CzK1tMG0yP7S5O0QEwNw_9_0"/>
      <w:bookmarkStart w:id="866" w:name="Tc_tYTDW-VhXEKFSXV2L8RXgw_8_1"/>
      <w:bookmarkStart w:id="867" w:name="Tc_xZIx08K04kK_gcPExJY1fw_8_0"/>
      <w:bookmarkStart w:id="868" w:name="Tc_Jry01GjqbUOV4KQlMl0Qpw_7_1"/>
      <w:bookmarkStart w:id="869" w:name="Tc_ULAub_mNJkelRM6jplnaEw_7_0"/>
      <w:bookmarkStart w:id="870" w:name="Tc_bcTBwKrzNUuWzYdMzN2ZRQ_6_1"/>
      <w:bookmarkStart w:id="871" w:name="Tc_OaVtbY1SpU6h0rdIN6b57g_6_0"/>
      <w:bookmarkStart w:id="872" w:name="Tc_1_zy5ZAMlU6YIMckO_zkCw_5_12"/>
      <w:bookmarkStart w:id="873" w:name="Tc_rdxAgc9Q3k2cOxrj8lFBkw_5_9"/>
      <w:bookmarkStart w:id="874" w:name="Tc_3pCaQ_nkvkC0V2PsqJPBoQ_5_6"/>
      <w:bookmarkStart w:id="875" w:name="Tc_QUDeaMSIuUOSMHZzL1rVzg_5_3"/>
      <w:bookmarkStart w:id="876" w:name="Tc_dQib7kvWUEaQ8Vg73sr5xw_5_1"/>
      <w:bookmarkStart w:id="877" w:name="Tc_0ICNsaj9vEey_7pslsHUTQ_5_0"/>
      <w:bookmarkStart w:id="878" w:name="Tc_szFKFvZKAUGfgnETPdy6Bg_4_3"/>
      <w:bookmarkStart w:id="879" w:name="Tc_eIjGfFO7102dWWp51CS0Ag_4_0"/>
      <w:bookmarkStart w:id="880" w:name="Tc_ZO36t0yFW0qVbkp-yeeHDQ_3_12"/>
      <w:bookmarkStart w:id="881" w:name="Tc_oyA6yAFJhkqgG8yy837O5w_3_9"/>
      <w:bookmarkStart w:id="882" w:name="Tc_NAzVU_N5DUexQsxbHveHhQ_3_6"/>
      <w:bookmarkStart w:id="883" w:name="Tc_ZLgOTsmWX0Cv07os7bQZLw_3_3"/>
      <w:bookmarkStart w:id="884" w:name="Tc_z6yiEno1hk6GRO4xSZCHZQ_3_1"/>
      <w:bookmarkStart w:id="885" w:name="Tc_z69gdX_9002BUv7bucAxow_3_0"/>
      <w:bookmarkStart w:id="886" w:name="Tc_4ov3F6z5h0KTCVoxEvd07w_2_9"/>
      <w:bookmarkStart w:id="887" w:name="Tc_NTB0EvDBH0iPhW43U_2FJg_2_3"/>
      <w:bookmarkStart w:id="888" w:name="Tc_up-TsUUnMEKAv0oPVObbiA_1_9"/>
      <w:bookmarkStart w:id="889" w:name="Tc_wli4reagX0OtQuRwQ0FoKg_1_3"/>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sz w:val="20"/>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Operating lease expense and depreciation and interest expense relating to our finance lease obligation are recognized within our Consolidated Statement of Operations for the three and six months ended June 30, 2025 and 2024 as follows:</w:t>
      </w:r>
    </w:p>
    <w:p>
      <w:pPr>
        <w:pStyle w:val="TextBody"/>
        <w:bidi w:val="0"/>
        <w:spacing w:lineRule="auto" w:line="256"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97"/>
        <w:gridCol w:w="3477"/>
        <w:gridCol w:w="131"/>
        <w:gridCol w:w="236"/>
        <w:gridCol w:w="617"/>
        <w:gridCol w:w="393"/>
        <w:gridCol w:w="236"/>
        <w:gridCol w:w="617"/>
        <w:gridCol w:w="393"/>
        <w:gridCol w:w="236"/>
        <w:gridCol w:w="617"/>
        <w:gridCol w:w="393"/>
        <w:gridCol w:w="236"/>
        <w:gridCol w:w="617"/>
        <w:gridCol w:w="146"/>
        <w:gridCol w:w="163"/>
      </w:tblGrid>
      <w:tr>
        <w:trPr/>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77595" cy="175260"/>
                      <wp:effectExtent l="0" t="0" r="0" b="0"/>
                      <wp:wrapNone/>
                      <wp:docPr id="96" name="Frame96"/>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207895" cy="175260"/>
                      <wp:effectExtent l="0" t="0" r="0" b="0"/>
                      <wp:wrapNone/>
                      <wp:docPr id="97" name="Frame97"/>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3185" cy="175260"/>
                      <wp:effectExtent l="0" t="0" r="0" b="0"/>
                      <wp:wrapNone/>
                      <wp:docPr id="98" name="Frame98"/>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9860" cy="175260"/>
                      <wp:effectExtent l="0" t="0" r="0" b="0"/>
                      <wp:wrapNone/>
                      <wp:docPr id="99" name="Frame9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1795" cy="175260"/>
                      <wp:effectExtent l="0" t="0" r="0" b="0"/>
                      <wp:wrapNone/>
                      <wp:docPr id="100" name="Frame100"/>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9555" cy="175260"/>
                      <wp:effectExtent l="0" t="0" r="0" b="0"/>
                      <wp:wrapNone/>
                      <wp:docPr id="101" name="Frame10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9860" cy="175260"/>
                      <wp:effectExtent l="0" t="0" r="0" b="0"/>
                      <wp:wrapNone/>
                      <wp:docPr id="102" name="Frame10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91795" cy="175260"/>
                      <wp:effectExtent l="0" t="0" r="0" b="0"/>
                      <wp:wrapNone/>
                      <wp:docPr id="103" name="Frame103"/>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9555" cy="175260"/>
                      <wp:effectExtent l="0" t="0" r="0" b="0"/>
                      <wp:wrapNone/>
                      <wp:docPr id="104" name="Frame10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9860" cy="175260"/>
                      <wp:effectExtent l="0" t="0" r="0" b="0"/>
                      <wp:wrapNone/>
                      <wp:docPr id="105" name="Frame10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91795" cy="175260"/>
                      <wp:effectExtent l="0" t="0" r="0" b="0"/>
                      <wp:wrapNone/>
                      <wp:docPr id="106" name="Frame106"/>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9555" cy="175260"/>
                      <wp:effectExtent l="0" t="0" r="0" b="0"/>
                      <wp:wrapNone/>
                      <wp:docPr id="107" name="Frame10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9860" cy="175260"/>
                      <wp:effectExtent l="0" t="0" r="0" b="0"/>
                      <wp:wrapNone/>
                      <wp:docPr id="108" name="Frame10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91795" cy="175260"/>
                      <wp:effectExtent l="0" t="0" r="0" b="0"/>
                      <wp:wrapNone/>
                      <wp:docPr id="109" name="Frame109"/>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2710" cy="175260"/>
                      <wp:effectExtent l="0" t="0" r="0" b="0"/>
                      <wp:wrapNone/>
                      <wp:docPr id="110" name="Frame1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03505" cy="175260"/>
                      <wp:effectExtent l="0" t="0" r="0" b="0"/>
                      <wp:wrapNone/>
                      <wp:docPr id="111" name="Frame111"/>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7" w:type="dxa"/>
            <w:tcBorders/>
            <w:vAlign w:val="center"/>
          </w:tcPr>
          <w:p>
            <w:pPr>
              <w:pStyle w:val="TableContents"/>
              <w:bidi w:val="0"/>
              <w:spacing w:before="0" w:after="0"/>
              <w:ind w:left="0" w:right="0" w:hanging="0"/>
              <w:jc w:val="left"/>
              <w:rPr/>
            </w:pPr>
            <w:r>
              <w:rPr/>
              <w:t>​</w:t>
            </w:r>
          </w:p>
        </w:tc>
        <w:tc>
          <w:tcPr>
            <w:tcW w:w="3477"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09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3" w:type="dxa"/>
            <w:tcBorders/>
            <w:vAlign w:val="center"/>
          </w:tcPr>
          <w:p>
            <w:pPr>
              <w:pStyle w:val="TableContents"/>
              <w:bidi w:val="0"/>
              <w:spacing w:before="0" w:after="0"/>
              <w:ind w:left="0" w:right="0" w:hanging="0"/>
              <w:jc w:val="left"/>
              <w:rPr/>
            </w:pPr>
            <w:r>
              <w:rPr/>
              <w:t>​</w:t>
            </w:r>
          </w:p>
        </w:tc>
        <w:tc>
          <w:tcPr>
            <w:tcW w:w="209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46"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pPr>
            <w:r>
              <w:rPr/>
              <w:t>​</w:t>
            </w:r>
          </w:p>
        </w:tc>
        <w:tc>
          <w:tcPr>
            <w:tcW w:w="3477"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0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46" w:type="dxa"/>
            <w:tcBorders/>
            <w:vAlign w:val="center"/>
          </w:tcPr>
          <w:p>
            <w:pPr>
              <w:pStyle w:val="TableContents"/>
              <w:bidi w:val="0"/>
              <w:spacing w:before="0" w:after="0"/>
              <w:ind w:left="0" w:right="0" w:hanging="0"/>
              <w:jc w:val="center"/>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cost</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31" w:type="dxa"/>
            <w:tcBorders/>
            <w:vAlign w:val="center"/>
          </w:tcPr>
          <w:p>
            <w:pPr>
              <w:pStyle w:val="TableContents"/>
              <w:bidi w:val="0"/>
              <w:spacing w:before="0" w:after="0"/>
              <w:ind w:left="0" w:right="0" w:hanging="0"/>
              <w:jc w:val="left"/>
              <w:rPr/>
            </w:pPr>
            <w:r>
              <w:rPr/>
              <w:t>​</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center"/>
              <w:rPr/>
            </w:pPr>
            <w:r>
              <w:rP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3" w:type="dxa"/>
            <w:tcBorders/>
            <w:vAlign w:val="center"/>
          </w:tcPr>
          <w:p>
            <w:pPr>
              <w:pStyle w:val="TableContents"/>
              <w:bidi w:val="0"/>
              <w:spacing w:before="0" w:after="0"/>
              <w:ind w:left="0" w:right="0" w:hanging="0"/>
              <w:jc w:val="center"/>
              <w:rPr/>
            </w:pPr>
            <w:r>
              <w:rP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center"/>
              <w:rPr/>
            </w:pPr>
            <w:r>
              <w:rPr/>
              <w:t>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69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lease cost</w:t>
            </w:r>
          </w:p>
        </w:tc>
        <w:tc>
          <w:tcPr>
            <w:tcW w:w="3477"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45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 services*</w:t>
            </w:r>
          </w:p>
        </w:tc>
        <w:tc>
          <w:tcPr>
            <w:tcW w:w="34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131"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1,694</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3,522</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4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31"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34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31"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31"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lease cost</w:t>
            </w:r>
          </w:p>
        </w:tc>
        <w:tc>
          <w:tcPr>
            <w:tcW w:w="3477"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2,685</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5,282</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Finance lease cost</w:t>
            </w:r>
          </w:p>
        </w:tc>
        <w:tc>
          <w:tcPr>
            <w:tcW w:w="3477"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leased assets</w:t>
            </w:r>
          </w:p>
        </w:tc>
        <w:tc>
          <w:tcPr>
            <w:tcW w:w="34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 Research and development, Sales and marketing and General and administrative</w:t>
            </w:r>
          </w:p>
        </w:tc>
        <w:tc>
          <w:tcPr>
            <w:tcW w:w="131"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on lease liabilities</w:t>
            </w:r>
          </w:p>
        </w:tc>
        <w:tc>
          <w:tcPr>
            <w:tcW w:w="34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31"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1,148</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2,384</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finance lease cost</w:t>
            </w:r>
          </w:p>
        </w:tc>
        <w:tc>
          <w:tcPr>
            <w:tcW w:w="3477"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1,469</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2,947</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3,027</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pPr>
            <w:r>
              <w:rPr/>
              <w:t>​</w:t>
            </w:r>
          </w:p>
        </w:tc>
        <w:tc>
          <w:tcPr>
            <w:tcW w:w="3477"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69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 cost</w:t>
            </w:r>
          </w:p>
        </w:tc>
        <w:tc>
          <w:tcPr>
            <w:tcW w:w="3477"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3,886</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4,193</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8,027</w:t>
            </w:r>
          </w:p>
        </w:tc>
        <w:tc>
          <w:tcPr>
            <w:tcW w:w="393"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8,309</w:t>
            </w:r>
          </w:p>
        </w:tc>
        <w:tc>
          <w:tcPr>
            <w:tcW w:w="1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r>
      <w:tr>
        <w:trPr/>
        <w:tc>
          <w:tcPr>
            <w:tcW w:w="1697" w:type="dxa"/>
            <w:tcBorders/>
            <w:vAlign w:val="center"/>
          </w:tcPr>
          <w:p>
            <w:pPr>
              <w:pStyle w:val="TableContents"/>
              <w:bidi w:val="0"/>
              <w:spacing w:before="0" w:after="0"/>
              <w:ind w:left="0" w:right="0" w:hanging="0"/>
              <w:jc w:val="left"/>
              <w:rPr/>
            </w:pPr>
            <w:r>
              <w:rPr/>
              <w:t>​</w:t>
            </w:r>
          </w:p>
        </w:tc>
        <w:tc>
          <w:tcPr>
            <w:tcW w:w="3477"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9896" w:type="dxa"/>
            <w:gridSpan w:val="14"/>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Product / services, sales and marketing and general and administrative expense also includes short-term lease and variable lease costs of approximately $0.4 million and $1.0 million for the three and six months ended June 30, 2025, respectively, and includes short-term lease and variable lease costs of approximately $0.7 million and $1.3 million for the three and six months ended June 30, 2024, respectively.</w:t>
            </w:r>
          </w:p>
        </w:tc>
        <w:tc>
          <w:tcPr>
            <w:tcW w:w="146"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lease of our corporate headquarters, shown below under finance leases, had an original lease term of 22 years, beginning in January 2015 and expiring in January 2037, with renewal options. All other locations are treated as operating leases, with lease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16 years. The tables below reflect the minimum cash outflow regarding our current lease obligations as well as the weighted-average remaining lease term and weighted-average discount rates used in our calculation of our lease obligations and right-of-use assets as of June 30, 2025: </w:t>
      </w:r>
    </w:p>
    <w:p>
      <w:pPr>
        <w:pStyle w:val="TextBody"/>
        <w:bidi w:val="0"/>
        <w:spacing w:before="0" w:after="0"/>
        <w:ind w:left="0" w:right="0" w:hanging="0"/>
        <w:jc w:val="left"/>
        <w:rPr/>
      </w:pPr>
      <w:r>
        <w:rPr/>
        <w:t>​</w:t>
      </w:r>
    </w:p>
    <w:tbl>
      <w:tblPr>
        <w:tblW w:w="10056" w:type="dxa"/>
        <w:jc w:val="left"/>
        <w:tblInd w:w="0" w:type="dxa"/>
        <w:tblLayout w:type="fixed"/>
        <w:tblCellMar>
          <w:top w:w="0" w:type="dxa"/>
          <w:left w:w="0" w:type="dxa"/>
          <w:bottom w:w="0" w:type="dxa"/>
          <w:right w:w="0" w:type="dxa"/>
        </w:tblCellMar>
      </w:tblPr>
      <w:tblGrid>
        <w:gridCol w:w="4883"/>
        <w:gridCol w:w="164"/>
        <w:gridCol w:w="296"/>
        <w:gridCol w:w="1091"/>
        <w:gridCol w:w="164"/>
        <w:gridCol w:w="296"/>
        <w:gridCol w:w="1091"/>
        <w:gridCol w:w="493"/>
        <w:gridCol w:w="296"/>
        <w:gridCol w:w="1091"/>
        <w:gridCol w:w="191"/>
      </w:tblGrid>
      <w:tr>
        <w:trPr/>
        <w:tc>
          <w:tcPr>
            <w:tcW w:w="4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100705" cy="175260"/>
                      <wp:effectExtent l="0" t="0" r="0" b="0"/>
                      <wp:wrapNone/>
                      <wp:docPr id="112" name="Frame112"/>
                      <a:graphic xmlns:a="http://schemas.openxmlformats.org/drawingml/2006/main">
                        <a:graphicData uri="http://schemas.microsoft.com/office/word/2010/wordprocessingShape">
                          <wps:wsp>
                            <wps:cNvSpPr txBox="1"/>
                            <wps:spPr>
                              <a:xfrm>
                                <a:off x="0" y="0"/>
                                <a:ext cx="310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04140" cy="175260"/>
                      <wp:effectExtent l="0" t="0" r="0" b="0"/>
                      <wp:wrapNone/>
                      <wp:docPr id="113" name="Frame113"/>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7960" cy="175260"/>
                      <wp:effectExtent l="0" t="0" r="0" b="0"/>
                      <wp:wrapNone/>
                      <wp:docPr id="114" name="Frame11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785" cy="175260"/>
                      <wp:effectExtent l="0" t="0" r="0" b="0"/>
                      <wp:wrapNone/>
                      <wp:docPr id="115" name="Frame115"/>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04140" cy="175260"/>
                      <wp:effectExtent l="0" t="0" r="0" b="0"/>
                      <wp:wrapNone/>
                      <wp:docPr id="116" name="Frame116"/>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7960" cy="175260"/>
                      <wp:effectExtent l="0" t="0" r="0" b="0"/>
                      <wp:wrapNone/>
                      <wp:docPr id="117" name="Frame11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785" cy="175260"/>
                      <wp:effectExtent l="0" t="0" r="0" b="0"/>
                      <wp:wrapNone/>
                      <wp:docPr id="118" name="Frame118"/>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13055" cy="175260"/>
                      <wp:effectExtent l="0" t="0" r="0" b="0"/>
                      <wp:wrapNone/>
                      <wp:docPr id="119" name="Frame119"/>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7960" cy="175260"/>
                      <wp:effectExtent l="0" t="0" r="0" b="0"/>
                      <wp:wrapNone/>
                      <wp:docPr id="120" name="Frame12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785" cy="175260"/>
                      <wp:effectExtent l="0" t="0" r="0" b="0"/>
                      <wp:wrapNone/>
                      <wp:docPr id="121" name="Frame121"/>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1285" cy="175260"/>
                      <wp:effectExtent l="0" t="0" r="0" b="0"/>
                      <wp:wrapNone/>
                      <wp:docPr id="122" name="Frame1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3"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493" w:type="dxa"/>
            <w:tcBorders/>
            <w:vAlign w:val="center"/>
          </w:tcPr>
          <w:p>
            <w:pPr>
              <w:pStyle w:val="TableContents"/>
              <w:bidi w:val="0"/>
              <w:spacing w:before="0" w:after="0"/>
              <w:ind w:left="0" w:right="0" w:hanging="0"/>
              <w:jc w:val="center"/>
              <w:rPr/>
            </w:pPr>
            <w:r>
              <w:rPr/>
              <w:t>    </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48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Maturity of Lease Liabilities</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493" w:type="dxa"/>
            <w:tcBorders/>
            <w:vAlign w:val="center"/>
          </w:tcPr>
          <w:p>
            <w:pPr>
              <w:pStyle w:val="TableContents"/>
              <w:bidi w:val="0"/>
              <w:spacing w:before="0" w:after="0"/>
              <w:ind w:left="0" w:right="0" w:hanging="0"/>
              <w:jc w:val="center"/>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91" w:type="dxa"/>
            <w:tcBorders/>
            <w:vAlign w:val="center"/>
          </w:tcPr>
          <w:p>
            <w:pPr>
              <w:pStyle w:val="TableContents"/>
              <w:bidi w:val="0"/>
              <w:spacing w:before="0" w:after="0"/>
              <w:ind w:left="0" w:right="0" w:hanging="0"/>
              <w:jc w:val="left"/>
              <w:rPr/>
            </w:pPr>
            <w:r>
              <w:rPr/>
              <w:t>​</w:t>
            </w:r>
          </w:p>
        </w:tc>
      </w:tr>
      <w:tr>
        <w:trPr/>
        <w:tc>
          <w:tcPr>
            <w:tcW w:w="1005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883"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48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2025</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2,950</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3,243</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2026</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6,008</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5,405</w:t>
            </w:r>
          </w:p>
        </w:tc>
        <w:tc>
          <w:tcPr>
            <w:tcW w:w="493"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11,413</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2027</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6,128</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3,597</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2028</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6,251</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2,478</w:t>
            </w:r>
          </w:p>
        </w:tc>
        <w:tc>
          <w:tcPr>
            <w:tcW w:w="493"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8,729</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2029</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6,376</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Thereafter</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48,960</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22,384</w:t>
            </w:r>
          </w:p>
        </w:tc>
        <w:tc>
          <w:tcPr>
            <w:tcW w:w="493"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71,344</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payments</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76,673</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39,385</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116,058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interest portion*</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(33,669)</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(10,448)</w:t>
            </w:r>
          </w:p>
        </w:tc>
        <w:tc>
          <w:tcPr>
            <w:tcW w:w="493"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(44,117)</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and operating lease obligations</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43,004</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28,937</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71,941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493"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865" w:type="dxa"/>
            <w:gridSpan w:val="1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Finance lease interest calculated using the implied interest rate; operating lease interest calculated using estimated corporate borrowing rate.</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above does not include options to renew lease terms that are not reasonably certain of being exercised.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90" w:name="Tc_xD4FIWvGr0OIFDitfME4tw_9_6"/>
      <w:bookmarkStart w:id="891" w:name="Tc_sdf_yxJ9YUe0Rjcd7_M_iA_9_3"/>
      <w:bookmarkStart w:id="892" w:name="Tc_FdOd48qGmUelro3XOnezNQ_9_0"/>
      <w:bookmarkStart w:id="893" w:name="Tc_6W_zVpnawk6sAtcGzRh4vQ_8_0"/>
      <w:bookmarkStart w:id="894" w:name="Tc_RdOlFRVyc0aFcVs63kwidQ_7_0"/>
      <w:bookmarkStart w:id="895" w:name="Tc_l86hVF70jUWEjXiNis1ehA_6_0"/>
      <w:bookmarkStart w:id="896" w:name="Tc_56FML9ko5kiNstiwE9EAlQ_5_5"/>
      <w:bookmarkStart w:id="897" w:name="Tc_kgKVL9WyukKfXBqWM3BOxw_5_2"/>
      <w:bookmarkStart w:id="898" w:name="Tc_-EmQnfy7_km0lFKMw741Lw_5_0"/>
      <w:bookmarkStart w:id="899" w:name="Tc_lqsKuxgJx0y5INSIAVMvEA_4_2"/>
      <w:bookmarkStart w:id="900" w:name="Tc_eoAIXXtiVEOxHFrumvTGJQ_3_5"/>
      <w:bookmarkStart w:id="901" w:name="Tc_ezAex0YdVUa_ceRGjOXL2Q_3_2"/>
      <w:bookmarkStart w:id="902" w:name="Tc_kUNwE0vg_UOBh1D_XD4mZg_3_0"/>
      <w:bookmarkStart w:id="903" w:name="Tc_zHV1adWp0UeIGqdmCwAe8A_2_2"/>
      <w:bookmarkStart w:id="904" w:name="Tc_2usM_8ouKE2URb_N9YSoLA_8_0"/>
      <w:bookmarkStart w:id="905" w:name="Tc_7RzDXSHS_U2Ix1kahrpCeg_7_0"/>
      <w:bookmarkStart w:id="906" w:name="Tc_Kh23XifB_kS7FAvVNH4qQg_6_0"/>
      <w:bookmarkStart w:id="907" w:name="Tc_pHI7B7dAjkiDjbYzkqqscw_5_0"/>
      <w:bookmarkStart w:id="908" w:name="Tc_NbAvPbE5FEq0BjI6t2V2jQ_4_0"/>
      <w:bookmarkStart w:id="909" w:name="Tc_DDR9CdAp3keXOwhveBDISQ_3_0"/>
      <w:bookmarkStart w:id="910" w:name="Tc_QE2L8l1TJkaArmkmYMRSOw_2_2"/>
      <w:bookmarkStart w:id="911" w:name="Tc_K4oYDfLQyUGgwvrvIrGzqA_2_0"/>
      <w:bookmarkStart w:id="912" w:name="Tc_Qk3U_znSLk6jxb3srTcXxQ_1_2"/>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r>
        <w:rPr/>
        <w:t>​</w:t>
      </w:r>
    </w:p>
    <w:tbl>
      <w:tblPr>
        <w:tblW w:w="4681" w:type="dxa"/>
        <w:jc w:val="left"/>
        <w:tblInd w:w="0" w:type="dxa"/>
        <w:tblLayout w:type="fixed"/>
        <w:tblCellMar>
          <w:top w:w="0" w:type="dxa"/>
          <w:left w:w="0" w:type="dxa"/>
          <w:bottom w:w="0" w:type="dxa"/>
          <w:right w:w="0" w:type="dxa"/>
        </w:tblCellMar>
      </w:tblPr>
      <w:tblGrid>
        <w:gridCol w:w="3436"/>
        <w:gridCol w:w="326"/>
        <w:gridCol w:w="159"/>
        <w:gridCol w:w="606"/>
        <w:gridCol w:w="154"/>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81860" cy="175260"/>
                      <wp:effectExtent l="0" t="0" r="0" b="0"/>
                      <wp:wrapNone/>
                      <wp:docPr id="123" name="Frame12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00965" cy="175260"/>
                      <wp:effectExtent l="0" t="0" r="0" b="0"/>
                      <wp:wrapNone/>
                      <wp:docPr id="125" name="Frame125"/>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4810" cy="175260"/>
                      <wp:effectExtent l="0" t="0" r="0" b="0"/>
                      <wp:wrapNone/>
                      <wp:docPr id="126" name="Frame126"/>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7" name="Frame1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term and discount rate</w:t>
            </w:r>
          </w:p>
        </w:tc>
        <w:tc>
          <w:tcPr>
            <w:tcW w:w="326" w:type="dxa"/>
            <w:tcBorders/>
            <w:vAlign w:val="center"/>
          </w:tcPr>
          <w:p>
            <w:pPr>
              <w:pStyle w:val="TableContents"/>
              <w:bidi w:val="0"/>
              <w:spacing w:before="0" w:after="0"/>
              <w:ind w:left="0" w:right="0" w:hanging="0"/>
              <w:jc w:val="center"/>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lease term (years):</w:t>
            </w:r>
          </w:p>
        </w:tc>
        <w:tc>
          <w:tcPr>
            <w:tcW w:w="326" w:type="dxa"/>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right"/>
              <w:rPr/>
            </w:pPr>
            <w:r>
              <w:rPr/>
              <w:t> </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11.6</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right"/>
              <w:rPr/>
            </w:pPr>
            <w:r>
              <w:rPr/>
              <w:t>​</w:t>
            </w:r>
          </w:p>
        </w:tc>
        <w:tc>
          <w:tcPr>
            <w:tcW w:w="606"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right"/>
              <w:rPr/>
            </w:pPr>
            <w:r>
              <w:rPr/>
              <w:t> </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5.5%</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right"/>
              <w:rPr/>
            </w:pPr>
            <w:r>
              <w:rPr/>
              <w:t> </w:t>
            </w:r>
          </w:p>
        </w:tc>
        <w:tc>
          <w:tcPr>
            <w:tcW w:w="60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six months ended June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931" w:type="dxa"/>
        <w:jc w:val="left"/>
        <w:tblInd w:w="0" w:type="dxa"/>
        <w:tblLayout w:type="fixed"/>
        <w:tblCellMar>
          <w:top w:w="0" w:type="dxa"/>
          <w:left w:w="0" w:type="dxa"/>
          <w:bottom w:w="0" w:type="dxa"/>
          <w:right w:w="0" w:type="dxa"/>
        </w:tblCellMar>
      </w:tblPr>
      <w:tblGrid>
        <w:gridCol w:w="5491"/>
        <w:gridCol w:w="326"/>
        <w:gridCol w:w="232"/>
        <w:gridCol w:w="605"/>
        <w:gridCol w:w="386"/>
        <w:gridCol w:w="232"/>
        <w:gridCol w:w="659"/>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486785" cy="175260"/>
                      <wp:effectExtent l="0" t="0" r="0" b="0"/>
                      <wp:wrapNone/>
                      <wp:docPr id="128" name="Frame128"/>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7320" cy="175260"/>
                      <wp:effectExtent l="0" t="0" r="0" b="0"/>
                      <wp:wrapNone/>
                      <wp:docPr id="130" name="Frame13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84175" cy="175260"/>
                      <wp:effectExtent l="0" t="0" r="0" b="0"/>
                      <wp:wrapNone/>
                      <wp:docPr id="131" name="Frame131"/>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45110" cy="175260"/>
                      <wp:effectExtent l="0" t="0" r="0" b="0"/>
                      <wp:wrapNone/>
                      <wp:docPr id="132" name="Frame13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7320" cy="175260"/>
                      <wp:effectExtent l="0" t="0" r="0" b="0"/>
                      <wp:wrapNone/>
                      <wp:docPr id="133" name="Frame13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18465" cy="175260"/>
                      <wp:effectExtent l="0" t="0" r="0" b="0"/>
                      <wp:wrapNone/>
                      <wp:docPr id="134" name="Frame134"/>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center"/>
              <w:rPr/>
            </w:pPr>
            <w:r>
              <w:rPr/>
              <w:t>​</w: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5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paid for amounts included in the measurement of lease liabilities</w:t>
            </w:r>
          </w:p>
        </w:tc>
        <w:tc>
          <w:tcPr>
            <w:tcW w:w="326" w:type="dxa"/>
            <w:tcBorders/>
            <w:vAlign w:val="center"/>
          </w:tcPr>
          <w:p>
            <w:pPr>
              <w:pStyle w:val="TableContents"/>
              <w:bidi w:val="0"/>
              <w:spacing w:before="0" w:after="0"/>
              <w:ind w:left="0" w:right="0" w:hanging="0"/>
              <w:jc w:val="center"/>
              <w:rPr/>
            </w:pPr>
            <w:r>
              <w:rPr/>
              <w:t>    </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6" w:type="dxa"/>
            <w:tcBorders/>
            <w:vAlign w:val="center"/>
          </w:tcPr>
          <w:p>
            <w:pPr>
              <w:pStyle w:val="TableContents"/>
              <w:bidi w:val="0"/>
              <w:spacing w:before="0" w:after="0"/>
              <w:ind w:left="0" w:right="0" w:hanging="0"/>
              <w:jc w:val="center"/>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93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w:t>
            </w:r>
          </w:p>
        </w:tc>
        <w:tc>
          <w:tcPr>
            <w:tcW w:w="38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5,282</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38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2,384</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38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obtained in exchange for operating lease liabilities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w:t>
            </w:r>
          </w:p>
        </w:tc>
        <w:tc>
          <w:tcPr>
            <w:tcW w:w="38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 </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 obtained in exchange for new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659" w:type="dxa"/>
            <w:tcBorders/>
            <w:shd w:fill="CCEEFF" w:val="clear"/>
            <w:vAlign w:val="center"/>
          </w:tcPr>
          <w:p>
            <w:pPr>
              <w:pStyle w:val="TableContents"/>
              <w:bidi w:val="0"/>
              <w:spacing w:before="0" w:after="0"/>
              <w:ind w:left="0" w:right="0" w:hanging="0"/>
              <w:jc w:val="right"/>
              <w:rPr/>
            </w:pPr>
            <w:r>
              <w:rPr/>
              <w:t>—</w: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13" w:name="Tc_iwbwkC_dZ0CviF12AjKhXg_7_11"/>
      <w:bookmarkStart w:id="914" w:name="Tc_Vju2Nn5LDkyA5UQ6qQ8xyQ_7_8"/>
      <w:bookmarkStart w:id="915" w:name="Tc_gnCoc56Lh0Ko6cdGQaSUZw_7_5"/>
      <w:bookmarkStart w:id="916" w:name="Tc_quq5Px2EYE-gcqQOm4ceCA_7_2"/>
      <w:bookmarkStart w:id="917" w:name="Tc_W8xxfH30YEe4A1meIC41Lg_7_0"/>
      <w:bookmarkStart w:id="918" w:name="Tc_atOhip-TaE27iziJpeO9wg_6_0"/>
      <w:bookmarkStart w:id="919" w:name="Tc_Au4EJH4_GEmyYEdrkW5OsA_5_11"/>
      <w:bookmarkStart w:id="920" w:name="Tc_s-sxpV3jvkSwAbcXa-NWQQ_5_8"/>
      <w:bookmarkStart w:id="921" w:name="Tc_6skkiCgeR0KE_X3zhItbiA_5_5"/>
      <w:bookmarkStart w:id="922" w:name="Tc_rkU0gm9fLUGKvBlK3Z-ujA_5_2"/>
      <w:bookmarkStart w:id="923" w:name="Tc_G-uFo8Wbe0Gf85aQje4SZg_5_0"/>
      <w:bookmarkStart w:id="924" w:name="Tc_vVkXTxc7HEWRq5O9SRUDrA_4_2"/>
      <w:bookmarkStart w:id="925" w:name="Tc_5SNOgv309EaDT6z-puC3VQ_3_11"/>
      <w:bookmarkStart w:id="926" w:name="Tc__urtRd9MSUur6TW5teBWhQ_3_8"/>
      <w:bookmarkStart w:id="927" w:name="Tc_22FXwiC3gUyfpmHZNTA5xA_3_5"/>
      <w:bookmarkStart w:id="928" w:name="Tc_H1DVe2dtd0u2YFlugQTzcg_3_2"/>
      <w:bookmarkStart w:id="929" w:name="Tc_jPWZcSfo3UG861U05Dgw0A_2_8"/>
      <w:bookmarkStart w:id="930" w:name="Tc_h4OI4AgZ20eff0imh-4QuQ_2_2"/>
      <w:bookmarkStart w:id="931" w:name="Tc_hjgEKXOUKkapuJY6N8wDoQ_1_8"/>
      <w:bookmarkStart w:id="932" w:name="Tc_lrM45Eu6UUC8Ql715CyPyw_1_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b/>
          <w:sz w:val="20"/>
        </w:rPr>
        <w:t>Note 5. Revenue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by categories used by management are as follows:</w:t>
      </w:r>
    </w:p>
    <w:p>
      <w:pPr>
        <w:pStyle w:val="TextBody"/>
        <w:bidi w:val="0"/>
        <w:spacing w:before="0" w:after="0"/>
        <w:ind w:left="0" w:right="0" w:hanging="0"/>
        <w:jc w:val="left"/>
        <w:rPr/>
      </w:pPr>
      <w:r>
        <w:rPr/>
        <w:t>​</w:t>
      </w:r>
    </w:p>
    <w:tbl>
      <w:tblPr>
        <w:tblW w:w="5410" w:type="dxa"/>
        <w:jc w:val="left"/>
        <w:tblInd w:w="0" w:type="dxa"/>
        <w:tblLayout w:type="fixed"/>
        <w:tblCellMar>
          <w:top w:w="0" w:type="dxa"/>
          <w:left w:w="0" w:type="dxa"/>
          <w:bottom w:w="0" w:type="dxa"/>
          <w:right w:w="0" w:type="dxa"/>
        </w:tblCellMar>
      </w:tblPr>
      <w:tblGrid>
        <w:gridCol w:w="1141"/>
        <w:gridCol w:w="109"/>
        <w:gridCol w:w="196"/>
        <w:gridCol w:w="736"/>
        <w:gridCol w:w="109"/>
        <w:gridCol w:w="196"/>
        <w:gridCol w:w="736"/>
        <w:gridCol w:w="109"/>
        <w:gridCol w:w="196"/>
        <w:gridCol w:w="736"/>
        <w:gridCol w:w="109"/>
        <w:gridCol w:w="196"/>
        <w:gridCol w:w="84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24535" cy="175260"/>
                      <wp:effectExtent l="0" t="0" r="0" b="0"/>
                      <wp:wrapNone/>
                      <wp:docPr id="135" name="Frame13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37"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8" name="Frame1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40"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67360" cy="175260"/>
                      <wp:effectExtent l="0" t="0" r="0" b="0"/>
                      <wp:wrapNone/>
                      <wp:docPr id="141" name="Frame1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67360" cy="175260"/>
                      <wp:effectExtent l="0" t="0" r="0" b="0"/>
                      <wp:wrapNone/>
                      <wp:docPr id="144" name="Frame1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34035" cy="175260"/>
                      <wp:effectExtent l="0" t="0" r="0" b="0"/>
                      <wp:wrapNone/>
                      <wp:docPr id="147" name="Frame14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0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20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1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6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Systems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133,288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198,645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270,897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394,076 </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Aftermarket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61,256</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57,867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116,210</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114,807</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194,544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256,512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387,107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508,883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33" w:name="Tc_f9PgwprkKEuDD4-Gvc1Y_A_9_11"/>
      <w:bookmarkStart w:id="934" w:name="Tc_5wkCzduCW0uFYKZ8TQlbbQ_9_8"/>
      <w:bookmarkStart w:id="935" w:name="Tc_XUsSPJzKcEqHZAt_thvo4g_9_5"/>
      <w:bookmarkStart w:id="936" w:name="Tc_6ZXCQigwB0qa1BDIbX3Jhg_9_2"/>
      <w:bookmarkStart w:id="937" w:name="Tc_6gjj77tJg0GGWBFEixhpVA_9_0"/>
      <w:bookmarkStart w:id="938" w:name="Tc_XRz22PBatkirQlvnDZjAxQ_8_0"/>
      <w:bookmarkStart w:id="939" w:name="Tc_hEtK2lHHA0ebsYfRIBVwaw_7_0"/>
      <w:bookmarkStart w:id="940" w:name="Tc_tWoyMlZIwUSanRHuETQvSA_6_0"/>
      <w:bookmarkStart w:id="941" w:name="Tc_OV_uVeNoN0K7G59oe2A6Nw_5_11"/>
      <w:bookmarkStart w:id="942" w:name="Tc_v6UlKVQNuEiY4fVYMN3_4Q_5_8"/>
      <w:bookmarkStart w:id="943" w:name="Tc_XEoNWZtrJ0yGNnGSKB06Sw_5_5"/>
      <w:bookmarkStart w:id="944" w:name="Tc_yfSfOzrUjESADwEc-d5diw_5_2"/>
      <w:bookmarkStart w:id="945" w:name="Tc_UgpKtgyFTUeVM3RGMltBWw_5_0"/>
      <w:bookmarkStart w:id="946" w:name="Tc_GNbtIkoCdkalvfnvfQkiLw_4_2"/>
      <w:bookmarkStart w:id="947" w:name="Tc_zJrtYQqm20enovniIRF3YA_3_11"/>
      <w:bookmarkStart w:id="948" w:name="Tc_az_sTmsmfkeg-VDUpzI-Ew_3_8"/>
      <w:bookmarkStart w:id="949" w:name="Tc_TXKt3CSvM0Klu6jgZXQhWQ_3_5"/>
      <w:bookmarkStart w:id="950" w:name="Tc_3Yig9WUQGECRB5MDaJbFxg_3_2"/>
      <w:bookmarkStart w:id="951" w:name="Tc_bfMm3C3ZmUyQWUFRUy_HMQ_2_8"/>
      <w:bookmarkStart w:id="952" w:name="Tc_23deMCoTIEeUTNrSGxjzeQ_2_2"/>
      <w:bookmarkStart w:id="953" w:name="Tc_0BPvW-BpFkeOPyxTCZd_ag_1_8"/>
      <w:bookmarkStart w:id="954" w:name="Tc_8_icItDpiUShdQUmD2BDLw_1_2"/>
      <w:bookmarkStart w:id="955" w:name="_2e5a57d7_0637_4587_9f1d_d030f2861869"/>
      <w:bookmarkStart w:id="956" w:name="Tc_mcOMlxCIrEG9rTWMfgGHKg_4_5"/>
      <w:bookmarkStart w:id="957" w:name="Tc_JheAwvWt3U6LAXJV5GfhNA_4_2"/>
      <w:bookmarkStart w:id="958" w:name="Tc_QO2AwMBMP0uisYwgkgwHIw_4_0"/>
      <w:bookmarkStart w:id="959" w:name="Tc_tmOdaPH2yEWHy46qpF51OQ_3_2"/>
      <w:bookmarkStart w:id="960" w:name="Tc_pYxkT6lelEiAqQK0ZRFjcQ_2_5"/>
      <w:bookmarkStart w:id="961" w:name="Tc_olNKvjoSB0m4M1ZvZC07OA_2_2"/>
      <w:bookmarkStart w:id="962" w:name="Tc_xHB4pIVxXUCad2-zYqTrrw_1_5"/>
      <w:bookmarkStart w:id="963" w:name="Tc_otDX1VGiGUe2O7Hre9r7uw_1_2"/>
      <w:bookmarkStart w:id="964" w:name="_7247dc7e_7639_47af_a371_764497dc934b"/>
      <w:bookmarkStart w:id="965" w:name="Tc_-Eo2yZgSp0qiX5IB6F4zIw_8_11"/>
      <w:bookmarkStart w:id="966" w:name="Tc_gMolhxCuPkmJvHgcmc0JjQ_8_8"/>
      <w:bookmarkStart w:id="967" w:name="Tc_bLKuZG86Ukm4GVLcrhS4Hw_8_5"/>
      <w:bookmarkStart w:id="968" w:name="Tc_i2UreodYEE-Kp0zXJRhGNw_8_2"/>
      <w:bookmarkStart w:id="969" w:name="Tc_-IMvs6GxU0uAxTrdecfvgg_8_0"/>
      <w:bookmarkStart w:id="970" w:name="Tc_YuhtKuKm70KUMHjpbQtbZg_7_0"/>
      <w:bookmarkStart w:id="971" w:name="Tc_NxsRzZuEPEKXOugaPdjSjA_6_0"/>
      <w:bookmarkStart w:id="972" w:name="Tc_-ggl9hI1XkSI7gku_765vw_5_11"/>
      <w:bookmarkStart w:id="973" w:name="Tc_BhJrho2ELkiTBeRkOpa32Q_5_8"/>
      <w:bookmarkStart w:id="974" w:name="Tc_1BKnjts-fUKNwpyns3QGxg_5_5"/>
      <w:bookmarkStart w:id="975" w:name="Tc_igQeKOCYWUu8GxKumWURiA_5_2"/>
      <w:bookmarkStart w:id="976" w:name="Tc_yfGjzlAaAE60MKm1Zho0IQ_5_0"/>
      <w:bookmarkStart w:id="977" w:name="Tc_WWB-r8Z6J0iGGXCiYI_g3Q_4_2"/>
      <w:bookmarkStart w:id="978" w:name="Tc_EBZUraYQXkmQhUb-oVUTkA_3_11"/>
      <w:bookmarkStart w:id="979" w:name="Tc_DK5WYq3WtUCCYEHCn5SloA_3_8"/>
      <w:bookmarkStart w:id="980" w:name="Tc_w5Qom3e5wUSjCBzlvZG75g_3_5"/>
      <w:bookmarkStart w:id="981" w:name="Tc_TYZ2JgGUT0akvki_bnJXOg_3_2"/>
      <w:bookmarkStart w:id="982" w:name="Tc_JjLHeFuN5kajmsV9wl8_1w_2_8"/>
      <w:bookmarkStart w:id="983" w:name="Tc_ljD8bfRkuUiYIs9dkUZegQ_2_2"/>
      <w:bookmarkStart w:id="984" w:name="Tc_oxwNHlK5OEquZcySYVkNGQ_1_8"/>
      <w:bookmarkStart w:id="985" w:name="Tc_g7LqOX-wnkuOfBxvKK4q4w_1_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sz w:val="20"/>
        </w:rPr>
        <w:t>We also consider revenue by geography. Revenue is allocated to geographic markets based upon the location to which our products are shipped and in which our services are performed. Revenue in our principal geographic markets is as follows:</w:t>
      </w:r>
    </w:p>
    <w:p>
      <w:pPr>
        <w:pStyle w:val="TextBody"/>
        <w:bidi w:val="0"/>
        <w:spacing w:before="0" w:after="0"/>
        <w:ind w:left="0" w:right="0" w:hanging="0"/>
        <w:jc w:val="left"/>
        <w:rPr/>
      </w:pPr>
      <w:r>
        <w:rPr/>
        <w:t>​</w:t>
      </w:r>
    </w:p>
    <w:tbl>
      <w:tblPr>
        <w:tblW w:w="5320" w:type="dxa"/>
        <w:jc w:val="left"/>
        <w:tblInd w:w="0" w:type="dxa"/>
        <w:tblLayout w:type="fixed"/>
        <w:tblCellMar>
          <w:top w:w="0" w:type="dxa"/>
          <w:left w:w="0" w:type="dxa"/>
          <w:bottom w:w="0" w:type="dxa"/>
          <w:right w:w="0" w:type="dxa"/>
        </w:tblCellMar>
      </w:tblPr>
      <w:tblGrid>
        <w:gridCol w:w="1231"/>
        <w:gridCol w:w="109"/>
        <w:gridCol w:w="196"/>
        <w:gridCol w:w="691"/>
        <w:gridCol w:w="109"/>
        <w:gridCol w:w="196"/>
        <w:gridCol w:w="691"/>
        <w:gridCol w:w="109"/>
        <w:gridCol w:w="196"/>
        <w:gridCol w:w="691"/>
        <w:gridCol w:w="109"/>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81685" cy="175260"/>
                      <wp:effectExtent l="0" t="0" r="0" b="0"/>
                      <wp:wrapNone/>
                      <wp:docPr id="148" name="Frame14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8785" cy="175260"/>
                      <wp:effectExtent l="0" t="0" r="0" b="0"/>
                      <wp:wrapNone/>
                      <wp:docPr id="151" name="Frame1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3" name="Frame1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260"/>
                      <wp:effectExtent l="0" t="0" r="0" b="0"/>
                      <wp:wrapNone/>
                      <wp:docPr id="154" name="Frame1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6" name="Frame1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57"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59" name="Frame1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05460" cy="175260"/>
                      <wp:effectExtent l="0" t="0" r="0" b="0"/>
                      <wp:wrapNone/>
                      <wp:docPr id="160" name="Frame1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9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2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8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North America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34,223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74,748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79,876</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 Pacific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145,628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196,159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280,053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384,376</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Europe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44,631</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194,544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256,512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387,107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508,883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system sales revenue transactions give rise to contract liabilities (in the case of pre-payments and the fair value of goods and services to be delivered after the system delivery, such as installation and certain warranty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are as follows:</w:t>
      </w:r>
    </w:p>
    <w:p>
      <w:pPr>
        <w:pStyle w:val="TextBody"/>
        <w:bidi w:val="0"/>
        <w:spacing w:before="0" w:after="0"/>
        <w:ind w:left="0" w:right="0" w:hanging="0"/>
        <w:jc w:val="left"/>
        <w:rPr/>
      </w:pPr>
      <w:r>
        <w:rPr/>
        <w:t>​</w:t>
      </w:r>
    </w:p>
    <w:tbl>
      <w:tblPr>
        <w:tblW w:w="3686" w:type="dxa"/>
        <w:jc w:val="left"/>
        <w:tblInd w:w="0" w:type="dxa"/>
        <w:tblLayout w:type="fixed"/>
        <w:tblCellMar>
          <w:top w:w="0" w:type="dxa"/>
          <w:left w:w="0" w:type="dxa"/>
          <w:bottom w:w="0" w:type="dxa"/>
          <w:right w:w="0" w:type="dxa"/>
        </w:tblCellMar>
      </w:tblPr>
      <w:tblGrid>
        <w:gridCol w:w="1396"/>
        <w:gridCol w:w="109"/>
        <w:gridCol w:w="196"/>
        <w:gridCol w:w="691"/>
        <w:gridCol w:w="109"/>
        <w:gridCol w:w="249"/>
        <w:gridCol w:w="93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86460" cy="175260"/>
                      <wp:effectExtent l="0" t="0" r="0" b="0"/>
                      <wp:wrapNone/>
                      <wp:docPr id="161" name="Frame16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3"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8785" cy="175260"/>
                      <wp:effectExtent l="0" t="0" r="0" b="0"/>
                      <wp:wrapNone/>
                      <wp:docPr id="164" name="Frame1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58115" cy="175260"/>
                      <wp:effectExtent l="0" t="0" r="0" b="0"/>
                      <wp:wrapNone/>
                      <wp:docPr id="166" name="Frame16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4360" cy="175260"/>
                      <wp:effectExtent l="0" t="0" r="0" b="0"/>
                      <wp:wrapNone/>
                      <wp:docPr id="167" name="Frame167"/>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8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129,742</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138,174</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752" w:type="dxa"/>
        <w:jc w:val="left"/>
        <w:tblInd w:w="0" w:type="dxa"/>
        <w:tblLayout w:type="fixed"/>
        <w:tblCellMar>
          <w:top w:w="0" w:type="dxa"/>
          <w:left w:w="0" w:type="dxa"/>
          <w:bottom w:w="0" w:type="dxa"/>
          <w:right w:w="0" w:type="dxa"/>
        </w:tblCellMar>
      </w:tblPr>
      <w:tblGrid>
        <w:gridCol w:w="2416"/>
        <w:gridCol w:w="109"/>
        <w:gridCol w:w="196"/>
        <w:gridCol w:w="721"/>
        <w:gridCol w:w="109"/>
        <w:gridCol w:w="196"/>
        <w:gridCol w:w="721"/>
        <w:gridCol w:w="266"/>
        <w:gridCol w:w="196"/>
        <w:gridCol w:w="721"/>
        <w:gridCol w:w="109"/>
        <w:gridCol w:w="196"/>
        <w:gridCol w:w="79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34160" cy="175260"/>
                      <wp:effectExtent l="0" t="0" r="0" b="0"/>
                      <wp:wrapNone/>
                      <wp:docPr id="168" name="Frame168"/>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57835" cy="175260"/>
                      <wp:effectExtent l="0" t="0" r="0" b="0"/>
                      <wp:wrapNone/>
                      <wp:docPr id="171" name="Frame1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57835" cy="175260"/>
                      <wp:effectExtent l="0" t="0" r="0" b="0"/>
                      <wp:wrapNone/>
                      <wp:docPr id="174" name="Frame1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8910" cy="175260"/>
                      <wp:effectExtent l="0" t="0" r="0" b="0"/>
                      <wp:wrapNone/>
                      <wp:docPr id="175" name="Frame1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57835" cy="175260"/>
                      <wp:effectExtent l="0" t="0" r="0" b="0"/>
                      <wp:wrapNone/>
                      <wp:docPr id="177" name="Frame17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5460" cy="175260"/>
                      <wp:effectExtent l="0" t="0" r="0" b="0"/>
                      <wp:wrapNone/>
                      <wp:docPr id="180" name="Frame1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66" w:type="dxa"/>
            <w:tcBorders/>
            <w:vAlign w:val="center"/>
          </w:tcPr>
          <w:p>
            <w:pPr>
              <w:pStyle w:val="TableContents"/>
              <w:bidi w:val="0"/>
              <w:spacing w:before="0" w:after="0"/>
              <w:ind w:left="0" w:right="0" w:hanging="0"/>
              <w:jc w:val="left"/>
              <w:rPr/>
            </w:pPr>
            <w:r>
              <w:rPr/>
              <w:t>​</w:t>
            </w:r>
          </w:p>
        </w:tc>
        <w:tc>
          <w:tcPr>
            <w:tcW w:w="2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66" w:type="dxa"/>
            <w:tcBorders/>
            <w:vAlign w:val="center"/>
          </w:tcPr>
          <w:p>
            <w:pPr>
              <w:pStyle w:val="TableContents"/>
              <w:bidi w:val="0"/>
              <w:spacing w:before="0" w:after="0"/>
              <w:ind w:left="0" w:right="0" w:hanging="0"/>
              <w:jc w:val="left"/>
              <w:rPr/>
            </w:pPr>
            <w:r>
              <w:rPr/>
              <w:t>   </w:t>
            </w:r>
          </w:p>
        </w:tc>
        <w:tc>
          <w:tcPr>
            <w:tcW w:w="2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26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5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2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139,324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208,418</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138,174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210,885</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Deferral of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29,047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24,341</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59,943</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adjustments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(4,716)</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(4,716)</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Recognition of deferred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(36,356)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(54,032)</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(48,367)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(92,101)</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174,011</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174,011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Adjustment to contracts with customers are assessed to determine if amounts paid by customers represent deferred revenue or liabilities payable to customers and will reclassify such amounts pursuant to our revenue recognition policy and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6.  Receivables and Allowances for Credit Losses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All trade receivables are reported on the consolidated balance sheets at their amortized cost adjusted for any write-offs and net of allowances for credit losses.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have any allowance or incur any credit losses or </w:t>
      </w:r>
      <w:r>
        <w:rPr>
          <w:rFonts w:ascii="Times New Roman;Times;serif" w:hAnsi="Times New Roman;Times;serif"/>
          <w:b w:val="false"/>
          <w:i w:val="false"/>
          <w:caps w:val="false"/>
          <w:smallCaps w:val="false"/>
          <w:sz w:val="20"/>
        </w:rPr>
        <w:t>recoveries</w:t>
      </w:r>
      <w:r>
        <w:rPr>
          <w:rFonts w:ascii="Times New Roman;Times;serif" w:hAnsi="Times New Roman;Times;serif"/>
          <w:sz w:val="20"/>
        </w:rPr>
        <w:t xml:space="preserve"> for the three and six month periods ended June 30, 2025. We did not have any allowance or incur any credit losses or </w:t>
      </w:r>
      <w:r>
        <w:rPr>
          <w:rFonts w:ascii="Times New Roman;Times;serif" w:hAnsi="Times New Roman;Times;serif"/>
          <w:b w:val="false"/>
          <w:i w:val="false"/>
          <w:caps w:val="false"/>
          <w:smallCaps w:val="false"/>
          <w:sz w:val="20"/>
        </w:rPr>
        <w:t>recoveries</w:t>
      </w:r>
      <w:r>
        <w:rPr>
          <w:rFonts w:ascii="Times New Roman;Times;serif" w:hAnsi="Times New Roman;Times;serif"/>
          <w:sz w:val="20"/>
        </w:rPr>
        <w:t xml:space="preserve"> for the three month period ended June 30, 2024. We recorded $0.5 million of recovery of bad debt expense for the six month period ended June 30, 2024. As of both June 30, 2025 and June 30, 2024, we had no provision for credit losses.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986" w:name="Tc_lQ3gzolHUkSNaBqz0M4RTg_11_11"/>
      <w:bookmarkStart w:id="987" w:name="Tc_KA-pBJmlFEyNyc270mGoLg_11_8"/>
      <w:bookmarkStart w:id="988" w:name="Tc_gzLcXXCB2kS1s_HW6V-aGg_11_5"/>
      <w:bookmarkStart w:id="989" w:name="Tc_v94Ds66EDk2YQcisVIFnPw_11_2"/>
      <w:bookmarkStart w:id="990" w:name="Tc_-uv-V9lwHk2zXRSouX4Fog_11_0"/>
      <w:bookmarkStart w:id="991" w:name="Tc_uhA2zeVfnECAiby263OBPw_10_11"/>
      <w:bookmarkStart w:id="992" w:name="Tc_u6ddfOXvJ0yo9Js6YbrIBQ_10_8"/>
      <w:bookmarkStart w:id="993" w:name="Tc_J62GjvurnUW3bN53JWdhxg_10_5"/>
      <w:bookmarkStart w:id="994" w:name="Tc_euSKoE3rhUmjBR6MaZ9iGQ_10_2"/>
      <w:bookmarkStart w:id="995" w:name="Tc_HukJEylkXk2-jEpzvnxuUA_10_0"/>
      <w:bookmarkStart w:id="996" w:name="Tc_xU27x9d8nUmolsBC85DY6w_9_0"/>
      <w:bookmarkStart w:id="997" w:name="Tc_uch3Q1ywrEC7CujmlLvsJQ_8_0"/>
      <w:bookmarkStart w:id="998" w:name="Tc_JWVjDMASD0qZnOmZa2xamQ_7_0"/>
      <w:bookmarkStart w:id="999" w:name="Tc_Pal1wdPwpUaGV5lx2gH7YA_6_0"/>
      <w:bookmarkStart w:id="1000" w:name="Tc_sxKwi4R1bEaq68fY00louw_5_11"/>
      <w:bookmarkStart w:id="1001" w:name="Tc_sP6ZjFxo4E6LWQRpFeAMPA_5_8"/>
      <w:bookmarkStart w:id="1002" w:name="Tc_tq-gxZc51UO3FOlKwqOQPA_5_5"/>
      <w:bookmarkStart w:id="1003" w:name="Tc_nuaOn9p15E6GXJoStoDorw_5_2"/>
      <w:bookmarkStart w:id="1004" w:name="Tc_VPslfwViT0CtRltajglMgA_5_0"/>
      <w:bookmarkStart w:id="1005" w:name="Tc_8vJ1d6QdVECipezI7_-CVw_4_2"/>
      <w:bookmarkStart w:id="1006" w:name="Tc_ByxtLiA4CEO3xs9bKewpdg_3_11"/>
      <w:bookmarkStart w:id="1007" w:name="Tc_CvIulQxVy0W5A-CdUBqsQQ_3_8"/>
      <w:bookmarkStart w:id="1008" w:name="Tc_VH7_3NTBPkicFoSLbF_Gng_3_5"/>
      <w:bookmarkStart w:id="1009" w:name="Tc_DGaPaJ6DJUyG-zTHkutMwg_3_2"/>
      <w:bookmarkStart w:id="1010" w:name="Tc_GvTmHU3fQ0y8pPgEvWavgA_2_8"/>
      <w:bookmarkStart w:id="1011" w:name="Tc_LhC-7gDwbE2jzF5paZO20g_2_2"/>
      <w:bookmarkStart w:id="1012" w:name="Tc_HyL4pTY7Vk6Ibbpv59lbiw_1_8"/>
      <w:bookmarkStart w:id="1013" w:name="Tc_R7yEWMcOZU-ja5nDCWc36w_1_2"/>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b/>
          <w:sz w:val="20"/>
        </w:rPr>
        <w:t>Note 7.  Computation of Net Earnings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vesting of RSUs had been issued, calculated using the treasury stock method. </w:t>
      </w:r>
    </w:p>
    <w:p>
      <w:pPr>
        <w:pStyle w:val="TextBody"/>
        <w:bidi w:val="0"/>
        <w:spacing w:before="0" w:after="0"/>
        <w:ind w:left="0" w:right="0" w:firstLine="547"/>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earnings per share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252"/>
        <w:gridCol w:w="326"/>
        <w:gridCol w:w="196"/>
        <w:gridCol w:w="601"/>
        <w:gridCol w:w="326"/>
        <w:gridCol w:w="196"/>
        <w:gridCol w:w="601"/>
        <w:gridCol w:w="326"/>
        <w:gridCol w:w="196"/>
        <w:gridCol w:w="601"/>
        <w:gridCol w:w="326"/>
        <w:gridCol w:w="196"/>
        <w:gridCol w:w="691"/>
        <w:gridCol w:w="371"/>
      </w:tblGrid>
      <w:tr>
        <w:trPr/>
        <w:tc>
          <w:tcPr>
            <w:tcW w:w="5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35020" cy="175260"/>
                      <wp:effectExtent l="0" t="0" r="0" b="0"/>
                      <wp:wrapNone/>
                      <wp:docPr id="181" name="Frame181"/>
                      <a:graphic xmlns:a="http://schemas.openxmlformats.org/drawingml/2006/main">
                        <a:graphicData uri="http://schemas.microsoft.com/office/word/2010/wordprocessingShape">
                          <wps:wsp>
                            <wps:cNvSpPr txBox="1"/>
                            <wps:spPr>
                              <a:xfrm>
                                <a:off x="0" y="0"/>
                                <a:ext cx="333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81635" cy="175260"/>
                      <wp:effectExtent l="0" t="0" r="0" b="0"/>
                      <wp:wrapNone/>
                      <wp:docPr id="184" name="Frame1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1635" cy="175260"/>
                      <wp:effectExtent l="0" t="0" r="0" b="0"/>
                      <wp:wrapNone/>
                      <wp:docPr id="187" name="Frame1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81635" cy="175260"/>
                      <wp:effectExtent l="0" t="0" r="0" b="0"/>
                      <wp:wrapNone/>
                      <wp:docPr id="190" name="Frame19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4460" cy="175260"/>
                      <wp:effectExtent l="0" t="0" r="0" b="0"/>
                      <wp:wrapNone/>
                      <wp:docPr id="192" name="Frame1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38785" cy="175260"/>
                      <wp:effectExtent l="0" t="0" r="0" b="0"/>
                      <wp:wrapNone/>
                      <wp:docPr id="193"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35585" cy="175260"/>
                      <wp:effectExtent l="0" t="0" r="0" b="0"/>
                      <wp:wrapNone/>
                      <wp:docPr id="194" name="Frame19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0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center"/>
              <w:rPr/>
            </w:pPr>
            <w:r>
              <w:rPr/>
              <w:t>​</w:t>
            </w:r>
          </w:p>
        </w:tc>
      </w:tr>
      <w:tr>
        <w:trPr/>
        <w:tc>
          <w:tcPr>
            <w:tcW w:w="52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center"/>
              <w:rPr/>
            </w:pPr>
            <w:r>
              <w:rPr/>
              <w:t>​</w:t>
            </w:r>
          </w:p>
        </w:tc>
        <w:tc>
          <w:tcPr>
            <w:tcW w:w="2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71" w:type="dxa"/>
            <w:tcBorders/>
            <w:vAlign w:val="center"/>
          </w:tcPr>
          <w:p>
            <w:pPr>
              <w:pStyle w:val="TableContents"/>
              <w:bidi w:val="0"/>
              <w:spacing w:before="0" w:after="0"/>
              <w:ind w:left="0" w:right="0" w:hanging="0"/>
              <w:jc w:val="center"/>
              <w:rPr/>
            </w:pPr>
            <w:r>
              <w:rPr/>
              <w:t>​</w:t>
            </w:r>
          </w:p>
        </w:tc>
      </w:tr>
      <w:tr>
        <w:trPr/>
        <w:tc>
          <w:tcPr>
            <w:tcW w:w="52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2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5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 thousands, except per share amounts) </w:t>
            </w:r>
          </w:p>
        </w:tc>
        <w:tc>
          <w:tcPr>
            <w:tcW w:w="371" w:type="dxa"/>
            <w:tcBorders/>
            <w:vAlign w:val="center"/>
          </w:tcPr>
          <w:p>
            <w:pPr>
              <w:pStyle w:val="TableContents"/>
              <w:bidi w:val="0"/>
              <w:spacing w:before="0" w:after="0"/>
              <w:ind w:left="0" w:right="0" w:hanging="0"/>
              <w:jc w:val="center"/>
              <w:rPr/>
            </w:pPr>
            <w:r>
              <w:rPr/>
              <w:t>​</w:t>
            </w:r>
          </w:p>
        </w:tc>
      </w:tr>
      <w:tr>
        <w:trPr/>
        <w:tc>
          <w:tcPr>
            <w:tcW w:w="5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102,460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of common stock outstanding used in computing basic income per share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32,618</w:t>
            </w:r>
          </w:p>
        </w:tc>
        <w:tc>
          <w:tcPr>
            <w:tcW w:w="371" w:type="dxa"/>
            <w:tcBorders/>
            <w:vAlign w:val="center"/>
          </w:tcPr>
          <w:p>
            <w:pPr>
              <w:pStyle w:val="TableContents"/>
              <w:bidi w:val="0"/>
              <w:spacing w:before="0" w:after="0"/>
              <w:ind w:left="0" w:right="0" w:hanging="0"/>
              <w:jc w:val="left"/>
              <w:rPr/>
            </w:pPr>
            <w:r>
              <w:rPr/>
              <w:t>​</w:t>
            </w:r>
          </w:p>
        </w:tc>
      </w:tr>
      <w:tr>
        <w:trPr/>
        <w:tc>
          <w:tcPr>
            <w:tcW w:w="5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Incremental RSUs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of common stock used in computing diluted net income per share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32,848</w:t>
            </w:r>
          </w:p>
        </w:tc>
        <w:tc>
          <w:tcPr>
            <w:tcW w:w="371" w:type="dxa"/>
            <w:tcBorders/>
            <w:vAlign w:val="center"/>
          </w:tcPr>
          <w:p>
            <w:pPr>
              <w:pStyle w:val="TableContents"/>
              <w:bidi w:val="0"/>
              <w:spacing w:before="0" w:after="0"/>
              <w:ind w:left="0" w:right="0" w:hanging="0"/>
              <w:jc w:val="left"/>
              <w:rPr/>
            </w:pPr>
            <w:r>
              <w:rPr/>
              <w:t>​</w:t>
            </w:r>
          </w:p>
        </w:tc>
      </w:tr>
      <w:tr>
        <w:trPr/>
        <w:tc>
          <w:tcPr>
            <w:tcW w:w="5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2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w:t>
            </w:r>
          </w:p>
        </w:tc>
        <w:tc>
          <w:tcPr>
            <w:tcW w:w="371" w:type="dxa"/>
            <w:tcBorders/>
            <w:vAlign w:val="center"/>
          </w:tcPr>
          <w:p>
            <w:pPr>
              <w:pStyle w:val="TableContents"/>
              <w:bidi w:val="0"/>
              <w:spacing w:before="0" w:after="0"/>
              <w:ind w:left="0" w:right="0" w:hanging="0"/>
              <w:jc w:val="left"/>
              <w:rPr/>
            </w:pPr>
            <w:r>
              <w:rPr/>
              <w:t>​</w:t>
            </w:r>
          </w:p>
        </w:tc>
      </w:tr>
      <w:tr>
        <w:trPr/>
        <w:tc>
          <w:tcPr>
            <w:tcW w:w="5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Diluted weighted average shares of common stock outstanding does not include 509,998 and 22,983 common equivalent shares issuable with respect to outstanding equity awards for the three-month periods ended June 30, 2025 and 2024, respectively, or 411,238 and 20,639 common equivalent shares issuable with respect to outstanding equity awards for the six-month periods ended June 30, 2025 and 2024, respectively, as their effect would have been anti-dilutive.</w:t>
      </w:r>
    </w:p>
    <w:p>
      <w:pPr>
        <w:pStyle w:val="TextBody"/>
        <w:bidi w:val="0"/>
        <w:spacing w:before="0" w:after="0"/>
        <w:ind w:left="0" w:right="0" w:hanging="0"/>
        <w:jc w:val="left"/>
        <w:rPr/>
      </w:pPr>
      <w:r>
        <w:rPr/>
        <w:t>​</w:t>
      </w:r>
    </w:p>
    <w:p>
      <w:pPr>
        <w:pStyle w:val="TextBody"/>
        <w:bidi w:val="0"/>
        <w:spacing w:before="0" w:after="0"/>
        <w:ind w:left="0" w:right="0" w:firstLine="54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720"/>
        <w:jc w:val="left"/>
        <w:rPr>
          <w:rFonts w:ascii="Times New Roman;Times;serif" w:hAnsi="Times New Roman;Times;serif"/>
          <w:b/>
          <w:sz w:val="20"/>
        </w:rPr>
      </w:pPr>
      <w:bookmarkStart w:id="1014" w:name="Tc_buxlbeavO0WnclNx6ZAuVg_7_11"/>
      <w:bookmarkStart w:id="1015" w:name="Tc_4DJVTdyEnUOtMheQI8oxag_7_8"/>
      <w:bookmarkStart w:id="1016" w:name="Tc_yIu_Cxj1MkqulSsLcvEIDQ_7_5"/>
      <w:bookmarkStart w:id="1017" w:name="Tc_IITtrP9WBUyznVkH2QOiFA_7_2"/>
      <w:bookmarkStart w:id="1018" w:name="Tc_5yhBnfh7lU6KXDnePioEgA_7_0"/>
      <w:bookmarkStart w:id="1019" w:name="Tc_p9s1cluUgkeK0DMIj62ooQ_6_6"/>
      <w:bookmarkStart w:id="1020" w:name="Tc_n_lzc-jVvUCflRNketZNOw_6_0"/>
      <w:bookmarkStart w:id="1021" w:name="Tc_k0EU5W860UiHK4-qSK1wPw_5_11"/>
      <w:bookmarkStart w:id="1022" w:name="Tc_mVrQlkLznkGrIE9XUeTtvQ_5_9"/>
      <w:bookmarkStart w:id="1023" w:name="Tc_5SgyjUu8FESYYVoxXBv1dA_5_8"/>
      <w:bookmarkStart w:id="1024" w:name="Tc_tH1-nysp5keREiSjgu6HTQ_5_5"/>
      <w:bookmarkStart w:id="1025" w:name="Tc_pHFECGndb0aX_APNZnCgow_5_2"/>
      <w:bookmarkStart w:id="1026" w:name="Tc_Byd-gm5xPU2BZt9d7y3rbQ_5_0"/>
      <w:bookmarkStart w:id="1027" w:name="Tc_ffwIiDarqEe0AQeH6KlZyA_4_2"/>
      <w:bookmarkStart w:id="1028" w:name="Tc_8ZBxYWJ0XE6n3oiyYfOKpg_3_11"/>
      <w:bookmarkStart w:id="1029" w:name="Tc_cSoRU7cwW0OvZARpOlSr9w_3_8"/>
      <w:bookmarkStart w:id="1030" w:name="Tc_yEmJF9qCZUqOg2p6rOZRpg_3_5"/>
      <w:bookmarkStart w:id="1031" w:name="Tc_wwzsGyiHHU-pZ3cvs-fvYQ_3_2"/>
      <w:bookmarkStart w:id="1032" w:name="Tc_LXulNAFHuU-NBJ_Q5UHJPA_2_8"/>
      <w:bookmarkStart w:id="1033" w:name="Tc_VXgHosx3i0W1MhnFkr7I0g_2_5"/>
      <w:bookmarkStart w:id="1034" w:name="Tc_CR66UOi2P0GkSyJC8NdF-A_2_2"/>
      <w:bookmarkStart w:id="1035" w:name="Tc_nPzJUXZ1X0ylSf7jm8aOow_1_8"/>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sz w:val="20"/>
        </w:rPr>
        <w:t xml:space="preserve">Note 8.  Accumulated Other Comprehensive Loss </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changes in accumulated other comprehensive loss, net of tax, by component, for the six months ended June 30, 2025:</w:t>
      </w:r>
    </w:p>
    <w:p>
      <w:pPr>
        <w:pStyle w:val="TextBody"/>
        <w:bidi w:val="0"/>
        <w:spacing w:before="0" w:after="0"/>
        <w:ind w:left="0" w:right="0" w:firstLine="720"/>
        <w:jc w:val="left"/>
        <w:rPr/>
      </w:pPr>
      <w:r>
        <w:rPr/>
        <w:t>​</w:t>
      </w:r>
    </w:p>
    <w:tbl>
      <w:tblPr>
        <w:tblW w:w="9541" w:type="dxa"/>
        <w:jc w:val="left"/>
        <w:tblInd w:w="0" w:type="dxa"/>
        <w:tblLayout w:type="fixed"/>
        <w:tblCellMar>
          <w:top w:w="0" w:type="dxa"/>
          <w:left w:w="0" w:type="dxa"/>
          <w:bottom w:w="0" w:type="dxa"/>
          <w:right w:w="0" w:type="dxa"/>
        </w:tblCellMar>
      </w:tblPr>
      <w:tblGrid>
        <w:gridCol w:w="3661"/>
        <w:gridCol w:w="326"/>
        <w:gridCol w:w="196"/>
        <w:gridCol w:w="631"/>
        <w:gridCol w:w="326"/>
        <w:gridCol w:w="434"/>
        <w:gridCol w:w="767"/>
        <w:gridCol w:w="326"/>
        <w:gridCol w:w="552"/>
        <w:gridCol w:w="978"/>
        <w:gridCol w:w="326"/>
        <w:gridCol w:w="196"/>
        <w:gridCol w:w="631"/>
        <w:gridCol w:w="19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24735" cy="175260"/>
                      <wp:effectExtent l="0" t="0" r="0" b="0"/>
                      <wp:wrapNone/>
                      <wp:docPr id="195" name="Frame195"/>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0685" cy="175260"/>
                      <wp:effectExtent l="0" t="0" r="0" b="0"/>
                      <wp:wrapNone/>
                      <wp:docPr id="198" name="Frame1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5590" cy="175260"/>
                      <wp:effectExtent l="0" t="0" r="0" b="0"/>
                      <wp:wrapNone/>
                      <wp:docPr id="200" name="Frame20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87045" cy="175260"/>
                      <wp:effectExtent l="0" t="0" r="0" b="0"/>
                      <wp:wrapNone/>
                      <wp:docPr id="201" name="Frame20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50520" cy="175260"/>
                      <wp:effectExtent l="0" t="0" r="0" b="0"/>
                      <wp:wrapNone/>
                      <wp:docPr id="203" name="Frame203"/>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21030" cy="175260"/>
                      <wp:effectExtent l="0" t="0" r="0" b="0"/>
                      <wp:wrapNone/>
                      <wp:docPr id="204" name="Frame204"/>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0685" cy="175260"/>
                      <wp:effectExtent l="0" t="0" r="0" b="0"/>
                      <wp:wrapNone/>
                      <wp:docPr id="207" name="Frame20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1285" cy="175260"/>
                      <wp:effectExtent l="0" t="0" r="0" b="0"/>
                      <wp:wrapNone/>
                      <wp:docPr id="208" name="Frame20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 on</w:t>
            </w:r>
          </w:p>
        </w:tc>
        <w:tc>
          <w:tcPr>
            <w:tcW w:w="32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26" w:type="dxa"/>
            <w:tcBorders/>
            <w:vAlign w:val="center"/>
          </w:tcPr>
          <w:p>
            <w:pPr>
              <w:pStyle w:val="TableContents"/>
              <w:bidi w:val="0"/>
              <w:spacing w:before="0" w:after="0"/>
              <w:ind w:left="0" w:right="0" w:hanging="0"/>
              <w:jc w:val="center"/>
              <w:rPr/>
            </w:pPr>
            <w:r>
              <w:rPr/>
              <w:t>​</w:t>
            </w:r>
          </w:p>
        </w:tc>
        <w:tc>
          <w:tcPr>
            <w:tcW w:w="15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plan</w:t>
            </w:r>
          </w:p>
        </w:tc>
        <w:tc>
          <w:tcPr>
            <w:tcW w:w="326" w:type="dxa"/>
            <w:tcBorders/>
            <w:vAlign w:val="center"/>
          </w:tcPr>
          <w:p>
            <w:pPr>
              <w:pStyle w:val="TableContents"/>
              <w:bidi w:val="0"/>
              <w:spacing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9541"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36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(6,253)</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and reclassifications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5,712</w:t>
            </w:r>
          </w:p>
        </w:tc>
        <w:tc>
          <w:tcPr>
            <w:tcW w:w="326" w:type="dxa"/>
            <w:tcBorders/>
            <w:vAlign w:val="center"/>
          </w:tcPr>
          <w:p>
            <w:pPr>
              <w:pStyle w:val="TableContents"/>
              <w:bidi w:val="0"/>
              <w:spacing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5,735</w:t>
            </w:r>
          </w:p>
        </w:tc>
        <w:tc>
          <w:tcPr>
            <w:tcW w:w="191" w:type="dxa"/>
            <w:tcBorders/>
            <w:vAlign w:val="center"/>
          </w:tcPr>
          <w:p>
            <w:pPr>
              <w:pStyle w:val="TableContents"/>
              <w:bidi w:val="0"/>
              <w:spacing w:before="0" w:after="0"/>
              <w:ind w:left="0" w:right="0" w:hanging="0"/>
              <w:jc w:val="lef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w:t>
            </w:r>
          </w:p>
        </w:tc>
        <w:tc>
          <w:tcPr>
            <w:tcW w:w="326" w:type="dxa"/>
            <w:tcBorders/>
            <w:shd w:fill="CCEEFF" w:val="clear"/>
            <w:vAlign w:val="center"/>
          </w:tcPr>
          <w:p>
            <w:pPr>
              <w:pStyle w:val="TableContents"/>
              <w:bidi w:val="0"/>
              <w:spacing w:before="0" w:after="0"/>
              <w:ind w:left="0" w:right="0" w:hanging="0"/>
              <w:jc w:val="left"/>
              <w:rPr/>
            </w:pPr>
            <w:r>
              <w:rP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36" w:name="Tc_d5N8TK0prUmo0wMVv6lItg_6_4"/>
      <w:bookmarkStart w:id="1037" w:name="Tc_jowg1jXMFEugp89hwgYo5g_6_1"/>
      <w:bookmarkStart w:id="1038" w:name="Tc_OxxmjP7D50CC8qUUfrFfzQ_6_0"/>
      <w:bookmarkStart w:id="1039" w:name="Tc_saJvcIa_REm0PD-adeT7VA_5_0"/>
      <w:bookmarkStart w:id="1040" w:name="Tc_ygwOwiUSME2CS6JtMf4L4w_4_4"/>
      <w:bookmarkStart w:id="1041" w:name="Tc_ynZT4fuVi0Gxpjgps91_2w_4_1"/>
      <w:bookmarkStart w:id="1042" w:name="Tc_SJO5tZmYz0yFIRrsyxw9Wg_4_0"/>
      <w:bookmarkStart w:id="1043" w:name="Tc_QlosQ47x8ke_L2jGRP5xCg_3_1"/>
      <w:bookmarkStart w:id="1044" w:name="Tc_jAFV9jtUH0S5l61-NNHcMg_2_5"/>
      <w:bookmarkStart w:id="1045" w:name="Tc_zl80OuBP7Uu4L8Yd3Yxmdg_2_1"/>
      <w:bookmarkStart w:id="1046" w:name="Tc_n-bbuRrtwEOtdS531z68wQ_1_4"/>
      <w:bookmarkStart w:id="1047" w:name="Tc_0lg8HJyr90-yGYznjMb-bg_1_1"/>
      <w:bookmarkEnd w:id="1036"/>
      <w:bookmarkEnd w:id="1037"/>
      <w:bookmarkEnd w:id="1038"/>
      <w:bookmarkEnd w:id="1039"/>
      <w:bookmarkEnd w:id="1040"/>
      <w:bookmarkEnd w:id="1041"/>
      <w:bookmarkEnd w:id="1042"/>
      <w:bookmarkEnd w:id="1043"/>
      <w:bookmarkEnd w:id="1044"/>
      <w:bookmarkEnd w:id="1045"/>
      <w:bookmarkEnd w:id="1046"/>
      <w:bookmarkEnd w:id="1047"/>
      <w:r>
        <w:rPr>
          <w:rFonts w:ascii="Times New Roman;Times;serif" w:hAnsi="Times New Roman;Times;serif"/>
          <w:b/>
          <w:sz w:val="20"/>
        </w:rPr>
        <w:t>Note 9.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sheets to the total of the amounts shown in the statement of cash flows:</w:t>
      </w:r>
    </w:p>
    <w:p>
      <w:pPr>
        <w:pStyle w:val="TextBody"/>
        <w:bidi w:val="0"/>
        <w:spacing w:before="0" w:after="0"/>
        <w:ind w:left="0" w:right="0" w:hanging="0"/>
        <w:jc w:val="left"/>
        <w:rPr/>
      </w:pPr>
      <w:r>
        <w:rPr/>
        <w:t>​</w:t>
      </w:r>
    </w:p>
    <w:tbl>
      <w:tblPr>
        <w:tblW w:w="5771" w:type="dxa"/>
        <w:jc w:val="left"/>
        <w:tblInd w:w="0" w:type="dxa"/>
        <w:tblLayout w:type="fixed"/>
        <w:tblCellMar>
          <w:top w:w="0" w:type="dxa"/>
          <w:left w:w="0" w:type="dxa"/>
          <w:bottom w:w="0" w:type="dxa"/>
          <w:right w:w="0" w:type="dxa"/>
        </w:tblCellMar>
      </w:tblPr>
      <w:tblGrid>
        <w:gridCol w:w="3436"/>
        <w:gridCol w:w="196"/>
        <w:gridCol w:w="736"/>
        <w:gridCol w:w="109"/>
        <w:gridCol w:w="239"/>
        <w:gridCol w:w="901"/>
        <w:gridCol w:w="154"/>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81860" cy="175260"/>
                      <wp:effectExtent l="0" t="0" r="0" b="0"/>
                      <wp:wrapNone/>
                      <wp:docPr id="209" name="Frame209"/>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67360" cy="175260"/>
                      <wp:effectExtent l="0" t="0" r="0" b="0"/>
                      <wp:wrapNone/>
                      <wp:docPr id="211" name="Frame21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1765" cy="175260"/>
                      <wp:effectExtent l="0" t="0" r="0" b="0"/>
                      <wp:wrapNone/>
                      <wp:docPr id="213" name="Frame21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72135" cy="175260"/>
                      <wp:effectExtent l="0" t="0" r="0" b="0"/>
                      <wp:wrapNone/>
                      <wp:docPr id="214" name="Frame2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7790" cy="175260"/>
                      <wp:effectExtent l="0" t="0" r="0" b="0"/>
                      <wp:wrapNone/>
                      <wp:docPr id="215" name="Frame2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577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w:t>
            </w:r>
          </w:p>
        </w:tc>
        <w:tc>
          <w:tcPr>
            <w:tcW w:w="218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173,649 </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123,512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restricted cash</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7,631 </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7,552 </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181,280 </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131,064 </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2025, we had $7.6 million in restricted cash representing the total of (i) a $5.9 million cash collateralized letter of credit serving as a security deposit for our headquarters lease in Beverly, Massachusetts, (ii) a $0.9 million letter of credit for customs purposes, (iii) a $0.7 million cash collateralized letter of credit relating to workers’ compensation insurance and (iv) a $0.1 million deposit relating to customs activity. See Note 13 for further discussion on the $5.9 million cash collateralized letter of credit.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048" w:name="Tc_-NFp-PvDKkGZKce-_M16LQ_7_5"/>
      <w:bookmarkStart w:id="1049" w:name="Tc_Dzo8kPkhBkiJVRX0K2YFfA_7_2"/>
      <w:bookmarkStart w:id="1050" w:name="Tc_dcUFCuobxEGOVuN2tTffOA_7_0"/>
      <w:bookmarkStart w:id="1051" w:name="Tc_46h4GHJ2kk24IfWe3ukLTw_6_0"/>
      <w:bookmarkStart w:id="1052" w:name="Tc_G-dhk75P-0SYj81psY_msA_5_0"/>
      <w:bookmarkStart w:id="1053" w:name="Tc_WarxwvatDU6M5yxWKQVl5A_4_5"/>
      <w:bookmarkStart w:id="1054" w:name="Tc_X--Ty4I9Uk6HG96Ulln0-A_4_2"/>
      <w:bookmarkStart w:id="1055" w:name="Tc_ZR5-O58tBEeZ8BNjVRc0cw_4_0"/>
      <w:bookmarkStart w:id="1056" w:name="Tc_epRN4w4Rv0C2k1w46wYECg_3_2"/>
      <w:bookmarkStart w:id="1057" w:name="Tc_Jtwdwk1szkWSWxdUeM4MrQ_2_5"/>
      <w:bookmarkStart w:id="1058" w:name="Tc_pN4yqLsx3EueMAYvxVQuEw_2_2"/>
      <w:bookmarkStart w:id="1059" w:name="Tc_HSsk3dzF-Um8rzbzOxURTA_1_5"/>
      <w:bookmarkStart w:id="1060" w:name="Tc_FypgNVYCJU6I46IR76yhyQ_1_2"/>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rFonts w:ascii="Times New Roman;Times;serif" w:hAnsi="Times New Roman;Times;serif"/>
          <w:b/>
          <w:sz w:val="20"/>
        </w:rPr>
        <w:t>Note 10.  Inventories,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hanging="0"/>
        <w:jc w:val="left"/>
        <w:rPr/>
      </w:pPr>
      <w:r>
        <w:rPr/>
        <w:t>​</w:t>
      </w:r>
    </w:p>
    <w:tbl>
      <w:tblPr>
        <w:tblW w:w="5766" w:type="dxa"/>
        <w:jc w:val="left"/>
        <w:tblInd w:w="0" w:type="dxa"/>
        <w:tblLayout w:type="fixed"/>
        <w:tblCellMar>
          <w:top w:w="0" w:type="dxa"/>
          <w:left w:w="0" w:type="dxa"/>
          <w:bottom w:w="0" w:type="dxa"/>
          <w:right w:w="0" w:type="dxa"/>
        </w:tblCellMar>
      </w:tblPr>
      <w:tblGrid>
        <w:gridCol w:w="2716"/>
        <w:gridCol w:w="326"/>
        <w:gridCol w:w="196"/>
        <w:gridCol w:w="691"/>
        <w:gridCol w:w="326"/>
        <w:gridCol w:w="252"/>
        <w:gridCol w:w="888"/>
        <w:gridCol w:w="37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24660" cy="175260"/>
                      <wp:effectExtent l="0" t="0" r="0" b="0"/>
                      <wp:wrapNone/>
                      <wp:docPr id="216" name="Frame216"/>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8785" cy="175260"/>
                      <wp:effectExtent l="0" t="0" r="0" b="0"/>
                      <wp:wrapNone/>
                      <wp:docPr id="219" name="Frame2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0020" cy="175260"/>
                      <wp:effectExtent l="0" t="0" r="0" b="0"/>
                      <wp:wrapNone/>
                      <wp:docPr id="221" name="Frame22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63880" cy="175260"/>
                      <wp:effectExtent l="0" t="0" r="0" b="0"/>
                      <wp:wrapNone/>
                      <wp:docPr id="222" name="Frame22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35585" cy="175260"/>
                      <wp:effectExtent l="0" t="0" r="0" b="0"/>
                      <wp:wrapNone/>
                      <wp:docPr id="223" name="Frame22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71"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576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243,484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227,141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38,421</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34,490</w:t>
            </w:r>
          </w:p>
        </w:tc>
        <w:tc>
          <w:tcPr>
            <w:tcW w:w="371"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Finished goods (completed systems)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310,768</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282,225</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11.  Product Warranty</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61" w:name="Tc_6NBDQda9_E6ckAbemdml6w_13_5"/>
      <w:bookmarkStart w:id="1062" w:name="Tc_OE-41alK9EKZfw4AvsJYoA_13_2"/>
      <w:bookmarkStart w:id="1063" w:name="Tc_nnbBZ7nw4km3avJ-zBpjVQ_13_0"/>
      <w:bookmarkStart w:id="1064" w:name="Tc_9GrEeaPpj0GkiGFeS7LMZQ_12_0"/>
      <w:bookmarkStart w:id="1065" w:name="Tc_lXTBfGS9LEOz4qdZW8nR9A_11_5"/>
      <w:bookmarkStart w:id="1066" w:name="Tc_hhwqpYno1UKU0KZd3VKeBg_11_2"/>
      <w:bookmarkStart w:id="1067" w:name="Tc_AumnTjsD7ECEWJIskCUPyw_11_0"/>
      <w:bookmarkStart w:id="1068" w:name="Tc_fSxZ9ypbyEyrAAuIJCajWw_9_5"/>
      <w:bookmarkStart w:id="1069" w:name="Tc_BHsqYpuivUm0yhXQNoyYAQ_9_2"/>
      <w:bookmarkStart w:id="1070" w:name="Tc_wkdYlvDkB0CbRqvgkDbs6Q_9_0"/>
      <w:bookmarkStart w:id="1071" w:name="Tc_IY4ZsIuybUugq6e9QSqHHg_8_0"/>
      <w:bookmarkStart w:id="1072" w:name="Tc_H7ozSqrWUEu4gaqLGEkfjg_7_0"/>
      <w:bookmarkStart w:id="1073" w:name="Tc_aAtQokRA3EOe0g_zCSKFIA_6_0"/>
      <w:bookmarkStart w:id="1074" w:name="Tc_BLxfEgUxdUeKxFg_-lGMyw_5_5"/>
      <w:bookmarkStart w:id="1075" w:name="Tc_fZ43mk6bekyPJKKe3m10jw_5_2"/>
      <w:bookmarkStart w:id="1076" w:name="Tc_LVUUmM9So0WWf6weU9VS9A_5_0"/>
      <w:bookmarkStart w:id="1077" w:name="Tc_NV5vMirogUWi4wlgwxtWFA_4_2"/>
      <w:bookmarkStart w:id="1078" w:name="Tc_cBmEc_R650eqRYgGEt94pQ_3_5"/>
      <w:bookmarkStart w:id="1079" w:name="Tc_Tm5YU6GfUE6MO-M37cU7uQ_3_2"/>
      <w:bookmarkStart w:id="1080" w:name="Tc_JzSlLZIjt0qD_xPXmWpxzA_2_2"/>
      <w:bookmarkStart w:id="1081" w:name="Tc_4rKFdBh9uEOY5rDGeBoqIA_1_2"/>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sz w:val="20"/>
        </w:rPr>
        <w:t>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our standard product warranty liability are as follows:</w:t>
      </w:r>
    </w:p>
    <w:p>
      <w:pPr>
        <w:pStyle w:val="TextBody"/>
        <w:bidi w:val="0"/>
        <w:spacing w:before="0" w:after="0"/>
        <w:ind w:left="0" w:right="0" w:hanging="0"/>
        <w:jc w:val="left"/>
        <w:rPr/>
      </w:pPr>
      <w:r>
        <w:rPr/>
        <w:t>​</w:t>
      </w:r>
    </w:p>
    <w:tbl>
      <w:tblPr>
        <w:tblW w:w="8153" w:type="dxa"/>
        <w:jc w:val="left"/>
        <w:tblInd w:w="0" w:type="dxa"/>
        <w:tblLayout w:type="fixed"/>
        <w:tblCellMar>
          <w:top w:w="0" w:type="dxa"/>
          <w:left w:w="0" w:type="dxa"/>
          <w:bottom w:w="0" w:type="dxa"/>
          <w:right w:w="0" w:type="dxa"/>
        </w:tblCellMar>
      </w:tblPr>
      <w:tblGrid>
        <w:gridCol w:w="5476"/>
        <w:gridCol w:w="326"/>
        <w:gridCol w:w="196"/>
        <w:gridCol w:w="631"/>
        <w:gridCol w:w="326"/>
        <w:gridCol w:w="196"/>
        <w:gridCol w:w="631"/>
        <w:gridCol w:w="371"/>
      </w:tblGrid>
      <w:tr>
        <w:trPr/>
        <w:tc>
          <w:tcPr>
            <w:tcW w:w="5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477260" cy="175260"/>
                      <wp:effectExtent l="0" t="0" r="0" b="0"/>
                      <wp:wrapNone/>
                      <wp:docPr id="224" name="Frame224"/>
                      <a:graphic xmlns:a="http://schemas.openxmlformats.org/drawingml/2006/main">
                        <a:graphicData uri="http://schemas.microsoft.com/office/word/2010/wordprocessingShape">
                          <wps:wsp>
                            <wps:cNvSpPr txBox="1"/>
                            <wps:spPr>
                              <a:xfrm>
                                <a:off x="0" y="0"/>
                                <a:ext cx="3477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00685" cy="175260"/>
                      <wp:effectExtent l="0" t="0" r="0" b="0"/>
                      <wp:wrapNone/>
                      <wp:docPr id="227" name="Frame22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00685" cy="175260"/>
                      <wp:effectExtent l="0" t="0" r="0" b="0"/>
                      <wp:wrapNone/>
                      <wp:docPr id="230" name="Frame23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35585" cy="175260"/>
                      <wp:effectExtent l="0" t="0" r="0" b="0"/>
                      <wp:wrapNone/>
                      <wp:docPr id="231" name="Frame23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center"/>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71" w:type="dxa"/>
            <w:tcBorders/>
            <w:vAlign w:val="center"/>
          </w:tcPr>
          <w:p>
            <w:pPr>
              <w:pStyle w:val="TableContents"/>
              <w:bidi w:val="0"/>
              <w:spacing w:before="0" w:after="0"/>
              <w:ind w:left="0" w:right="0" w:hanging="0"/>
              <w:jc w:val="center"/>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815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center"/>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January 1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Warranties issued during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5,755</w:t>
            </w:r>
          </w:p>
        </w:tc>
        <w:tc>
          <w:tcPr>
            <w:tcW w:w="37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Settlements made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 of liability for pre-existing warranties during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w:t>
            </w:r>
          </w:p>
        </w:tc>
        <w:tc>
          <w:tcPr>
            <w:tcW w:w="37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14,502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long-term (within other long-term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w:t>
            </w:r>
          </w:p>
        </w:tc>
        <w:tc>
          <w:tcPr>
            <w:tcW w:w="37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warranty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16,415</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12.  Fair Value Measurements</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before="0" w:after="0"/>
        <w:ind w:left="0" w:right="0" w:firstLine="54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(a)  Fair Value Hierarchy</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 applies to assets or liabilities for which there are quoted prices in active markets for identical assets or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 applies to assets or liabilities for which there are unobservable inputs to the valuation methodology that are significant to the measurement of the fair value of the assets or liabilities.</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b/>
          <w:sz w:val="20"/>
        </w:rPr>
        <w:t>(b)  Fair Value Measurements</w:t>
      </w:r>
      <w:r>
        <w:rPr>
          <w:rFonts w:ascii="Times New Roman;Times;serif" w:hAnsi="Times New Roman;Times;serif"/>
          <w:color w:val="FF0000"/>
          <w:sz w:val="20"/>
        </w:rPr>
        <w:t xml:space="preserve"> </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 Investments that have a maturity of greater than one year are included within long-term investments in the consolidated balance sheets.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082" w:name="Tc_3H-wiLrJGke6CNy8D2TMxQ_5_5"/>
      <w:bookmarkStart w:id="1083" w:name="Tc_qeJykkvD8keKz3SID13lGQ_5_2"/>
      <w:bookmarkStart w:id="1084" w:name="Tc_svjYitAyvkKfAGQzUGl-xA_5_0"/>
      <w:bookmarkStart w:id="1085" w:name="Tc_CmwVYdX3A02eZgIRYaIkFw_4_0"/>
      <w:bookmarkStart w:id="1086" w:name="Tc_kX9udWxl_kigcK7YqBOVsA_3_5"/>
      <w:bookmarkStart w:id="1087" w:name="Tc_RDV13aUbk0SRcv8nllbvWQ_3_2"/>
      <w:bookmarkStart w:id="1088" w:name="Tc_HuUsXtlHpkSM_Y6waMijrw_3_0"/>
      <w:bookmarkStart w:id="1089" w:name="Tc_T4uwTXdk7kS7ZneAAHqF0w_2_2"/>
      <w:bookmarkStart w:id="1090" w:name="Tc_QtdAIi4qq0WEdYdbc4ZfWw_1_5"/>
      <w:bookmarkStart w:id="1091" w:name="Tc_MQLdsZNn-kKFprByDju_OQ_1_2"/>
      <w:bookmarkStart w:id="1092" w:name="_0d2d302c_2736_4683_8e2f_6abda8f22d39"/>
      <w:bookmarkStart w:id="1093" w:name="Tc_ZkxXNMFpgUuktxHkr_zWgA_10_11"/>
      <w:bookmarkStart w:id="1094" w:name="Tc_OMZrLGa25UO3NtTmsjBt5Q_10_9"/>
      <w:bookmarkStart w:id="1095" w:name="Tc_29dRFdnpyEK1M0Ta-XLDCA_10_8"/>
      <w:bookmarkStart w:id="1096" w:name="Tc_RQJqXU_SeU-iglVqphV-Xg_10_5"/>
      <w:bookmarkStart w:id="1097" w:name="Tc_wTckDURKvEqCFWKC5FbVbw_10_2"/>
      <w:bookmarkStart w:id="1098" w:name="Tc_slKfZosziUWultpt_jD23g_10_0"/>
      <w:bookmarkStart w:id="1099" w:name="Tc_pdw1TaT6VUuArTX8KmaJ3g_9_9"/>
      <w:bookmarkStart w:id="1100" w:name="Tc_0khk8SqWUESLweJoEq0K0w_9_3"/>
      <w:bookmarkStart w:id="1101" w:name="Tc_bTHre-vWJku25LQds6Hy6Q_9_0"/>
      <w:bookmarkStart w:id="1102" w:name="Tc_V3LGg-WD1kW7P9xE643Cfg_8_9"/>
      <w:bookmarkStart w:id="1103" w:name="Tc_zu7n6h83w0qQQ6Mfv0I78g_8_6"/>
      <w:bookmarkStart w:id="1104" w:name="Tc__PgUZR_spUq-ynO8iSFkyw_8_0"/>
      <w:bookmarkStart w:id="1105" w:name="Tc_wM_4-Ipdt0Oogce39bMNdg_7_11"/>
      <w:bookmarkStart w:id="1106" w:name="Tc_JXLtvNosaEu4uQu5a8XnEA_7_9"/>
      <w:bookmarkStart w:id="1107" w:name="Tc_Z44GDfKcdEO25PK-InZrIg_7_8"/>
      <w:bookmarkStart w:id="1108" w:name="Tc_OvWeDFq_UU61CeOGEE4uGA_7_6"/>
      <w:bookmarkStart w:id="1109" w:name="Tc_Z4mIKC7uvUeMM3GMIX7odw_7_5"/>
      <w:bookmarkStart w:id="1110" w:name="Tc_pmVylaKZ_0qqNTcRUrbPtQ_7_2"/>
      <w:bookmarkStart w:id="1111" w:name="Tc_FOydF3u37kyID1Z9QK4_hA_7_0"/>
      <w:bookmarkStart w:id="1112" w:name="Tc_-1X6zxrptkams_8coJ21Ww_6_0"/>
      <w:bookmarkStart w:id="1113" w:name="Tc_a37Na7yd5EiwBAxu1gIFBw_5_0"/>
      <w:bookmarkStart w:id="1114" w:name="Tc_rJFerKXi8keAUKyse74PLg_4_2"/>
      <w:bookmarkStart w:id="1115" w:name="Tc_jZMlWrktPE-OGqQ3g3AInw_3_11"/>
      <w:bookmarkStart w:id="1116" w:name="Tc_bhqjcaL3a0mXQCgyT-5qGA_3_8"/>
      <w:bookmarkStart w:id="1117" w:name="Tc_JPK9pXMPDUSx63CmanCYJA_3_5"/>
      <w:bookmarkStart w:id="1118" w:name="Tc_zYq43d8yuUOkhZGiFSQlLw_3_2"/>
      <w:bookmarkStart w:id="1119" w:name="Tc_RCKpKhH0eEKfvgpH6U_NBA_2_2"/>
      <w:bookmarkStart w:id="1120" w:name="Tc_4zy6HsrFRUK5a_7uaVpN7A_1_2"/>
      <w:bookmarkStart w:id="1121" w:name="_08564c05_a993_43cf_b655_9a9c544a2e50"/>
      <w:bookmarkStart w:id="1122" w:name="Tc_Fv9TKvMAyk2AaJoXGj6iZA_11_11"/>
      <w:bookmarkStart w:id="1123" w:name="Tc_YgGN39N9mkuj569ezwS0BA_11_9"/>
      <w:bookmarkStart w:id="1124" w:name="Tc_FmGUDXk8e0OMB6r_Xl92_Q_11_8"/>
      <w:bookmarkStart w:id="1125" w:name="Tc_z4t_cMb-00WE9UVA9IAEdw_11_5"/>
      <w:bookmarkStart w:id="1126" w:name="Tc_JHT0e5DyZEOEQbEsDCj8_w_11_2"/>
      <w:bookmarkStart w:id="1127" w:name="Tc_qeGa-BbyUUCWDllvhLMqrw_11_0"/>
      <w:bookmarkStart w:id="1128" w:name="Tc_Om6NlBMmcUWlEozTPY8FMg_10_9"/>
      <w:bookmarkStart w:id="1129" w:name="Tc_82v7KICc4UqBqUVlayH6dw_10_6"/>
      <w:bookmarkStart w:id="1130" w:name="Tc_F1ic7_kYKkuHCqzSCtG7cQ_10_0"/>
      <w:bookmarkStart w:id="1131" w:name="Tc_Jefc7hQ1uEWnCWGCNTFnLA_9_9"/>
      <w:bookmarkStart w:id="1132" w:name="Tc_htssrMSD7E-hRuN5Vvnwxg_9_3"/>
      <w:bookmarkStart w:id="1133" w:name="Tc_3tFSagqJzEKdi6mhHdrWnA_9_0"/>
      <w:bookmarkStart w:id="1134" w:name="Tc_jg_K0i_yZU-TislYox3TWw_8_9"/>
      <w:bookmarkStart w:id="1135" w:name="Tc_JdpIj-U480iNCv0rLJjq2g_8_6"/>
      <w:bookmarkStart w:id="1136" w:name="Tc_Q5z2A31M40mu4iod-43dMQ_8_0"/>
      <w:bookmarkStart w:id="1137" w:name="Tc_4dWErxcsk02_CylBbM2zVw_7_11"/>
      <w:bookmarkStart w:id="1138" w:name="Tc_MdZA03ZipEWGtnY4U6TOTg_7_9"/>
      <w:bookmarkStart w:id="1139" w:name="Tc_N5CBnvNk60u4usysIJMF1A_7_8"/>
      <w:bookmarkStart w:id="1140" w:name="Tc_ahd4BhCp8UqxD2qa7w6DFw_7_6"/>
      <w:bookmarkStart w:id="1141" w:name="Tc_X9nYpIssk06KaBmL0koRPw_7_5"/>
      <w:bookmarkStart w:id="1142" w:name="Tc_TpRKQaXoIU-NYX4XX4l1Ew_7_2"/>
      <w:bookmarkStart w:id="1143" w:name="Tc_WPvTiLxwZkiyDFc2lozN8w_7_0"/>
      <w:bookmarkStart w:id="1144" w:name="Tc_rYKxcIb2ME6g85Py53YTHA_6_0"/>
      <w:bookmarkStart w:id="1145" w:name="Tc_xpRs9hjkbE6RigLSttDAhA_5_0"/>
      <w:bookmarkStart w:id="1146" w:name="Tc_AqhDXm-h1EG3hblhoLqDvg_4_2"/>
      <w:bookmarkStart w:id="1147" w:name="Tc_V-mz_wcFiE6v_rO92AoCWA_3_11"/>
      <w:bookmarkStart w:id="1148" w:name="Tc_5MX8Vsk7SU-eo0nWjVYwVg_3_8"/>
      <w:bookmarkStart w:id="1149" w:name="Tc_eCVLuENcpUSFj9gn4A_Hsg_3_5"/>
      <w:bookmarkStart w:id="1150" w:name="Tc_gl2dGFR9VkWQ2z09sW6NAw_3_2"/>
      <w:bookmarkStart w:id="1151" w:name="Tc_7ji-mZPuAEOkR7L4ZDPT3Q_2_2"/>
      <w:bookmarkStart w:id="1152" w:name="Tc_8SdWBqHnw0W0fIYTlfICIw_1_2"/>
      <w:bookmarkStart w:id="1153" w:name="_92d7069e_82f5_4ece_a00f_1e464312ddbf"/>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r>
        <w:rPr>
          <w:rFonts w:ascii="Times New Roman;Times;serif" w:hAnsi="Times New Roman;Times;serif"/>
          <w:sz w:val="20"/>
        </w:rPr>
        <w:t>The following tables set forth our assets which are measured at fair value by level within the fair value hierarchy:</w:t>
      </w:r>
    </w:p>
    <w:p>
      <w:pPr>
        <w:pStyle w:val="TextBody"/>
        <w:bidi w:val="0"/>
        <w:spacing w:before="0" w:after="0"/>
        <w:ind w:left="0" w:right="0" w:firstLine="490"/>
        <w:jc w:val="left"/>
        <w:rPr/>
      </w:pPr>
      <w:r>
        <w:rPr/>
        <w:t>​</w:t>
      </w:r>
    </w:p>
    <w:tbl>
      <w:tblPr>
        <w:tblW w:w="10205" w:type="dxa"/>
        <w:jc w:val="left"/>
        <w:tblInd w:w="0" w:type="dxa"/>
        <w:tblLayout w:type="fixed"/>
        <w:tblCellMar>
          <w:top w:w="0" w:type="dxa"/>
          <w:left w:w="0" w:type="dxa"/>
          <w:bottom w:w="0" w:type="dxa"/>
          <w:right w:w="0" w:type="dxa"/>
        </w:tblCellMar>
      </w:tblPr>
      <w:tblGrid>
        <w:gridCol w:w="5365"/>
        <w:gridCol w:w="326"/>
        <w:gridCol w:w="211"/>
        <w:gridCol w:w="781"/>
        <w:gridCol w:w="326"/>
        <w:gridCol w:w="211"/>
        <w:gridCol w:w="518"/>
        <w:gridCol w:w="326"/>
        <w:gridCol w:w="239"/>
        <w:gridCol w:w="392"/>
        <w:gridCol w:w="326"/>
        <w:gridCol w:w="211"/>
        <w:gridCol w:w="781"/>
        <w:gridCol w:w="192"/>
      </w:tblGrid>
      <w:tr>
        <w:trPr/>
        <w:tc>
          <w:tcPr>
            <w:tcW w:w="5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406775" cy="175260"/>
                      <wp:effectExtent l="0" t="0" r="0" b="0"/>
                      <wp:wrapNone/>
                      <wp:docPr id="232" name="Frame232"/>
                      <a:graphic xmlns:a="http://schemas.openxmlformats.org/drawingml/2006/main">
                        <a:graphicData uri="http://schemas.microsoft.com/office/word/2010/wordprocessingShape">
                          <wps:wsp>
                            <wps:cNvSpPr txBox="1"/>
                            <wps:spPr>
                              <a:xfrm>
                                <a:off x="0" y="0"/>
                                <a:ext cx="340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5935" cy="175260"/>
                      <wp:effectExtent l="0" t="0" r="0" b="0"/>
                      <wp:wrapNone/>
                      <wp:docPr id="235" name="Frame2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28930" cy="175260"/>
                      <wp:effectExtent l="0" t="0" r="0" b="0"/>
                      <wp:wrapNone/>
                      <wp:docPr id="238" name="Frame238"/>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1765" cy="175260"/>
                      <wp:effectExtent l="0" t="0" r="0" b="0"/>
                      <wp:wrapNone/>
                      <wp:docPr id="240" name="Frame24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48920" cy="175260"/>
                      <wp:effectExtent l="0" t="0" r="0" b="0"/>
                      <wp:wrapNone/>
                      <wp:docPr id="241" name="Frame24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95935" cy="175260"/>
                      <wp:effectExtent l="0" t="0" r="0" b="0"/>
                      <wp:wrapNone/>
                      <wp:docPr id="244" name="Frame2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1920" cy="175260"/>
                      <wp:effectExtent l="0" t="0" r="0" b="0"/>
                      <wp:wrapNone/>
                      <wp:docPr id="245" name="Frame245"/>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2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92" w:type="dxa"/>
            <w:tcBorders/>
            <w:vAlign w:val="center"/>
          </w:tcPr>
          <w:p>
            <w:pPr>
              <w:pStyle w:val="TableContents"/>
              <w:bidi w:val="0"/>
              <w:spacing w:before="0" w:after="0"/>
              <w:ind w:left="0" w:right="0" w:hanging="0"/>
              <w:jc w:val="center"/>
              <w:rPr/>
            </w:pPr>
            <w:r>
              <w:rPr/>
              <w:t> </w:t>
            </w:r>
          </w:p>
        </w:tc>
      </w:tr>
      <w:tr>
        <w:trPr/>
        <w:tc>
          <w:tcPr>
            <w:tcW w:w="53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2" w:type="dxa"/>
            <w:tcBorders/>
            <w:vAlign w:val="center"/>
          </w:tcPr>
          <w:p>
            <w:pPr>
              <w:pStyle w:val="TableContents"/>
              <w:bidi w:val="0"/>
              <w:spacing w:before="0" w:after="0"/>
              <w:ind w:left="0" w:right="0" w:hanging="0"/>
              <w:jc w:val="center"/>
              <w:rPr/>
            </w:pPr>
            <w:r>
              <w:rPr/>
              <w:t> </w:t>
            </w:r>
          </w:p>
        </w:tc>
      </w:tr>
      <w:tr>
        <w:trPr/>
        <w:tc>
          <w:tcPr>
            <w:tcW w:w="53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7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3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2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2" w:type="dxa"/>
            <w:tcBorders/>
            <w:vAlign w:val="center"/>
          </w:tcPr>
          <w:p>
            <w:pPr>
              <w:pStyle w:val="TableContents"/>
              <w:bidi w:val="0"/>
              <w:spacing w:before="0" w:after="0"/>
              <w:ind w:left="0" w:right="0" w:hanging="0"/>
              <w:jc w:val="center"/>
              <w:rPr/>
            </w:pPr>
            <w:r>
              <w:rPr/>
              <w:t> </w:t>
            </w:r>
          </w:p>
        </w:tc>
      </w:tr>
      <w:tr>
        <w:trPr/>
        <w:tc>
          <w:tcPr>
            <w:tcW w:w="5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141,363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376,193</w:t>
            </w:r>
          </w:p>
        </w:tc>
        <w:tc>
          <w:tcPr>
            <w:tcW w:w="192" w:type="dxa"/>
            <w:tcBorders/>
            <w:vAlign w:val="center"/>
          </w:tcPr>
          <w:p>
            <w:pPr>
              <w:pStyle w:val="TableContents"/>
              <w:bidi w:val="0"/>
              <w:spacing w:before="0" w:after="0"/>
              <w:ind w:left="0" w:right="0" w:hanging="0"/>
              <w:jc w:val="left"/>
              <w:rPr/>
            </w:pPr>
            <w:r>
              <w:rPr/>
              <w:t>​</w:t>
            </w:r>
          </w:p>
        </w:tc>
      </w:tr>
      <w:tr>
        <w:trPr/>
        <w:tc>
          <w:tcPr>
            <w:tcW w:w="5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 on forward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 (U.S. Government Securities and Agency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31,114</w:t>
            </w:r>
          </w:p>
        </w:tc>
        <w:tc>
          <w:tcPr>
            <w:tcW w:w="192" w:type="dxa"/>
            <w:tcBorders/>
            <w:vAlign w:val="center"/>
          </w:tcPr>
          <w:p>
            <w:pPr>
              <w:pStyle w:val="TableContents"/>
              <w:bidi w:val="0"/>
              <w:spacing w:before="0" w:after="0"/>
              <w:ind w:left="0" w:right="0" w:hanging="0"/>
              <w:jc w:val="left"/>
              <w:rPr/>
            </w:pPr>
            <w:r>
              <w:rPr/>
              <w:t>​</w:t>
            </w:r>
          </w:p>
        </w:tc>
      </w:tr>
      <w:tr>
        <w:trPr/>
        <w:tc>
          <w:tcPr>
            <w:tcW w:w="5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548,213</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63"/>
        <w:gridCol w:w="326"/>
        <w:gridCol w:w="211"/>
        <w:gridCol w:w="781"/>
        <w:gridCol w:w="326"/>
        <w:gridCol w:w="211"/>
        <w:gridCol w:w="421"/>
        <w:gridCol w:w="326"/>
        <w:gridCol w:w="239"/>
        <w:gridCol w:w="392"/>
        <w:gridCol w:w="326"/>
        <w:gridCol w:w="211"/>
        <w:gridCol w:w="781"/>
        <w:gridCol w:w="191"/>
      </w:tblGrid>
      <w:tr>
        <w:trPr/>
        <w:tc>
          <w:tcPr>
            <w:tcW w:w="5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469005" cy="175260"/>
                      <wp:effectExtent l="0" t="0" r="0" b="0"/>
                      <wp:wrapNone/>
                      <wp:docPr id="246" name="Frame246"/>
                      <a:graphic xmlns:a="http://schemas.openxmlformats.org/drawingml/2006/main">
                        <a:graphicData uri="http://schemas.microsoft.com/office/word/2010/wordprocessingShape">
                          <wps:wsp>
                            <wps:cNvSpPr txBox="1"/>
                            <wps:spPr>
                              <a:xfrm>
                                <a:off x="0" y="0"/>
                                <a:ext cx="3469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67335" cy="175260"/>
                      <wp:effectExtent l="0" t="0" r="0" b="0"/>
                      <wp:wrapNone/>
                      <wp:docPr id="252" name="Frame25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51765" cy="175260"/>
                      <wp:effectExtent l="0" t="0" r="0" b="0"/>
                      <wp:wrapNone/>
                      <wp:docPr id="254" name="Frame25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48920" cy="175260"/>
                      <wp:effectExtent l="0" t="0" r="0" b="0"/>
                      <wp:wrapNone/>
                      <wp:docPr id="255" name="Frame25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95935" cy="175260"/>
                      <wp:effectExtent l="0" t="0" r="0" b="0"/>
                      <wp:wrapNone/>
                      <wp:docPr id="258" name="Frame2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1285" cy="175260"/>
                      <wp:effectExtent l="0" t="0" r="0" b="0"/>
                      <wp:wrapNone/>
                      <wp:docPr id="259" name="Frame25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2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191" w:type="dxa"/>
            <w:tcBorders/>
            <w:vAlign w:val="center"/>
          </w:tcPr>
          <w:p>
            <w:pPr>
              <w:pStyle w:val="TableContents"/>
              <w:bidi w:val="0"/>
              <w:spacing w:before="0" w:after="0"/>
              <w:ind w:left="0" w:right="0" w:hanging="0"/>
              <w:jc w:val="center"/>
              <w:rPr/>
            </w:pPr>
            <w:r>
              <w:rPr/>
              <w:t> </w:t>
            </w:r>
          </w:p>
        </w:tc>
      </w:tr>
      <w:tr>
        <w:trPr/>
        <w:tc>
          <w:tcPr>
            <w:tcW w:w="54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vAlign w:val="center"/>
          </w:tcPr>
          <w:p>
            <w:pPr>
              <w:pStyle w:val="TableContents"/>
              <w:bidi w:val="0"/>
              <w:spacing w:before="0" w:after="0"/>
              <w:ind w:left="0" w:right="0" w:hanging="0"/>
              <w:jc w:val="center"/>
              <w:rPr/>
            </w:pPr>
            <w:r>
              <w:rPr/>
              <w:t> </w:t>
            </w:r>
          </w:p>
        </w:tc>
      </w:tr>
      <w:tr>
        <w:trPr/>
        <w:tc>
          <w:tcPr>
            <w:tcW w:w="54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4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2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4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448,296</w:t>
            </w:r>
          </w:p>
        </w:tc>
        <w:tc>
          <w:tcPr>
            <w:tcW w:w="191" w:type="dxa"/>
            <w:tcBorders/>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 on forward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529,616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529,883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contractual maturities of our cash equivalents and investments as of June 30, 2025:</w:t>
      </w:r>
    </w:p>
    <w:tbl>
      <w:tblPr>
        <w:tblW w:w="5765" w:type="dxa"/>
        <w:jc w:val="left"/>
        <w:tblInd w:w="0" w:type="dxa"/>
        <w:tblLayout w:type="fixed"/>
        <w:tblCellMar>
          <w:top w:w="0" w:type="dxa"/>
          <w:left w:w="0" w:type="dxa"/>
          <w:bottom w:w="0" w:type="dxa"/>
          <w:right w:w="0" w:type="dxa"/>
        </w:tblCellMar>
      </w:tblPr>
      <w:tblGrid>
        <w:gridCol w:w="2761"/>
        <w:gridCol w:w="326"/>
        <w:gridCol w:w="249"/>
        <w:gridCol w:w="996"/>
        <w:gridCol w:w="326"/>
        <w:gridCol w:w="211"/>
        <w:gridCol w:w="89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753235" cy="175260"/>
                      <wp:effectExtent l="0" t="0" r="0" b="0"/>
                      <wp:wrapNone/>
                      <wp:docPr id="260" name="Frame260"/>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8115" cy="175260"/>
                      <wp:effectExtent l="0" t="0" r="0" b="0"/>
                      <wp:wrapNone/>
                      <wp:docPr id="262" name="Frame2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32460" cy="175260"/>
                      <wp:effectExtent l="0" t="0" r="0" b="0"/>
                      <wp:wrapNone/>
                      <wp:docPr id="263" name="Frame263"/>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68960" cy="175260"/>
                      <wp:effectExtent l="0" t="0" r="0" b="0"/>
                      <wp:wrapNone/>
                      <wp:docPr id="266" name="Frame26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576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within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517,556</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one year through two years</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31,114</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548,670</w:t>
            </w:r>
          </w:p>
        </w:tc>
      </w:tr>
    </w:tbl>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(c)  Other Financial Instruments</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pStyle w:val="TextBody"/>
        <w:bidi w:val="0"/>
        <w:spacing w:before="0" w:after="0"/>
        <w:ind w:left="0" w:right="0" w:firstLine="72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(d)  Forward Currency Exchange Contracts</w:t>
      </w:r>
    </w:p>
    <w:p>
      <w:pPr>
        <w:pStyle w:val="TextBody"/>
        <w:pBdr/>
        <w:bidi w:val="0"/>
        <w:spacing w:before="0" w:after="0"/>
        <w:ind w:left="0" w:right="0" w:hanging="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are marked-to-market and the valuation adjustments related to these open contracts are recorded in the current asset or current liability account. Any unrealized gain or loss on the open contracts is recognized and recorded within Other, net in our Consolidated Statement of Operations. These contracts are measured at fair value using observable market inputs such as forward currency exchange rates and our counterparties’ credit risks. Based on these inputs, the derivative instruments are classified within Level 2 of the valuation hierarchy. At June 30, 2025, the recognized unrealized loss on these forward exchange contracts was approximately $0.5 million. 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our continued ability to trade and enter into forward contracts, we consider the markets for our fair value instruments to be active. We evaluated the credit risk associated with the counterparties to these derivative instruments and determined that as of June 30, 2025, such credit risks have not had an adverse impact on the fair value of these instruments.</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13.  Financing Arrangements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30, 2015, we sold our corporate headquarters facility in Beverly, Massachusetts for $48.9 million. As part of the sale, we also entered into a 22-year lease agreement of our headquarters facility. This sale-leaseback is accounted for as a finance lease under generally accepted accounting principles and, as such, we have recorded a finance lease obligation of $43.0 million as of June 30, 2025. The associated lease payments include both an interest component and payment of principal, with the remaining liability being extinguished at the end of the original lease term. As of June 30, 2025, we had a security deposit of $5.9 million related to this lease in the form of a cash collateralized letter of credit, which is classified as long-term restricted cash on our balance sheet at June 30, 2025. </w:t>
      </w:r>
    </w:p>
    <w:p>
      <w:pPr>
        <w:pStyle w:val="TextBody"/>
        <w:pBdr/>
        <w:bidi w:val="0"/>
        <w:spacing w:before="0" w:after="0"/>
        <w:ind w:left="0" w:right="0" w:hanging="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Income tax expense was $3.6 million for the three months ended June 30, 2025, compared to $6.4 million for the three months ended June 30, 2024. The $2.8 million decrease was primarily due to the decrease in pre-tax book income and an increased Foreign Derived Intangible Income deduction. The effective tax rate (“ETR”) for the six months ended June 30, 2025 was less than the U.S. statutory rate of 21% primarily attributable to Foreign Derived Intangible Income deduction and Federal research and development tax credits. The reported ETR for the three months ended June 30, 2025 was 10.3% compared to 11.2% for the three months ended June 30, 2024.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4, 2025, U.S tax legislation known as the One Big Beautiful Bill Act (the “OBBBA”) was signed into law. The OBBBA makes permanent many of the tax provisions enacted as part of the Tax Cuts and Jobs Act of 2017 that were originally set to expire at the end of 2025. In addition, the OBBBA makes changes to certain U.S. corporate tax provisions, many of which are not in effect until 2026. The Company is currently evaluating the impact of this new legislation.</w:t>
      </w:r>
    </w:p>
    <w:p>
      <w:pPr>
        <w:pStyle w:val="TextBody"/>
        <w:bidi w:val="0"/>
        <w:spacing w:before="0" w:after="0"/>
        <w:ind w:left="0" w:right="0" w:firstLine="720"/>
        <w:jc w:val="left"/>
        <w:rPr/>
      </w:pPr>
      <w:r>
        <w:rPr/>
        <w:t>​</w:t>
      </w:r>
    </w:p>
    <w:p>
      <w:pPr>
        <w:pStyle w:val="TextBody"/>
        <w:pBdr/>
        <w:bidi w:val="0"/>
        <w:spacing w:before="0" w:after="0"/>
        <w:ind w:left="0" w:right="0" w:hanging="806"/>
        <w:jc w:val="left"/>
        <w:rPr>
          <w:rFonts w:ascii="Times New Roman;Times;serif" w:hAnsi="Times New Roman;Times;serif"/>
          <w:b/>
          <w:sz w:val="20"/>
        </w:rPr>
      </w:pPr>
      <w:r>
        <w:rPr>
          <w:rFonts w:ascii="Times New Roman;Times;serif" w:hAnsi="Times New Roman;Times;serif"/>
          <w:b/>
          <w:sz w:val="20"/>
        </w:rPr>
        <w:t>Note 15.  Concentration of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2025, no individual customer accounted for greater than ten percent of total revenue. For the three months ended June 30, 2024, one customer accounted for 11.5% of total 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June 30, 2025, two customers accounted for 11.6% and 11.2% of total revenue, respectively. For the six months ended June 30, 2024, no individual customer accounted for greater than ten percent of total revenue.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2025, no individual customer accounted for greater than ten precent of accounts receivable. At December 31, 2024, one customer accounted for 10.0% of accounts receivable.</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 Share Repurchase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2025, our Board of Directors approved an additional funding of $100 million for our stock repurchase program. This approval brings the current outstanding repurchase authorization to $215 million. During the six months ended June 30, 2025, we repurchased 1.1 million shares of common stock at an average cost of $57.20 per share. The timing and actual number of any additional shares to be repurchased under this program will depend on various factors including price, corporate and regulatory requirements, alternative investment opportunities and other market conditions.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 over par value is deducted from retained earnings. Direct costs incurred to acquire the shares are included in the total cost of the shares.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Litigation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Indemnifications</w:t>
      </w:r>
    </w:p>
    <w:p>
      <w:pPr>
        <w:pStyle w:val="TextBody"/>
        <w:bidi w:val="0"/>
        <w:spacing w:lineRule="atLeast" w:line="210"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54" w:name="Tc_SLeAroXzx0OhHSLAl6p1GA_14_11"/>
      <w:bookmarkStart w:id="1155" w:name="Tc_rlcXjBNdQUGvc_MqFvwoog_14_8"/>
      <w:bookmarkStart w:id="1156" w:name="Tc_H1raBMxAKkKY9-wt6qCIZQ_14_5"/>
      <w:bookmarkStart w:id="1157" w:name="Tc_0jThNYFPzUewficUnDhb6A_14_2"/>
      <w:bookmarkStart w:id="1158" w:name="Tc_4zMCqX0f-0en6MAs03QtpQ_14_0"/>
      <w:bookmarkStart w:id="1159" w:name="Tc_BaTDHhrYJkKh9kcEWlBpwg_13_12"/>
      <w:bookmarkStart w:id="1160" w:name="Tc_uL17cTBD6k-XNk1ZfGVi9Q_13_9"/>
      <w:bookmarkStart w:id="1161" w:name="Tc_cwGKVYACjkiTEGhz44PBiw_13_6"/>
      <w:bookmarkStart w:id="1162" w:name="Tc_Rxjk3AL2-UGv18ZjTlvlIw_13_3"/>
      <w:bookmarkStart w:id="1163" w:name="Tc_teWPnuP9AEGbEcTpJZ0KhA_13_0"/>
      <w:bookmarkStart w:id="1164" w:name="Tc_pwtw6Hf0u0yvThQs6UhKXw_12_0"/>
      <w:bookmarkStart w:id="1165" w:name="Tc_H-WxOLKT5kCuCJNO030L5A_11_0"/>
      <w:bookmarkStart w:id="1166" w:name="Tc_ZEzVr-IAzkWGeDVAruct8w_10_0"/>
      <w:bookmarkStart w:id="1167" w:name="Tc_co3-NpKfMEuKNUpjYUwamw_9_0"/>
      <w:bookmarkStart w:id="1168" w:name="Tc_VNj2-nliIUKE_NMj4EYqog_8_0"/>
      <w:bookmarkStart w:id="1169" w:name="Tc_LTLxzPRBX0-yDV9UNqBRiA_7_0"/>
      <w:bookmarkStart w:id="1170" w:name="Tc_371qulgsL0qGggz3V2mozg_6_0"/>
      <w:bookmarkStart w:id="1171" w:name="Tc_JJHrh3_ZTU21Phq0_GC51Q_5_0"/>
      <w:bookmarkStart w:id="1172" w:name="Tc_XgNfkUvJOECgPHMLyD5NjQ_4_11"/>
      <w:bookmarkStart w:id="1173" w:name="Tc_Szq4gcUt6U-W75cyLfRiDA_4_8"/>
      <w:bookmarkStart w:id="1174" w:name="Tc__qwgn_yd00uiOKloxBMcYg_4_5"/>
      <w:bookmarkStart w:id="1175" w:name="Tc_jjcYAVd2Q02IJmTyBqS-kA_4_2"/>
      <w:bookmarkStart w:id="1176" w:name="Tc_oXosrGBJGkidCY_fx8BS_Q_4_0"/>
      <w:bookmarkStart w:id="1177" w:name="Tc_meMDI19yx0CxFDHh9p2P_g_3_2"/>
      <w:bookmarkStart w:id="1178" w:name="Tc_dp7uD_PV3UyvYCiLuD96SQ_2_11"/>
      <w:bookmarkStart w:id="1179" w:name="Tc_mcUuf3tx-0a_tMt4chu_Aw_2_8"/>
      <w:bookmarkStart w:id="1180" w:name="Tc_vNsMw_wK9UqaBt5Z6uhCsA_2_5"/>
      <w:bookmarkStart w:id="1181" w:name="Tc_l1bmAz6mtUyzv4CZoEWYlA_2_2"/>
      <w:bookmarkStart w:id="1182" w:name="Tc_q2RBLo5y4UqAruxEPGAUpQ_1_8"/>
      <w:bookmarkStart w:id="1183" w:name="Tc_FRUBVXeATUGA_4uQmd5Pfw_1_2"/>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ascii="Times New Roman;Times;serif" w:hAnsi="Times New Roman;Times;serif"/>
          <w:b/>
          <w:sz w:val="20"/>
        </w:rPr>
        <w:t>Note 18. Business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operates as one operating segment. The Company’s chief operating decision maker (“CODM”) is our chief executive officer, who assesses financial performance for the Company and decides how to allocate resources based on consolidated net income. Segment asset information is provided to the CODM but it is not used to allocate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selected financial information with respect to the Company’s single operating segment for the three and six months ended June 30, 2025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44"/>
        <w:gridCol w:w="326"/>
        <w:gridCol w:w="211"/>
        <w:gridCol w:w="818"/>
        <w:gridCol w:w="326"/>
        <w:gridCol w:w="211"/>
        <w:gridCol w:w="818"/>
        <w:gridCol w:w="109"/>
        <w:gridCol w:w="211"/>
        <w:gridCol w:w="818"/>
        <w:gridCol w:w="326"/>
        <w:gridCol w:w="211"/>
        <w:gridCol w:w="818"/>
        <w:gridCol w:w="158"/>
      </w:tblGrid>
      <w:tr>
        <w:trPr/>
        <w:tc>
          <w:tcPr>
            <w:tcW w:w="4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075940" cy="175260"/>
                      <wp:effectExtent l="0" t="0" r="0" b="0"/>
                      <wp:wrapNone/>
                      <wp:docPr id="267" name="Frame267"/>
                      <a:graphic xmlns:a="http://schemas.openxmlformats.org/drawingml/2006/main">
                        <a:graphicData uri="http://schemas.microsoft.com/office/word/2010/wordprocessingShape">
                          <wps:wsp>
                            <wps:cNvSpPr txBox="1"/>
                            <wps:spPr>
                              <a:xfrm>
                                <a:off x="0" y="0"/>
                                <a:ext cx="307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19430" cy="175260"/>
                      <wp:effectExtent l="0" t="0" r="0" b="0"/>
                      <wp:wrapNone/>
                      <wp:docPr id="270" name="Frame270"/>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19430" cy="175260"/>
                      <wp:effectExtent l="0" t="0" r="0" b="0"/>
                      <wp:wrapNone/>
                      <wp:docPr id="273" name="Frame273"/>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19430" cy="175260"/>
                      <wp:effectExtent l="0" t="0" r="0" b="0"/>
                      <wp:wrapNone/>
                      <wp:docPr id="276" name="Frame276"/>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19430" cy="175260"/>
                      <wp:effectExtent l="0" t="0" r="0" b="0"/>
                      <wp:wrapNone/>
                      <wp:docPr id="279" name="Frame279"/>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00330" cy="175260"/>
                      <wp:effectExtent l="0" t="0" r="0" b="0"/>
                      <wp:wrapNone/>
                      <wp:docPr id="280" name="Frame280"/>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3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15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7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8" w:type="dxa"/>
            <w:tcBorders/>
            <w:vAlign w:val="center"/>
          </w:tcPr>
          <w:p>
            <w:pPr>
              <w:pStyle w:val="TableContents"/>
              <w:bidi w:val="0"/>
              <w:spacing w:before="0" w:after="0"/>
              <w:ind w:left="0" w:right="0" w:hanging="0"/>
              <w:jc w:val="center"/>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194,544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256,512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387,107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508,883 </w:t>
            </w:r>
          </w:p>
        </w:tc>
        <w:tc>
          <w:tcPr>
            <w:tcW w:w="158" w:type="dxa"/>
            <w:tcBorders/>
            <w:shd w:fill="CCEEFF" w:val="clear"/>
            <w:vAlign w:val="center"/>
          </w:tcPr>
          <w:p>
            <w:pPr>
              <w:pStyle w:val="TableContents"/>
              <w:bidi w:val="0"/>
              <w:spacing w:before="0" w:after="0"/>
              <w:ind w:left="0" w:right="0" w:hanging="0"/>
              <w:jc w:val="right"/>
              <w:rPr/>
            </w:pPr>
            <w:r>
              <w:rPr/>
              <w:t>​</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right"/>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107,201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144,103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210,996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280,423 </w:t>
            </w:r>
          </w:p>
        </w:tc>
        <w:tc>
          <w:tcPr>
            <w:tcW w:w="158" w:type="dxa"/>
            <w:tcBorders/>
            <w:shd w:fill="CCEEFF" w:val="clear"/>
            <w:vAlign w:val="center"/>
          </w:tcPr>
          <w:p>
            <w:pPr>
              <w:pStyle w:val="TableContents"/>
              <w:bidi w:val="0"/>
              <w:spacing w:before="0" w:after="0"/>
              <w:ind w:left="0" w:right="0" w:hanging="0"/>
              <w:jc w:val="right"/>
              <w:rPr/>
            </w:pPr>
            <w:r>
              <w:rPr/>
              <w:t>​</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27,064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25,786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54,192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51,448 </w:t>
            </w:r>
          </w:p>
        </w:tc>
        <w:tc>
          <w:tcPr>
            <w:tcW w:w="158" w:type="dxa"/>
            <w:tcBorders/>
            <w:vAlign w:val="center"/>
          </w:tcPr>
          <w:p>
            <w:pPr>
              <w:pStyle w:val="TableContents"/>
              <w:bidi w:val="0"/>
              <w:spacing w:before="0" w:after="0"/>
              <w:ind w:left="0" w:right="0" w:hanging="0"/>
              <w:jc w:val="right"/>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15,003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17,230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30,127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34,675 </w:t>
            </w:r>
          </w:p>
        </w:tc>
        <w:tc>
          <w:tcPr>
            <w:tcW w:w="158" w:type="dxa"/>
            <w:tcBorders/>
            <w:shd w:fill="CCEEFF" w:val="clear"/>
            <w:vAlign w:val="center"/>
          </w:tcPr>
          <w:p>
            <w:pPr>
              <w:pStyle w:val="TableContents"/>
              <w:bidi w:val="0"/>
              <w:spacing w:before="0" w:after="0"/>
              <w:ind w:left="0" w:right="0" w:hanging="0"/>
              <w:jc w:val="right"/>
              <w:rPr/>
            </w:pPr>
            <w:r>
              <w:rPr/>
              <w:t>​</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16,311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16,583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33,668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32,988 </w:t>
            </w:r>
          </w:p>
        </w:tc>
        <w:tc>
          <w:tcPr>
            <w:tcW w:w="158" w:type="dxa"/>
            <w:tcBorders/>
            <w:vAlign w:val="center"/>
          </w:tcPr>
          <w:p>
            <w:pPr>
              <w:pStyle w:val="TableContents"/>
              <w:bidi w:val="0"/>
              <w:spacing w:before="0" w:after="0"/>
              <w:ind w:left="0" w:right="0" w:hanging="0"/>
              <w:jc w:val="right"/>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6,032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4,455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9,957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6,914 </w:t>
            </w:r>
          </w:p>
        </w:tc>
        <w:tc>
          <w:tcPr>
            <w:tcW w:w="158" w:type="dxa"/>
            <w:tcBorders/>
            <w:shd w:fill="CCEEFF" w:val="clear"/>
            <w:vAlign w:val="center"/>
          </w:tcPr>
          <w:p>
            <w:pPr>
              <w:pStyle w:val="TableContents"/>
              <w:bidi w:val="0"/>
              <w:spacing w:before="0" w:after="0"/>
              <w:ind w:left="0" w:right="0" w:hanging="0"/>
              <w:jc w:val="right"/>
              <w:rPr/>
            </w:pPr>
            <w:r>
              <w:rPr/>
              <w:t>​</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3,621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6,399 </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8,126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13,803 </w:t>
            </w:r>
          </w:p>
        </w:tc>
        <w:tc>
          <w:tcPr>
            <w:tcW w:w="158" w:type="dxa"/>
            <w:tcBorders/>
            <w:vAlign w:val="center"/>
          </w:tcPr>
          <w:p>
            <w:pPr>
              <w:pStyle w:val="TableContents"/>
              <w:bidi w:val="0"/>
              <w:spacing w:before="0" w:after="0"/>
              <w:ind w:left="0" w:right="0" w:hanging="0"/>
              <w:jc w:val="right"/>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31,376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50,866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59,955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102,460 </w:t>
            </w:r>
          </w:p>
        </w:tc>
        <w:tc>
          <w:tcPr>
            <w:tcW w:w="158" w:type="dxa"/>
            <w:tcBorders/>
            <w:shd w:fill="CCEEFF" w:val="clear"/>
            <w:vAlign w:val="center"/>
          </w:tcPr>
          <w:p>
            <w:pPr>
              <w:pStyle w:val="TableContents"/>
              <w:bidi w:val="0"/>
              <w:spacing w:before="0" w:after="0"/>
              <w:ind w:left="0" w:right="0" w:hanging="0"/>
              <w:jc w:val="right"/>
              <w:rPr/>
            </w:pPr>
            <w:r>
              <w:rPr/>
              <w:t>​</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profit or loss Adjustments and reconciling items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58" w:type="dxa"/>
            <w:tcBorders/>
            <w:vAlign w:val="center"/>
          </w:tcPr>
          <w:p>
            <w:pPr>
              <w:pStyle w:val="TableContents"/>
              <w:bidi w:val="0"/>
              <w:spacing w:before="0" w:after="0"/>
              <w:ind w:left="0" w:right="0" w:hanging="0"/>
              <w:jc w:val="right"/>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102,460</w:t>
            </w:r>
          </w:p>
        </w:tc>
        <w:tc>
          <w:tcPr>
            <w:tcW w:w="158"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above table includes depreciation expense and amortization expense of $4.5 million and $8.8 million for the three and six month periods ended June 30, 2025, respectively, and $3.9 million and $7.6 million for the three and six month periods ended June 30,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19.  Recent Accounting Guidance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2023-09, Income Taxes (Topic 740): Improvements to Income Tax Disclosures (“ASU 2023-09”). 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We are currently evaluating the impact of ASU 2023-09 on our future consolidated financial statements and related disclosures.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Accounting Standards Update 2024-03, Income Statement—Reporting Comprehensive Income—Expense Disaggregation Disclosures (Subtopic 220-40): Disaggregation of Income Statement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(“ASU 2024-03”). ASU 2024-03 is intended to enhance the disclosures for expenses for all public entities in accordance with ASC Topic 220, Income Statement-Reporting Comprehensive Income. ASU 2024-03 addresses investor requests for more detailed information about expenses, specifically cost of sales and selling, general, and administrative expenses.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ASU 2024-03 is effective for 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pStyle w:val="TextBody"/>
        <w:bidi w:val="0"/>
        <w:spacing w:before="0" w:after="0"/>
        <w:ind w:left="0" w:right="0" w:firstLine="720"/>
        <w:jc w:val="left"/>
        <w:rPr/>
      </w:pPr>
      <w:r>
        <w:rPr/>
        <w:t>​</w:t>
      </w:r>
    </w:p>
    <w:p>
      <w:pPr>
        <w:pStyle w:val="TextBody"/>
        <w:bidi w:val="0"/>
        <w:spacing w:before="0" w:after="0"/>
        <w:ind w:left="0" w:right="0" w:hanging="0"/>
        <w:jc w:val="left"/>
        <w:rPr/>
      </w:pPr>
      <w:bookmarkStart w:id="1184" w:name="_2c8e7646_9d36_4ce1_ba10_6d73763aad9c"/>
      <w:bookmarkEnd w:id="118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85" w:name="Item2ManagementsDiscussionandAnalysisofF"/>
      <w:bookmarkEnd w:id="118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i/>
          <w:sz w:val="20"/>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below and under “Risk Factors” in Part I, Item 1A to our </w:t>
      </w:r>
      <w:hyperlink r:id="rId2">
        <w:r>
          <w:rPr>
            <w:rStyle w:val="InternetLink"/>
            <w:rFonts w:ascii="Times New Roman;Times;serif" w:hAnsi="Times New Roman;Times;serif"/>
            <w:b w:val="false"/>
            <w:i/>
            <w:sz w:val="20"/>
          </w:rPr>
          <w:t>2024 Form 10-K</w:t>
        </w:r>
      </w:hyperlink>
      <w:r>
        <w:rPr>
          <w:rFonts w:ascii="Times New Roman;Times;serif" w:hAnsi="Times New Roman;Times;serif"/>
          <w:i/>
          <w:sz w:val="20"/>
        </w:rPr>
        <w:t>,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86" w:name="Overview_288809"/>
      <w:bookmarkEnd w:id="1186"/>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55.5% of total revenue for the six months ended June 30,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of our systems in the first six months of 2025 were down compared to the same period in the prior year, as customers have moderated the pace of investments into mature process node technologies. The overall mature process segment represented 92% of our shipped systems revenue, with 8% of shipments to dynamic random-access memory (“DRAM”) applications. Of the mature process segment, power device shipments comprised 47% of total systems revenue with the general mature segment representing 45%, which includes image sensor applications starting with first quarter 2025 results.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ending June 30, 2025, the geopolitical environment surrounding trade and tariffs did not have a meaningful impact on our financial results. It is difficult to predict the exact timing and magnitude of the tariffs, the duration for which the tariffs will be in place, and the impact the tariffs will have on our customers and suppliers. We continue to develop plans to reduce the potential impact of these tariffs by leveraging our global supply chain and manufacturing footprint.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87" w:name="CriticalAccountingEstimates_482826"/>
      <w:bookmarkEnd w:id="1187"/>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included herein and in our 2024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has not identified any need to make any material change in, and has not changed, any of our critical accounting estimates and judgments as described in “Management’s Discussion and Analysis of Financial Condition and Results of Operations” included in our 2024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88" w:name="ResultsofOperations_659595"/>
      <w:bookmarkEnd w:id="1188"/>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results of operations as a percentage of total revenue:</w:t>
      </w:r>
    </w:p>
    <w:p>
      <w:pPr>
        <w:pStyle w:val="TextBody"/>
        <w:bidi w:val="0"/>
        <w:spacing w:before="0" w:after="0"/>
        <w:ind w:left="0" w:right="0" w:firstLine="720"/>
        <w:jc w:val="left"/>
        <w:rPr/>
      </w:pPr>
      <w:r>
        <w:rPr/>
        <w:t>​</w:t>
      </w:r>
    </w:p>
    <w:tbl>
      <w:tblPr>
        <w:tblW w:w="6789" w:type="dxa"/>
        <w:jc w:val="left"/>
        <w:tblInd w:w="0" w:type="dxa"/>
        <w:tblLayout w:type="fixed"/>
        <w:tblCellMar>
          <w:top w:w="0" w:type="dxa"/>
          <w:left w:w="0" w:type="dxa"/>
          <w:bottom w:w="0" w:type="dxa"/>
          <w:right w:w="0" w:type="dxa"/>
        </w:tblCellMar>
      </w:tblPr>
      <w:tblGrid>
        <w:gridCol w:w="2101"/>
        <w:gridCol w:w="326"/>
        <w:gridCol w:w="608"/>
        <w:gridCol w:w="388"/>
        <w:gridCol w:w="608"/>
        <w:gridCol w:w="326"/>
        <w:gridCol w:w="326"/>
        <w:gridCol w:w="534"/>
        <w:gridCol w:w="341"/>
        <w:gridCol w:w="534"/>
        <w:gridCol w:w="326"/>
        <w:gridCol w:w="37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4135" cy="175260"/>
                      <wp:effectExtent l="0" t="0" r="0" b="0"/>
                      <wp:wrapNone/>
                      <wp:docPr id="281" name="Frame28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86080" cy="175260"/>
                      <wp:effectExtent l="0" t="0" r="0" b="0"/>
                      <wp:wrapNone/>
                      <wp:docPr id="283" name="Frame283"/>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6380" cy="175260"/>
                      <wp:effectExtent l="0" t="0" r="0" b="0"/>
                      <wp:wrapNone/>
                      <wp:docPr id="284" name="Frame28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86080" cy="175260"/>
                      <wp:effectExtent l="0" t="0" r="0" b="0"/>
                      <wp:wrapNone/>
                      <wp:docPr id="285" name="Frame285"/>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39090" cy="175260"/>
                      <wp:effectExtent l="0" t="0" r="0" b="0"/>
                      <wp:wrapNone/>
                      <wp:docPr id="288" name="Frame288"/>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6535" cy="175260"/>
                      <wp:effectExtent l="0" t="0" r="0" b="0"/>
                      <wp:wrapNone/>
                      <wp:docPr id="289" name="Frame289"/>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39090" cy="175260"/>
                      <wp:effectExtent l="0" t="0" r="0" b="0"/>
                      <wp:wrapNone/>
                      <wp:docPr id="290" name="Frame290"/>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35585" cy="175260"/>
                      <wp:effectExtent l="0" t="0" r="0" b="0"/>
                      <wp:wrapNone/>
                      <wp:docPr id="292" name="Frame2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8"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1"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w:t>
            </w:r>
          </w:p>
        </w:tc>
        <w:tc>
          <w:tcPr>
            <w:tcW w:w="38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w:t>
            </w:r>
          </w:p>
        </w:tc>
        <w:tc>
          <w:tcPr>
            <w:tcW w:w="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88"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1"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88"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41"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w:t>
            </w:r>
          </w:p>
        </w:tc>
        <w:tc>
          <w:tcPr>
            <w:tcW w:w="32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88"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w:t>
            </w:r>
          </w:p>
        </w:tc>
        <w:tc>
          <w:tcPr>
            <w:tcW w:w="341"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2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88"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41"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388"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341"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2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88"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1"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w:t>
            </w:r>
          </w:p>
        </w:tc>
        <w:tc>
          <w:tcPr>
            <w:tcW w:w="326"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88"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41"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388" w:type="dxa"/>
            <w:tcBorders/>
            <w:shd w:fill="CCEEFF" w:val="clear"/>
            <w:vAlign w:val="center"/>
          </w:tcPr>
          <w:p>
            <w:pPr>
              <w:pStyle w:val="TableContents"/>
              <w:bidi w:val="0"/>
              <w:spacing w:before="0" w:after="0"/>
              <w:ind w:left="0" w:right="0" w:hanging="0"/>
              <w:jc w:val="left"/>
              <w:rPr/>
            </w:pPr>
            <w:r>
              <w:rPr/>
              <w:t> </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41"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w:t>
            </w:r>
          </w:p>
        </w:tc>
        <w:tc>
          <w:tcPr>
            <w:tcW w:w="326"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88" w:type="dxa"/>
            <w:tcBorders/>
            <w:vAlign w:val="center"/>
          </w:tcPr>
          <w:p>
            <w:pPr>
              <w:pStyle w:val="TableContents"/>
              <w:bidi w:val="0"/>
              <w:spacing w:before="0" w:after="0"/>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1" w:type="dxa"/>
            <w:tcBorders/>
            <w:vAlign w:val="center"/>
          </w:tcPr>
          <w:p>
            <w:pPr>
              <w:pStyle w:val="TableContents"/>
              <w:bidi w:val="0"/>
              <w:spacing w:before="0" w:after="0"/>
              <w:ind w:left="0" w:right="0" w:hanging="0"/>
              <w:jc w:val="left"/>
              <w:rPr/>
            </w:pPr>
            <w:r>
              <w:rPr/>
              <w:t> </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product and services revenue:</w:t>
      </w:r>
    </w:p>
    <w:p>
      <w:pPr>
        <w:pStyle w:val="TextBody"/>
        <w:bidi w:val="0"/>
        <w:spacing w:before="0" w:after="0"/>
        <w:ind w:left="0" w:right="0" w:hanging="0"/>
        <w:jc w:val="left"/>
        <w:rPr/>
      </w:pPr>
      <w:r>
        <w:rPr/>
        <w:t>​</w:t>
      </w:r>
    </w:p>
    <w:tbl>
      <w:tblPr>
        <w:tblW w:w="10348" w:type="dxa"/>
        <w:jc w:val="left"/>
        <w:tblInd w:w="0" w:type="dxa"/>
        <w:tblLayout w:type="fixed"/>
        <w:tblCellMar>
          <w:top w:w="0" w:type="dxa"/>
          <w:left w:w="0" w:type="dxa"/>
          <w:bottom w:w="0" w:type="dxa"/>
          <w:right w:w="0" w:type="dxa"/>
        </w:tblCellMar>
      </w:tblPr>
      <w:tblGrid>
        <w:gridCol w:w="916"/>
        <w:gridCol w:w="326"/>
        <w:gridCol w:w="196"/>
        <w:gridCol w:w="691"/>
        <w:gridCol w:w="346"/>
        <w:gridCol w:w="196"/>
        <w:gridCol w:w="691"/>
        <w:gridCol w:w="346"/>
        <w:gridCol w:w="196"/>
        <w:gridCol w:w="661"/>
        <w:gridCol w:w="326"/>
        <w:gridCol w:w="481"/>
        <w:gridCol w:w="346"/>
        <w:gridCol w:w="196"/>
        <w:gridCol w:w="691"/>
        <w:gridCol w:w="346"/>
        <w:gridCol w:w="196"/>
        <w:gridCol w:w="691"/>
        <w:gridCol w:w="346"/>
        <w:gridCol w:w="196"/>
        <w:gridCol w:w="751"/>
        <w:gridCol w:w="109"/>
        <w:gridCol w:w="481"/>
        <w:gridCol w:w="256"/>
        <w:gridCol w:w="371"/>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81660" cy="175260"/>
                      <wp:effectExtent l="0" t="0" r="0" b="0"/>
                      <wp:wrapNone/>
                      <wp:docPr id="293" name="Frame29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785" cy="175260"/>
                      <wp:effectExtent l="0" t="0" r="0" b="0"/>
                      <wp:wrapNone/>
                      <wp:docPr id="296" name="Frame2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4460" cy="175260"/>
                      <wp:effectExtent l="0" t="0" r="0" b="0"/>
                      <wp:wrapNone/>
                      <wp:docPr id="298" name="Frame2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8785" cy="175260"/>
                      <wp:effectExtent l="0" t="0" r="0" b="0"/>
                      <wp:wrapNone/>
                      <wp:docPr id="299" name="Frame2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19735" cy="175260"/>
                      <wp:effectExtent l="0" t="0" r="0" b="0"/>
                      <wp:wrapNone/>
                      <wp:docPr id="302" name="Frame30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05435" cy="175260"/>
                      <wp:effectExtent l="0" t="0" r="0" b="0"/>
                      <wp:wrapNone/>
                      <wp:docPr id="304" name="Frame30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260"/>
                      <wp:effectExtent l="0" t="0" r="0" b="0"/>
                      <wp:wrapNone/>
                      <wp:docPr id="307" name="Frame3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8785" cy="175260"/>
                      <wp:effectExtent l="0" t="0" r="0" b="0"/>
                      <wp:wrapNone/>
                      <wp:docPr id="310" name="Frame3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4460" cy="175260"/>
                      <wp:effectExtent l="0" t="0" r="0" b="0"/>
                      <wp:wrapNone/>
                      <wp:docPr id="312" name="Frame3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76885" cy="175260"/>
                      <wp:effectExtent l="0" t="0" r="0" b="0"/>
                      <wp:wrapNone/>
                      <wp:docPr id="313" name="Frame31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05435" cy="175260"/>
                      <wp:effectExtent l="0" t="0" r="0" b="0"/>
                      <wp:wrapNone/>
                      <wp:docPr id="315" name="Frame31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2560" cy="175260"/>
                      <wp:effectExtent l="0" t="0" r="0" b="0"/>
                      <wp:wrapNone/>
                      <wp:docPr id="316" name="Frame31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35585" cy="175260"/>
                      <wp:effectExtent l="0" t="0" r="0" b="0"/>
                      <wp:wrapNone/>
                      <wp:docPr id="317" name="Frame3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6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3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3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0348"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0"/>
              <w:ind w:left="0" w:right="0" w:hanging="0"/>
              <w:jc w:val="left"/>
              <w:rPr/>
            </w:pPr>
            <w:r>
              <w:rPr/>
              <w:t>​</w:t>
            </w:r>
          </w:p>
        </w:tc>
        <w:tc>
          <w:tcPr>
            <w:tcW w:w="9061"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71"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245,380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(61,978)</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366,226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488,798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(122,572)</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371"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4.0</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371"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194,544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256,512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(61,968)</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(24.2)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387,107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508,883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(121,776)</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(23.9)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revenue, which includes systems sales, sales of spare parts, product upgrades and used systems, was $183.4 million, or 94.3% of revenue, during the three months ended June 30, 2025, compared with $245.4 million, or 95.7% of revenue, for the three months ended June 30, 2024. The $62.0 million decrease in product revenue for the three-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 period ended June 30, 2025, in comparison to the same period in 2024, was primarily driven by a decrease in system sales.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Deferred revenue includes payments received in advance of system sales as well as deferral of revenue from systems sales for installation and other future performance obligations. The total amount of deferred revenue at June 30, 2025 and December 31, 2024 was $129.7 million and $138.2 million, respectively. </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Services revenue, which includes the labor component of maintenance and service contracts and fees for service hours provided by on-site service personnel, was $11.1 million, or 5.7% of revenue, for the three months ended June 30, 2025, relatively flat compared with $11.1 million, or 4.3% of revenue, for the three months ended June 30, 2024. Although services revenue typically increases with the expansion of the installed base of systems, it can fluctuate from period to period based on capacity utilization at customers’ manufacturing facilities, which affects the need for equipment service.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revenue was $366.2 million, or 94.6% of revenue, during the six months ended June 30, 2025, compared with $488.8 million, or 96.1% of revenue, for the six months ended June 30, 2024. The $122.6 million decrease in product revenue for the six-month period ended June 30, 2025, in comparison to the same period in 2024, was primarily driven by a decrease in system sales.</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Services revenue was $20.9 million, or 5.4% of revenue, for the six months ended June 30, 2025, compared with $20.1 million, or 3.9% of revenue, for the six months ended June 30, 2024.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Categories used by Management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line item revenue categories discussed above, management also regularly disaggregates revenue in the following categories, which it finds relevant and useful:</w:t>
      </w:r>
    </w:p>
    <w:p>
      <w:pPr>
        <w:pStyle w:val="TextBody"/>
        <w:bidi w:val="0"/>
        <w:spacing w:before="0" w:after="0"/>
        <w:ind w:left="0" w:right="0" w:firstLine="720"/>
        <w:jc w:val="left"/>
        <w:rPr/>
      </w:pPr>
      <w:r>
        <w:rPr/>
        <w:t>​</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Systems and Aftermarket revenues, in which “Aftermarket” is: </w:t>
            </w:r>
          </w:p>
        </w:tc>
      </w:tr>
    </w:tbl>
    <w:tbl>
      <w:tblPr>
        <w:tblW w:w="9411" w:type="dxa"/>
        <w:jc w:val="left"/>
        <w:tblInd w:w="0" w:type="dxa"/>
        <w:tblLayout w:type="fixed"/>
        <w:tblCellMar>
          <w:top w:w="28" w:type="dxa"/>
          <w:left w:w="28" w:type="dxa"/>
          <w:bottom w:w="28" w:type="dxa"/>
          <w:right w:w="28" w:type="dxa"/>
        </w:tblCellMar>
      </w:tblPr>
      <w:tblGrid>
        <w:gridCol w:w="124"/>
        <w:gridCol w:w="28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Product revenue relating to spare parts, product upgrades and used equipment, combined with </w:t>
            </w:r>
          </w:p>
        </w:tc>
      </w:tr>
    </w:tbl>
    <w:tbl>
      <w:tblPr>
        <w:tblW w:w="6456" w:type="dxa"/>
        <w:jc w:val="left"/>
        <w:tblInd w:w="0" w:type="dxa"/>
        <w:tblLayout w:type="fixed"/>
        <w:tblCellMar>
          <w:top w:w="28" w:type="dxa"/>
          <w:left w:w="28" w:type="dxa"/>
          <w:bottom w:w="28" w:type="dxa"/>
          <w:right w:w="28" w:type="dxa"/>
        </w:tblCellMar>
      </w:tblPr>
      <w:tblGrid>
        <w:gridCol w:w="124"/>
        <w:gridCol w:w="28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which is the labor component of Aftermarket revenues;</w:t>
            </w:r>
          </w:p>
        </w:tc>
      </w:tr>
    </w:tbl>
    <w:p>
      <w:pPr>
        <w:pStyle w:val="TextBody"/>
        <w:bidi w:val="0"/>
        <w:spacing w:before="0" w:after="0"/>
        <w:ind w:left="216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 xml:space="preserve">(Aftermarket purchases reflect current fab utilization as opposed to Systems purchases which reflect capital investment decisions by our customers, which have differing economic drivers); </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Revenue by geographic regions, since economic factors impacting customer purchasing decisions may vary by geographic region; and</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advanced logic. </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Aftermarket and Systems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Included in total revenue of $194.5 million during the three months ended June 30, 2025 is revenue from our Aftermarket business of $61.3 million, compared with $57.9 million of Aftermarket revenue for the three months ended June 30, 2024.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$133.2 million of revenue for the three months ended June 30, 2025 was systems revenue, compared with $198.6 million of systems revenue for the three months ended June 30, 2024. Systems revenue fluctuates from period to period based on our customers’ capital spending.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Included in total revenue of $387.1 million during the six months ended June 30, 2025 is revenue from our Aftermarket business of $116.2 million, compared with $114.8 million of Aftermarket revenue for the six months ended June 30, 2024. The remaining $270.9 million of revenue for the six months ended June 30, 2025 was systems revenue, compared with $394.1 million of systems revenue for the six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 / Gross Margin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gross profit / gross margin: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2"/>
        <w:gridCol w:w="326"/>
        <w:gridCol w:w="196"/>
        <w:gridCol w:w="601"/>
        <w:gridCol w:w="346"/>
        <w:gridCol w:w="196"/>
        <w:gridCol w:w="691"/>
        <w:gridCol w:w="346"/>
        <w:gridCol w:w="196"/>
        <w:gridCol w:w="663"/>
        <w:gridCol w:w="326"/>
        <w:gridCol w:w="573"/>
        <w:gridCol w:w="346"/>
        <w:gridCol w:w="196"/>
        <w:gridCol w:w="691"/>
        <w:gridCol w:w="346"/>
        <w:gridCol w:w="196"/>
        <w:gridCol w:w="691"/>
        <w:gridCol w:w="346"/>
        <w:gridCol w:w="196"/>
        <w:gridCol w:w="663"/>
        <w:gridCol w:w="109"/>
        <w:gridCol w:w="573"/>
        <w:gridCol w:w="256"/>
        <w:gridCol w:w="374"/>
      </w:tblGrid>
      <w:tr>
        <w:trPr/>
        <w:tc>
          <w:tcPr>
            <w:tcW w:w="7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75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4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4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762" w:type="dxa"/>
            <w:tcBorders/>
            <w:vAlign w:val="center"/>
          </w:tcPr>
          <w:p>
            <w:pPr>
              <w:pStyle w:val="TableContents"/>
              <w:bidi w:val="0"/>
              <w:spacing w:before="0" w:after="0"/>
              <w:ind w:left="0" w:right="0" w:hanging="0"/>
              <w:jc w:val="left"/>
              <w:rPr/>
            </w:pPr>
            <w:r>
              <w:rPr/>
              <w:t>​</w:t>
            </w:r>
          </w:p>
        </w:tc>
        <w:tc>
          <w:tcPr>
            <w:tcW w:w="9069"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    </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(22,681)</w:t>
            </w:r>
          </w:p>
        </w:tc>
        <w:tc>
          <w:tcPr>
            <w:tcW w:w="32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(20.5)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176,264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226,128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(49,864)</w:t>
            </w:r>
          </w:p>
        </w:tc>
        <w:tc>
          <w:tcPr>
            <w:tcW w:w="109"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Product 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47.9</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45.1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(2,385)</w:t>
            </w:r>
          </w:p>
        </w:tc>
        <w:tc>
          <w:tcPr>
            <w:tcW w:w="32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(2,485)</w:t>
            </w:r>
          </w:p>
        </w:tc>
        <w:tc>
          <w:tcPr>
            <w:tcW w:w="109"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(106.6)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Services gross margin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(5.4)</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7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112,409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(25,066)</w:t>
            </w:r>
          </w:p>
        </w:tc>
        <w:tc>
          <w:tcPr>
            <w:tcW w:w="32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228,460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(52,349)</w:t>
            </w:r>
          </w:p>
        </w:tc>
        <w:tc>
          <w:tcPr>
            <w:tcW w:w="109"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44.9</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product revenue was 47.9% for the three months ended June 30, 2025, compared to 45.1% for the three months ended June 30, 2024. </w:t>
      </w:r>
      <w:r>
        <w:rPr>
          <w:rFonts w:ascii="Times" w:hAnsi="Times"/>
          <w:sz w:val="20"/>
        </w:rPr>
        <w:t>The increase in gross margin primarily resulted from improved margins on Purion systems and a favorable mix of parts and upgrades.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services revenue was (5.3)% for the three months ended June 30, 2025, compared to 16.1% for the three months ended June 30, 2024. </w:t>
      </w:r>
      <w:r>
        <w:rPr>
          <w:rFonts w:ascii="Times" w:hAnsi="Times"/>
          <w:sz w:val="20"/>
        </w:rPr>
        <w:t>The decrease in gross margin is attributable to changes in the mix of service contracts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product revenue was 48.1% for the six months ended June 30, 2025, compared to 46.3% for the six months ended June 30, 2024. </w:t>
      </w:r>
      <w:r>
        <w:rPr>
          <w:rFonts w:ascii="Times" w:hAnsi="Times"/>
          <w:sz w:val="20"/>
        </w:rPr>
        <w:t>The increase in gross margin primarily resulted from improved margins on Purion systems and a favorable mix of parts and upgrades.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services revenue was (0.7)% for the six months ended June 30, 2025, compared to 11.6% for the six months ended June 30, 2024. </w:t>
      </w:r>
      <w:r>
        <w:rPr>
          <w:rFonts w:ascii="Times" w:hAnsi="Times"/>
          <w:sz w:val="20"/>
        </w:rPr>
        <w:t>The decrease in gross margin is attributable to changes in the mix of service contracts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operating expenses: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82"/>
        <w:gridCol w:w="326"/>
        <w:gridCol w:w="196"/>
        <w:gridCol w:w="601"/>
        <w:gridCol w:w="326"/>
        <w:gridCol w:w="196"/>
        <w:gridCol w:w="601"/>
        <w:gridCol w:w="326"/>
        <w:gridCol w:w="196"/>
        <w:gridCol w:w="576"/>
        <w:gridCol w:w="326"/>
        <w:gridCol w:w="486"/>
        <w:gridCol w:w="241"/>
        <w:gridCol w:w="196"/>
        <w:gridCol w:w="691"/>
        <w:gridCol w:w="326"/>
        <w:gridCol w:w="196"/>
        <w:gridCol w:w="691"/>
        <w:gridCol w:w="326"/>
        <w:gridCol w:w="196"/>
        <w:gridCol w:w="576"/>
        <w:gridCol w:w="326"/>
        <w:gridCol w:w="486"/>
        <w:gridCol w:w="241"/>
        <w:gridCol w:w="375"/>
      </w:tblGrid>
      <w:tr>
        <w:trPr/>
        <w:tc>
          <w:tcPr>
            <w:tcW w:w="11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58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158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5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5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vAlign w:val="center"/>
          </w:tcPr>
          <w:p>
            <w:pPr>
              <w:pStyle w:val="TableContents"/>
              <w:bidi w:val="0"/>
              <w:spacing w:before="0" w:after="0"/>
              <w:ind w:left="0" w:right="0" w:hanging="0"/>
              <w:jc w:val="center"/>
              <w:rPr/>
            </w:pPr>
            <w:r>
              <w:rPr/>
              <w:t> </w:t>
            </w:r>
          </w:p>
        </w:tc>
        <w:tc>
          <w:tcPr>
            <w:tcW w:w="375"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82" w:type="dxa"/>
            <w:tcBorders/>
            <w:vAlign w:val="center"/>
          </w:tcPr>
          <w:p>
            <w:pPr>
              <w:pStyle w:val="TableContents"/>
              <w:bidi w:val="0"/>
              <w:spacing w:before="0" w:after="0"/>
              <w:ind w:left="0" w:right="0" w:hanging="0"/>
              <w:jc w:val="left"/>
              <w:rPr/>
            </w:pPr>
            <w:r>
              <w:rPr/>
              <w:t>​</w:t>
            </w:r>
          </w:p>
        </w:tc>
        <w:tc>
          <w:tcPr>
            <w:tcW w:w="8648"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25,786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w:t>
            </w:r>
          </w:p>
        </w:tc>
        <w:tc>
          <w:tcPr>
            <w:tcW w:w="326"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5.0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54,192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51,448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2,744</w:t>
            </w:r>
          </w:p>
        </w:tc>
        <w:tc>
          <w:tcPr>
            <w:tcW w:w="326"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5.3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5" w:type="dxa"/>
            <w:tcBorders/>
            <w:shd w:fill="CCEEFF" w:val="clear"/>
            <w:vAlign w:val="center"/>
          </w:tcPr>
          <w:p>
            <w:pPr>
              <w:pStyle w:val="TableContents"/>
              <w:bidi w:val="0"/>
              <w:spacing w:before="0" w:after="0"/>
              <w:ind w:left="0" w:right="0" w:hanging="0"/>
              <w:jc w:val="left"/>
              <w:rPr/>
            </w:pPr>
            <w:r>
              <w:rPr/>
              <w:t>    </w:t>
            </w:r>
          </w:p>
        </w:tc>
      </w:tr>
      <w:tr>
        <w:trPr/>
        <w:tc>
          <w:tcPr>
            <w:tcW w:w="118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13.9</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10.1</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14.0</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10.1</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(12.9)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(4,548)</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118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7.7</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6.7</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118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8.4</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8.7</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11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(1,221)</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117,987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119,111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(0.9)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1182"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30.0</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23.3</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30.5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23.4</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costs are our largest expense, representing $35.9 million, or 61.5%, of our total operating expenses for the three months ended June 30, 2025, compared to $35.3 million, or 59.2%, of our total operating expenses for the three months ended June 30, 2024. Personnel costs were $71.3 million, or 60.4%, of our total operating expenses for the six months ended June 30, 2025, compared to $71.7 million, or 60.2%, of our total operating expenses for the six months ended June 30, 2024. The higher personnel costs for the three months ended June 30, 2025 are primarily due to an increase in variable compensation expense, partially offset by decreases in expatriate expenses, stock-based compensation, and separation program expenses. The lower personnel costs for the six months ended June 30, 2025 are primarily due to a decrease in variable compensation expense and expatriate expenses, partially offset by increases in wages and separation program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8"/>
        <w:gridCol w:w="326"/>
        <w:gridCol w:w="196"/>
        <w:gridCol w:w="601"/>
        <w:gridCol w:w="326"/>
        <w:gridCol w:w="196"/>
        <w:gridCol w:w="601"/>
        <w:gridCol w:w="326"/>
        <w:gridCol w:w="222"/>
        <w:gridCol w:w="580"/>
        <w:gridCol w:w="123"/>
        <w:gridCol w:w="411"/>
        <w:gridCol w:w="256"/>
        <w:gridCol w:w="109"/>
        <w:gridCol w:w="196"/>
        <w:gridCol w:w="601"/>
        <w:gridCol w:w="326"/>
        <w:gridCol w:w="196"/>
        <w:gridCol w:w="601"/>
        <w:gridCol w:w="326"/>
        <w:gridCol w:w="109"/>
        <w:gridCol w:w="196"/>
        <w:gridCol w:w="569"/>
        <w:gridCol w:w="363"/>
        <w:gridCol w:w="404"/>
        <w:gridCol w:w="256"/>
        <w:gridCol w:w="371"/>
      </w:tblGrid>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33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33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4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3" w:type="dxa"/>
            <w:tcBorders/>
            <w:vAlign w:val="center"/>
          </w:tcPr>
          <w:p>
            <w:pPr>
              <w:pStyle w:val="TableContents"/>
              <w:bidi w:val="0"/>
              <w:spacing w:before="0" w:after="0"/>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3"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0205" w:type="dxa"/>
            <w:gridSpan w:val="27"/>
            <w:tcBorders/>
            <w:vAlign w:val="center"/>
          </w:tcPr>
          <w:p>
            <w:pPr>
              <w:pStyle w:val="TableContents"/>
              <w:bidi w:val="0"/>
              <w:spacing w:before="0" w:after="283"/>
              <w:ind w:left="0" w:right="0" w:hanging="0"/>
              <w:jc w:val="left"/>
              <w:rPr>
                <w:sz w:val="4"/>
                <w:szCs w:val="4"/>
              </w:rPr>
            </w:pPr>
            <w:r>
              <w:rPr>
                <w:sz w:val="4"/>
                <w:szCs w:val="4"/>
              </w:rPr>
            </w:r>
          </w:p>
        </w:tc>
      </w:tr>
      <w:tr>
        <w:trPr/>
        <w:tc>
          <w:tcPr>
            <w:tcW w:w="1418" w:type="dxa"/>
            <w:tcBorders/>
            <w:vAlign w:val="center"/>
          </w:tcPr>
          <w:p>
            <w:pPr>
              <w:pStyle w:val="TableContents"/>
              <w:bidi w:val="0"/>
              <w:spacing w:before="0" w:after="0"/>
              <w:ind w:left="0" w:right="0" w:hanging="0"/>
              <w:jc w:val="left"/>
              <w:rPr/>
            </w:pPr>
            <w:r>
              <w:rPr/>
              <w:t>​</w:t>
            </w:r>
          </w:p>
        </w:tc>
        <w:tc>
          <w:tcPr>
            <w:tcW w:w="8416" w:type="dxa"/>
            <w:gridSpan w:val="2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71" w:type="dxa"/>
            <w:tcBorders/>
            <w:vAlign w:val="center"/>
          </w:tcPr>
          <w:p>
            <w:pPr>
              <w:pStyle w:val="TableContents"/>
              <w:bidi w:val="0"/>
              <w:spacing w:before="0" w:after="0"/>
              <w:ind w:left="0" w:right="0" w:hanging="0"/>
              <w:jc w:val="left"/>
              <w:rPr/>
            </w:pPr>
            <w:r>
              <w:rPr/>
              <w:t>​</w:t>
            </w:r>
          </w:p>
        </w:tc>
      </w:tr>
      <w:tr>
        <w:trPr/>
        <w:tc>
          <w:tcPr>
            <w:tcW w:w="14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27,064</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25,786</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w:t>
            </w:r>
          </w:p>
        </w:tc>
        <w:tc>
          <w:tcPr>
            <w:tcW w:w="123"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54,192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51,448</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2,744</w:t>
            </w:r>
          </w:p>
        </w:tc>
        <w:tc>
          <w:tcPr>
            <w:tcW w:w="363" w:type="dxa"/>
            <w:tcBorders/>
            <w:shd w:fill="CCEEFF" w:val="clear"/>
            <w:vAlign w:val="center"/>
          </w:tcPr>
          <w:p>
            <w:pPr>
              <w:pStyle w:val="TableContents"/>
              <w:bidi w:val="0"/>
              <w:spacing w:before="0" w:after="0"/>
              <w:ind w:left="0" w:right="0" w:hanging="0"/>
              <w:jc w:val="left"/>
              <w:rPr/>
            </w:pPr>
            <w:r>
              <w:rPr/>
              <w:t>    </w:t>
            </w:r>
          </w:p>
        </w:tc>
        <w:tc>
          <w:tcPr>
            <w:tcW w:w="404"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41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13.9</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10.1</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22"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pPr>
            <w:r>
              <w:rPr/>
              <w:t>​</w:t>
            </w:r>
          </w:p>
        </w:tc>
        <w:tc>
          <w:tcPr>
            <w:tcW w:w="123"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14.0</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10.1</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remain competitive depends largely on continuously developing innovative technology, with new and enhanced features and systems and introducing them at competitive prices on a timely basis. Accordingly, based on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plan, we establish annual research and development budgets to fund programs that we expect will solve customers’ high value, high impact, ion implantation challenges.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was $27.1 million during the three months ended June 30, 2025, an increase of $1.3 million, or 5.0%, compared with $25.8 million during the three months ended June 30, 2024. The increase is primarily due to higher personnel expenses, driven by increases in variable compensation and stock-based compensation, and increases in depreciation and amortization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 was $54.2 million during the six months ended June 30, 2025, an increase of $2.7 million, or 5.3%, compared with $51.4 million during the six months ended June 30, 2024. The increase is primarily due to higher personnel payroll expense, stock-based compensation, separation program expense, and an increase in depreciation and amortization expense.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57"/>
        <w:gridCol w:w="326"/>
        <w:gridCol w:w="196"/>
        <w:gridCol w:w="601"/>
        <w:gridCol w:w="326"/>
        <w:gridCol w:w="196"/>
        <w:gridCol w:w="601"/>
        <w:gridCol w:w="326"/>
        <w:gridCol w:w="256"/>
        <w:gridCol w:w="597"/>
        <w:gridCol w:w="109"/>
        <w:gridCol w:w="507"/>
        <w:gridCol w:w="346"/>
        <w:gridCol w:w="196"/>
        <w:gridCol w:w="601"/>
        <w:gridCol w:w="326"/>
        <w:gridCol w:w="196"/>
        <w:gridCol w:w="601"/>
        <w:gridCol w:w="326"/>
        <w:gridCol w:w="256"/>
        <w:gridCol w:w="597"/>
        <w:gridCol w:w="326"/>
        <w:gridCol w:w="507"/>
        <w:gridCol w:w="256"/>
        <w:gridCol w:w="373"/>
      </w:tblGrid>
      <w:tr>
        <w:trPr/>
        <w:tc>
          <w:tcPr>
            <w:tcW w:w="12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12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46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168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12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68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12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5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257" w:type="dxa"/>
            <w:tcBorders/>
            <w:vAlign w:val="center"/>
          </w:tcPr>
          <w:p>
            <w:pPr>
              <w:pStyle w:val="TableContents"/>
              <w:bidi w:val="0"/>
              <w:spacing w:before="0" w:after="0"/>
              <w:ind w:left="0" w:right="0" w:hanging="0"/>
              <w:jc w:val="left"/>
              <w:rPr/>
            </w:pPr>
            <w:r>
              <w:rPr/>
              <w:t>​</w:t>
            </w:r>
          </w:p>
        </w:tc>
        <w:tc>
          <w:tcPr>
            <w:tcW w:w="8575"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73" w:type="dxa"/>
            <w:tcBorders/>
            <w:vAlign w:val="center"/>
          </w:tcPr>
          <w:p>
            <w:pPr>
              <w:pStyle w:val="TableContents"/>
              <w:bidi w:val="0"/>
              <w:spacing w:before="0" w:after="0"/>
              <w:ind w:left="0" w:right="0" w:hanging="0"/>
              <w:jc w:val="left"/>
              <w:rPr/>
            </w:pPr>
            <w:r>
              <w:rPr/>
              <w:t>​</w:t>
            </w:r>
          </w:p>
        </w:tc>
      </w:tr>
      <w:tr>
        <w:trPr/>
        <w:tc>
          <w:tcPr>
            <w:tcW w:w="1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17,230</w:t>
            </w:r>
          </w:p>
        </w:tc>
        <w:tc>
          <w:tcPr>
            <w:tcW w:w="32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(2,227)</w:t>
            </w:r>
          </w:p>
        </w:tc>
        <w:tc>
          <w:tcPr>
            <w:tcW w:w="109" w:type="dxa"/>
            <w:tcBorders/>
            <w:shd w:fill="CCEEFF" w:val="clear"/>
            <w:vAlign w:val="center"/>
          </w:tcPr>
          <w:p>
            <w:pPr>
              <w:pStyle w:val="TableContents"/>
              <w:bidi w:val="0"/>
              <w:spacing w:before="0" w:after="0"/>
              <w:ind w:left="0" w:right="0" w:hanging="0"/>
              <w:jc w:val="left"/>
              <w:rPr/>
            </w:pPr>
            <w:r>
              <w:rPr/>
              <w:t>​</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34,675</w:t>
            </w:r>
          </w:p>
        </w:tc>
        <w:tc>
          <w:tcPr>
            <w:tcW w:w="32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(4,548)</w:t>
            </w:r>
          </w:p>
        </w:tc>
        <w:tc>
          <w:tcPr>
            <w:tcW w:w="326"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1257"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7.7</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6.7</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sales and marketing expenses result primarily from the sale of our equipment and services through our direct sales force.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$15.0 million during the three months ended June 30, 2025, a decrease of $2.2 million, or 12.9%, compared with $17.2 million during the three months ended June 30, 2024. The decrease is primarily due to a decrease in expatriate expenses and tool evaluation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$30.1 million during the six months ended June 30, 2025, a decrease of $4.5 million, or 13.1%, compared with $34.7 million during the six months ended June 30, 2024. The decrease is primarily due to a decrease in expatriate expenses and tool evaluation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3"/>
        <w:gridCol w:w="326"/>
        <w:gridCol w:w="196"/>
        <w:gridCol w:w="601"/>
        <w:gridCol w:w="326"/>
        <w:gridCol w:w="196"/>
        <w:gridCol w:w="601"/>
        <w:gridCol w:w="326"/>
        <w:gridCol w:w="256"/>
        <w:gridCol w:w="468"/>
        <w:gridCol w:w="326"/>
        <w:gridCol w:w="423"/>
        <w:gridCol w:w="346"/>
        <w:gridCol w:w="196"/>
        <w:gridCol w:w="601"/>
        <w:gridCol w:w="326"/>
        <w:gridCol w:w="196"/>
        <w:gridCol w:w="601"/>
        <w:gridCol w:w="326"/>
        <w:gridCol w:w="207"/>
        <w:gridCol w:w="398"/>
        <w:gridCol w:w="345"/>
        <w:gridCol w:w="386"/>
        <w:gridCol w:w="256"/>
        <w:gridCol w:w="373"/>
      </w:tblGrid>
      <w:tr>
        <w:trPr/>
        <w:tc>
          <w:tcPr>
            <w:tcW w:w="1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017905" cy="175260"/>
                      <wp:effectExtent l="0" t="0" r="0" b="0"/>
                      <wp:wrapNone/>
                      <wp:docPr id="318" name="Frame318"/>
                      <a:graphic xmlns:a="http://schemas.openxmlformats.org/drawingml/2006/main">
                        <a:graphicData uri="http://schemas.microsoft.com/office/word/2010/wordprocessingShape">
                          <wps:wsp>
                            <wps:cNvSpPr txBox="1"/>
                            <wps:spPr>
                              <a:xfrm>
                                <a:off x="0" y="0"/>
                                <a:ext cx="1017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81635" cy="175260"/>
                      <wp:effectExtent l="0" t="0" r="0" b="0"/>
                      <wp:wrapNone/>
                      <wp:docPr id="321" name="Frame32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81635" cy="175260"/>
                      <wp:effectExtent l="0" t="0" r="0" b="0"/>
                      <wp:wrapNone/>
                      <wp:docPr id="324" name="Frame32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2560" cy="175260"/>
                      <wp:effectExtent l="0" t="0" r="0" b="0"/>
                      <wp:wrapNone/>
                      <wp:docPr id="326" name="Frame32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97180" cy="175260"/>
                      <wp:effectExtent l="0" t="0" r="0" b="0"/>
                      <wp:wrapNone/>
                      <wp:docPr id="327" name="Frame327"/>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68605" cy="175260"/>
                      <wp:effectExtent l="0" t="0" r="0" b="0"/>
                      <wp:wrapNone/>
                      <wp:docPr id="329" name="Frame329"/>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4460" cy="175260"/>
                      <wp:effectExtent l="0" t="0" r="0" b="0"/>
                      <wp:wrapNone/>
                      <wp:docPr id="331" name="Frame3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81635" cy="175260"/>
                      <wp:effectExtent l="0" t="0" r="0" b="0"/>
                      <wp:wrapNone/>
                      <wp:docPr id="332" name="Frame3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34" name="Frame3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81635" cy="175260"/>
                      <wp:effectExtent l="0" t="0" r="0" b="0"/>
                      <wp:wrapNone/>
                      <wp:docPr id="335" name="Frame33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1445" cy="175260"/>
                      <wp:effectExtent l="0" t="0" r="0" b="0"/>
                      <wp:wrapNone/>
                      <wp:docPr id="337" name="Frame33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52730" cy="175260"/>
                      <wp:effectExtent l="0" t="0" r="0" b="0"/>
                      <wp:wrapNone/>
                      <wp:docPr id="338" name="Frame33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075" cy="175260"/>
                      <wp:effectExtent l="0" t="0" r="0" b="0"/>
                      <wp:wrapNone/>
                      <wp:docPr id="339" name="Frame33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45110" cy="175260"/>
                      <wp:effectExtent l="0" t="0" r="0" b="0"/>
                      <wp:wrapNone/>
                      <wp:docPr id="340" name="Frame34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62560" cy="175260"/>
                      <wp:effectExtent l="0" t="0" r="0" b="0"/>
                      <wp:wrapNone/>
                      <wp:docPr id="341" name="Frame34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6855" cy="175260"/>
                      <wp:effectExtent l="0" t="0" r="0" b="0"/>
                      <wp:wrapNone/>
                      <wp:docPr id="342" name="Frame34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47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16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4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left"/>
              <w:rPr/>
            </w:pPr>
            <w:r>
              <w:rP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16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5"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603" w:type="dxa"/>
            <w:tcBorders/>
            <w:vAlign w:val="center"/>
          </w:tcPr>
          <w:p>
            <w:pPr>
              <w:pStyle w:val="TableContents"/>
              <w:bidi w:val="0"/>
              <w:spacing w:before="0" w:after="0"/>
              <w:ind w:left="0" w:right="0" w:hanging="0"/>
              <w:jc w:val="left"/>
              <w:rPr/>
            </w:pPr>
            <w:r>
              <w:rPr/>
              <w:t>​</w:t>
            </w:r>
          </w:p>
        </w:tc>
        <w:tc>
          <w:tcPr>
            <w:tcW w:w="8229"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73" w:type="dxa"/>
            <w:tcBorders/>
            <w:vAlign w:val="center"/>
          </w:tcPr>
          <w:p>
            <w:pPr>
              <w:pStyle w:val="TableContents"/>
              <w:bidi w:val="0"/>
              <w:spacing w:before="0" w:after="0"/>
              <w:ind w:left="0" w:right="0" w:hanging="0"/>
              <w:jc w:val="left"/>
              <w:rPr/>
            </w:pPr>
            <w:r>
              <w:rPr/>
              <w:t>​</w:t>
            </w:r>
          </w:p>
        </w:tc>
      </w:tr>
      <w:tr>
        <w:trPr/>
        <w:tc>
          <w:tcPr>
            <w:tcW w:w="16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16,311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16,583</w:t>
            </w:r>
          </w:p>
        </w:tc>
        <w:tc>
          <w:tcPr>
            <w:tcW w:w="32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right"/>
              <w:rPr/>
            </w:pPr>
            <w:r>
              <w:rPr/>
              <w:t> </w:t>
            </w:r>
            <w:r>
              <w:rPr>
                <w:rFonts w:ascii="Times New Roman;Times;serif" w:hAnsi="Times New Roman;Times;serif"/>
                <w:sz w:val="18"/>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shd w:fill="CCEEFF" w:val="clear"/>
            <w:vAlign w:val="center"/>
          </w:tcPr>
          <w:p>
            <w:pPr>
              <w:pStyle w:val="TableContents"/>
              <w:bidi w:val="0"/>
              <w:spacing w:before="0" w:after="0"/>
              <w:ind w:left="0" w:right="0" w:hanging="0"/>
              <w:jc w:val="left"/>
              <w:rPr/>
            </w:pPr>
            <w:r>
              <w:rPr/>
              <w:t>    </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33,668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32,988</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w:t>
            </w:r>
          </w:p>
        </w:tc>
        <w:tc>
          <w:tcPr>
            <w:tcW w:w="345" w:type="dxa"/>
            <w:tcBorders/>
            <w:shd w:fill="CCEEFF" w:val="clear"/>
            <w:vAlign w:val="center"/>
          </w:tcPr>
          <w:p>
            <w:pPr>
              <w:pStyle w:val="TableContents"/>
              <w:bidi w:val="0"/>
              <w:spacing w:before="0" w:after="0"/>
              <w:ind w:left="0" w:right="0" w:hanging="0"/>
              <w:jc w:val="left"/>
              <w:rPr/>
            </w:pPr>
            <w:r>
              <w:rPr/>
              <w:t>    </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1603"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8.4</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8.7</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07" w:type="dxa"/>
            <w:tcBorders/>
            <w:vAlign w:val="center"/>
          </w:tcPr>
          <w:p>
            <w:pPr>
              <w:pStyle w:val="TableContents"/>
              <w:bidi w:val="0"/>
              <w:spacing w:before="0" w:after="0"/>
              <w:ind w:left="0" w:right="0" w:hanging="0"/>
              <w:jc w:val="right"/>
              <w:rPr/>
            </w:pPr>
            <w:r>
              <w:rPr/>
              <w:t>​</w:t>
            </w:r>
          </w:p>
        </w:tc>
        <w:tc>
          <w:tcPr>
            <w:tcW w:w="398"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general and administrative expenses result primarily from the costs associated with our executive, finance, information technology, legal and human resource functions.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$16.3 million during the three months ended June 30, 2025, a decrease of $0.3 million, or 1.6%, compared with $16.6 million during the three months ended June 30, 2024. The decrease is primarily due to a decrease in project and consulting expenses and travel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$33.7 million during the six months ended June 30, 2025, an increase of $0.7 million, or 2.1%, compared with $33.0 million during the six months ended June 30, 2024. The increase is primarily due to professional fees and the recovery of a previously written-off receivable in the prior year period.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0"/>
        <w:ind w:left="0" w:right="0" w:hanging="0"/>
        <w:jc w:val="left"/>
        <w:rPr/>
      </w:pPr>
      <w:r>
        <w:rPr/>
        <w:t>​</w:t>
      </w:r>
    </w:p>
    <w:tbl>
      <w:tblPr>
        <w:tblW w:w="9313" w:type="dxa"/>
        <w:jc w:val="left"/>
        <w:tblInd w:w="0" w:type="dxa"/>
        <w:tblLayout w:type="fixed"/>
        <w:tblCellMar>
          <w:top w:w="0" w:type="dxa"/>
          <w:left w:w="0" w:type="dxa"/>
          <w:bottom w:w="0" w:type="dxa"/>
          <w:right w:w="0" w:type="dxa"/>
        </w:tblCellMar>
      </w:tblPr>
      <w:tblGrid>
        <w:gridCol w:w="1861"/>
        <w:gridCol w:w="146"/>
        <w:gridCol w:w="196"/>
        <w:gridCol w:w="511"/>
        <w:gridCol w:w="256"/>
        <w:gridCol w:w="196"/>
        <w:gridCol w:w="511"/>
        <w:gridCol w:w="256"/>
        <w:gridCol w:w="203"/>
        <w:gridCol w:w="529"/>
        <w:gridCol w:w="151"/>
        <w:gridCol w:w="438"/>
        <w:gridCol w:w="256"/>
        <w:gridCol w:w="146"/>
        <w:gridCol w:w="196"/>
        <w:gridCol w:w="511"/>
        <w:gridCol w:w="256"/>
        <w:gridCol w:w="196"/>
        <w:gridCol w:w="511"/>
        <w:gridCol w:w="256"/>
        <w:gridCol w:w="203"/>
        <w:gridCol w:w="529"/>
        <w:gridCol w:w="151"/>
        <w:gridCol w:w="438"/>
        <w:gridCol w:w="256"/>
        <w:gridCol w:w="154"/>
      </w:tblGrid>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0"/>
              <w:ind w:left="0" w:right="0" w:hanging="0"/>
              <w:jc w:val="center"/>
              <w:rPr/>
            </w:pPr>
            <w:r>
              <w:rPr/>
              <w:t>​</w:t>
            </w:r>
          </w:p>
        </w:tc>
        <w:tc>
          <w:tcPr>
            <w:tcW w:w="132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56" w:type="dxa"/>
            <w:tcBorders/>
            <w:vAlign w:val="center"/>
          </w:tcPr>
          <w:p>
            <w:pPr>
              <w:pStyle w:val="TableContents"/>
              <w:bidi w:val="0"/>
              <w:spacing w:before="0" w:after="0"/>
              <w:ind w:left="0" w:right="0" w:hanging="0"/>
              <w:jc w:val="center"/>
              <w:rPr/>
            </w:pPr>
            <w:r>
              <w:rPr/>
              <w:t>​</w:t>
            </w:r>
          </w:p>
        </w:tc>
        <w:tc>
          <w:tcPr>
            <w:tcW w:w="132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3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3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0"/>
              <w:ind w:left="0" w:right="0" w:hanging="0"/>
              <w:jc w:val="center"/>
              <w:rPr/>
            </w:pPr>
            <w:r>
              <w:rPr/>
              <w:t>​</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51" w:type="dxa"/>
            <w:tcBorders/>
            <w:vAlign w:val="center"/>
          </w:tcPr>
          <w:p>
            <w:pPr>
              <w:pStyle w:val="TableContents"/>
              <w:bidi w:val="0"/>
              <w:spacing w:before="0" w:after="0"/>
              <w:ind w:left="0" w:right="0" w:hanging="0"/>
              <w:jc w:val="center"/>
              <w:rPr/>
            </w:pPr>
            <w:r>
              <w:rPr/>
              <w:t>​</w:t>
            </w:r>
          </w:p>
        </w:tc>
        <w:tc>
          <w:tcPr>
            <w:tcW w:w="4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0"/>
              <w:ind w:left="0" w:right="0" w:hanging="0"/>
              <w:jc w:val="center"/>
              <w:rPr/>
            </w:pPr>
            <w:r>
              <w:rPr/>
              <w:t>​</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51" w:type="dxa"/>
            <w:tcBorders/>
            <w:vAlign w:val="center"/>
          </w:tcPr>
          <w:p>
            <w:pPr>
              <w:pStyle w:val="TableContents"/>
              <w:bidi w:val="0"/>
              <w:spacing w:before="0" w:after="0"/>
              <w:ind w:left="0" w:right="0" w:hanging="0"/>
              <w:jc w:val="center"/>
              <w:rPr/>
            </w:pPr>
            <w:r>
              <w:rPr/>
              <w:t>​</w:t>
            </w:r>
          </w:p>
        </w:tc>
        <w:tc>
          <w:tcPr>
            <w:tcW w:w="4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9313" w:type="dxa"/>
            <w:gridSpan w:val="26"/>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7298" w:type="dxa"/>
            <w:gridSpan w:val="2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154" w:type="dxa"/>
            <w:tcBorders/>
            <w:vAlign w:val="center"/>
          </w:tcPr>
          <w:p>
            <w:pPr>
              <w:pStyle w:val="TableContents"/>
              <w:bidi w:val="0"/>
              <w:spacing w:before="0" w:after="0"/>
              <w:ind w:left="0" w:right="0" w:hanging="0"/>
              <w:jc w:val="center"/>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6,032</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4,455</w:t>
            </w:r>
          </w:p>
        </w:tc>
        <w:tc>
          <w:tcPr>
            <w:tcW w:w="25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1,577</w:t>
            </w:r>
          </w:p>
        </w:tc>
        <w:tc>
          <w:tcPr>
            <w:tcW w:w="151" w:type="dxa"/>
            <w:tcBorders/>
            <w:shd w:fill="CCEEFF" w:val="clear"/>
            <w:vAlign w:val="center"/>
          </w:tcPr>
          <w:p>
            <w:pPr>
              <w:pStyle w:val="TableContents"/>
              <w:bidi w:val="0"/>
              <w:spacing w:before="0" w:after="0"/>
              <w:ind w:left="0" w:right="0" w:hanging="0"/>
              <w:jc w:val="left"/>
              <w:rPr/>
            </w:pPr>
            <w:r>
              <w:rPr/>
              <w:t> </w:t>
            </w:r>
          </w:p>
        </w:tc>
        <w:tc>
          <w:tcPr>
            <w:tcW w:w="438"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35.4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9,957</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6,914</w:t>
            </w:r>
          </w:p>
        </w:tc>
        <w:tc>
          <w:tcPr>
            <w:tcW w:w="25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3,043</w:t>
            </w:r>
          </w:p>
        </w:tc>
        <w:tc>
          <w:tcPr>
            <w:tcW w:w="151" w:type="dxa"/>
            <w:tcBorders/>
            <w:shd w:fill="CCEEFF" w:val="clear"/>
            <w:vAlign w:val="center"/>
          </w:tcPr>
          <w:p>
            <w:pPr>
              <w:pStyle w:val="TableContents"/>
              <w:bidi w:val="0"/>
              <w:spacing w:before="0" w:after="0"/>
              <w:ind w:left="0" w:right="0" w:hanging="0"/>
              <w:jc w:val="left"/>
              <w:rPr/>
            </w:pPr>
            <w:r>
              <w:rPr/>
              <w:t> </w:t>
            </w:r>
          </w:p>
        </w:tc>
        <w:tc>
          <w:tcPr>
            <w:tcW w:w="438"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44.0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1.8</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03"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2.6</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1.4</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03"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Three months ended June 30, 2025 Compared with Three months ended June 30,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was $6.0 million for the three months ended June 30, 2025, compared with other income of $4.5 million for the three months ended June 30, 2024. The $1.6 million increase in other income (expense) compared to the same prior year period was primarily due to a decrease in net foreign exchange losses of $1.8 million. Net foreign exchange losses for the three months ended June 30, 2025 includes $5.8 million of losses related to forward currency exchange contracts, partially offset by foreign exchange gains of $7.3 million. Net foreign exchange losses for the three months ended June 30, 2024 includes foreign exchange losses of $2.5 million, partially offset by foreign exchange gains of $2.3 million from forward currency exchange contracts.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Six months ended June 30, 2025 Compared with Six months ended June 30,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was $10.0 million for the six months ended June 30, 2025, compared with other income of $6.9 million for the six months ended June 30, 2024. The $3.0 million increase in other income (expense) compared to the same prior year period was primarily due to a decrease in net foreign exchange losses of $3.2 million. Net foreign exchange losses for the six months ended June 30, 2025 includes $7.0 million of losses related to forward currency exchange contracts, partially offset by foreign exchange gains of $8.1 million. Net foreign exchange losses for the six months ended June 30, 2024 includes foreign exchange losses of $5.9 million, partially offset by foreign exchange gains of $3.8 million from forward currency exchange contracts.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89" w:name="_Hlk101530771"/>
      <w:bookmarkEnd w:id="1189"/>
      <w:r>
        <w:rPr>
          <w:rFonts w:ascii="Times New Roman;Times;serif" w:hAnsi="Times New Roman;Times;serif"/>
          <w:b/>
          <w:sz w:val="20"/>
        </w:rPr>
        <w:t xml:space="preserve">Income Tax Provision </w:t>
      </w:r>
    </w:p>
    <w:p>
      <w:pPr>
        <w:pStyle w:val="TextBody"/>
        <w:bidi w:val="0"/>
        <w:spacing w:before="0" w:after="0"/>
        <w:ind w:left="0" w:right="0" w:hanging="0"/>
        <w:jc w:val="left"/>
        <w:rPr/>
      </w:pPr>
      <w:r>
        <w:rPr/>
        <w:t>​</w:t>
      </w:r>
    </w:p>
    <w:tbl>
      <w:tblPr>
        <w:tblW w:w="9961" w:type="dxa"/>
        <w:jc w:val="left"/>
        <w:tblInd w:w="0" w:type="dxa"/>
        <w:tblLayout w:type="fixed"/>
        <w:tblCellMar>
          <w:top w:w="0" w:type="dxa"/>
          <w:left w:w="0" w:type="dxa"/>
          <w:bottom w:w="0" w:type="dxa"/>
          <w:right w:w="0" w:type="dxa"/>
        </w:tblCellMar>
      </w:tblPr>
      <w:tblGrid>
        <w:gridCol w:w="1741"/>
        <w:gridCol w:w="146"/>
        <w:gridCol w:w="196"/>
        <w:gridCol w:w="511"/>
        <w:gridCol w:w="256"/>
        <w:gridCol w:w="146"/>
        <w:gridCol w:w="196"/>
        <w:gridCol w:w="511"/>
        <w:gridCol w:w="256"/>
        <w:gridCol w:w="196"/>
        <w:gridCol w:w="631"/>
        <w:gridCol w:w="146"/>
        <w:gridCol w:w="541"/>
        <w:gridCol w:w="256"/>
        <w:gridCol w:w="146"/>
        <w:gridCol w:w="196"/>
        <w:gridCol w:w="511"/>
        <w:gridCol w:w="256"/>
        <w:gridCol w:w="146"/>
        <w:gridCol w:w="196"/>
        <w:gridCol w:w="601"/>
        <w:gridCol w:w="256"/>
        <w:gridCol w:w="196"/>
        <w:gridCol w:w="631"/>
        <w:gridCol w:w="146"/>
        <w:gridCol w:w="541"/>
        <w:gridCol w:w="256"/>
        <w:gridCol w:w="15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105535" cy="175260"/>
                      <wp:effectExtent l="0" t="0" r="0" b="0"/>
                      <wp:wrapNone/>
                      <wp:docPr id="343" name="Frame34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92710" cy="175260"/>
                      <wp:effectExtent l="0" t="0" r="0" b="0"/>
                      <wp:wrapNone/>
                      <wp:docPr id="344" name="Frame3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4460" cy="175260"/>
                      <wp:effectExtent l="0" t="0" r="0" b="0"/>
                      <wp:wrapNone/>
                      <wp:docPr id="345" name="Frame3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24485" cy="175260"/>
                      <wp:effectExtent l="0" t="0" r="0" b="0"/>
                      <wp:wrapNone/>
                      <wp:docPr id="346" name="Frame34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62560" cy="175260"/>
                      <wp:effectExtent l="0" t="0" r="0" b="0"/>
                      <wp:wrapNone/>
                      <wp:docPr id="347" name="Frame34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92710" cy="175260"/>
                      <wp:effectExtent l="0" t="0" r="0" b="0"/>
                      <wp:wrapNone/>
                      <wp:docPr id="348" name="Frame3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49" name="Frame3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24485" cy="175260"/>
                      <wp:effectExtent l="0" t="0" r="0" b="0"/>
                      <wp:wrapNone/>
                      <wp:docPr id="350" name="Frame3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62560" cy="175260"/>
                      <wp:effectExtent l="0" t="0" r="0" b="0"/>
                      <wp:wrapNone/>
                      <wp:docPr id="351" name="Frame3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00685" cy="175260"/>
                      <wp:effectExtent l="0" t="0" r="0" b="0"/>
                      <wp:wrapNone/>
                      <wp:docPr id="353" name="Frame35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92710" cy="175260"/>
                      <wp:effectExtent l="0" t="0" r="0" b="0"/>
                      <wp:wrapNone/>
                      <wp:docPr id="354" name="Frame3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43535" cy="175260"/>
                      <wp:effectExtent l="0" t="0" r="0" b="0"/>
                      <wp:wrapNone/>
                      <wp:docPr id="355" name="Frame35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62560" cy="175260"/>
                      <wp:effectExtent l="0" t="0" r="0" b="0"/>
                      <wp:wrapNone/>
                      <wp:docPr id="356" name="Frame35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92710" cy="175260"/>
                      <wp:effectExtent l="0" t="0" r="0" b="0"/>
                      <wp:wrapNone/>
                      <wp:docPr id="357" name="Frame3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8" name="Frame3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24485" cy="175260"/>
                      <wp:effectExtent l="0" t="0" r="0" b="0"/>
                      <wp:wrapNone/>
                      <wp:docPr id="359" name="Frame3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62560" cy="175260"/>
                      <wp:effectExtent l="0" t="0" r="0" b="0"/>
                      <wp:wrapNone/>
                      <wp:docPr id="360" name="Frame36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92710" cy="175260"/>
                      <wp:effectExtent l="0" t="0" r="0" b="0"/>
                      <wp:wrapNone/>
                      <wp:docPr id="361" name="Frame3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62" name="Frame3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81635" cy="175260"/>
                      <wp:effectExtent l="0" t="0" r="0" b="0"/>
                      <wp:wrapNone/>
                      <wp:docPr id="363" name="Frame36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62560" cy="175260"/>
                      <wp:effectExtent l="0" t="0" r="0" b="0"/>
                      <wp:wrapNone/>
                      <wp:docPr id="364" name="Frame36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00685" cy="175260"/>
                      <wp:effectExtent l="0" t="0" r="0" b="0"/>
                      <wp:wrapNone/>
                      <wp:docPr id="366" name="Frame36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92710" cy="175260"/>
                      <wp:effectExtent l="0" t="0" r="0" b="0"/>
                      <wp:wrapNone/>
                      <wp:docPr id="367" name="Frame3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43535" cy="175260"/>
                      <wp:effectExtent l="0" t="0" r="0" b="0"/>
                      <wp:wrapNone/>
                      <wp:docPr id="368" name="Frame36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62560" cy="175260"/>
                      <wp:effectExtent l="0" t="0" r="0" b="0"/>
                      <wp:wrapNone/>
                      <wp:docPr id="369" name="Frame36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7790" cy="175260"/>
                      <wp:effectExtent l="0" t="0" r="0" b="0"/>
                      <wp:wrapNone/>
                      <wp:docPr id="370" name="Frame3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1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90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9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8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9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9961"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8066" w:type="dxa"/>
            <w:gridSpan w:val="2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154" w:type="dxa"/>
            <w:tcBorders/>
            <w:vAlign w:val="center"/>
          </w:tcPr>
          <w:p>
            <w:pPr>
              <w:pStyle w:val="TableContents"/>
              <w:bidi w:val="0"/>
              <w:spacing w:before="0" w:after="0"/>
              <w:ind w:left="0" w:right="0" w:hanging="0"/>
              <w:jc w:val="center"/>
              <w:rPr/>
            </w:pPr>
            <w:r>
              <w:rPr/>
              <w:t>​</w:t>
            </w:r>
          </w:p>
        </w:tc>
      </w:tr>
      <w:tr>
        <w:trPr/>
        <w:tc>
          <w:tcPr>
            <w:tcW w:w="174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provision</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3,621</w:t>
            </w:r>
          </w:p>
        </w:tc>
        <w:tc>
          <w:tcPr>
            <w:tcW w:w="25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6,399</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(2,778)</w:t>
            </w:r>
          </w:p>
        </w:tc>
        <w:tc>
          <w:tcPr>
            <w:tcW w:w="1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(43.4)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8,126</w:t>
            </w:r>
          </w:p>
        </w:tc>
        <w:tc>
          <w:tcPr>
            <w:tcW w:w="25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13,803</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(5,677)</w:t>
            </w:r>
          </w:p>
        </w:tc>
        <w:tc>
          <w:tcPr>
            <w:tcW w:w="1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(41.1)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1.9</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2.7</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was $3.6 million for the three months ended June 30, 2025, compared to $6.4 million for the three months ended June 30, 2024. The $2.8 million decrease was primarily due to the decrease in pre-tax book income and an increased Foreign Derived Intangible Income deduction. The ETR for the six months ended June 30, 2025 was less than the U.S. statutory rate of 21% primarily attributable to Foreign Derived Intangible Income deduction and Federal research and development tax credits. The reported ETR for the three months ended June 30, 2025 was 10.3% compared to 11.2% for the three months ended June 30,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4, 2025, U.S tax legislation known as the One Big Beautiful Bill Act (the “OBBBA”) was signed into law. The OBBBA makes permanent many of the tax provisions enacted as part of the Tax Cuts and Jobs Act of 2017 that were originally set to expire at the end of 2025. In addition, the OBBBA makes changes to certain U.S. corporate tax provisions, many of which are not effective until 2026. The Company is currently evaluating the impact of this new legislation.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90" w:name="LiquidityandCapitalResources_541794"/>
      <w:bookmarkEnd w:id="1190"/>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2025, we had $173.6 million in unrestricted cash and cash equivalents, $376.2 million in short-term investments and $31.1 million in long-term investments, in addition to $7.6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liquidity is affected by many factors. Some of these relate specifically to the operations of our business, for example, the rate of sales of our products, and others relate to the uncertainties of global economic conditions, including tariff programs implemented in countries in which we operate as well as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2025 and 2024, we generated $79.5 million and $82.3 million, respectively, of cash related to operating activities. </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activities for the six months ended June 30, 2025 resulted in cash generated of $35.9 million, $6.9 million of which was used for capital expenditures and $345.2 million of which was used to purchase short-term and long-term investments, offset by $388.0 million related to maturities and sales of short-term investments. Investing activities for the six months ended June 30, 2024 resulted in cash outflows of $61.3 million, $3.6 million of which was used for capital expenditures and $249.0 million of which was used to purchase short-term investments, offset by $191.3 million related to maturities of short-term investments.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Financing activities for the six months ended June 30, 2025 resulted in a cash usage of $67.1 million. During the first six months of 2025, (i) $63.5 million in cash was used to repurchase our common stock, (ii) $4.2 million was used for payments to government tax authorities for income tax withholding on employee compensation arising from the vesting of RSUs, where units are withheld by us to cover taxes, and (iii) $0.7 million was used to reduce the liability under the finance lease of our corporate headquarters. These amounts were partially offset by $1.2 million of proceeds related to the purchase of shares under our 2020 ESPP during the first six months of 2025. In comparison, financing activities for the six months ended June 30, 2024 resulted in cash usage of $40.7 million, of which (i) $30.0 million related to the repurchase of our common stock (ii) $11.2 million related to payments made to government tax authorities for income tax withholding on employee compensation arising from the vesting of RSUs, and (iii) $0.7 million relating to the reduction of our finance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These amounts were partially offset by $1.2 million of proceeds related to the purchase of shares under our 2020 ESPP during the first six months of 2024.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2025, we had a security deposit of $5.9 million related to the lease of our corporate headquarters in the form of a cash collateralized letter of credit, which is classified as long-term restricted cash on our balance sheet.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based on our current market, revenue, expense and cash flow forecasts, our existing cash and cash equivalents will be sufficient to satisfy our anticipated cash requirements for the short- and long-term.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Significant commitments and contingencies at June 30, 2025 are consistent with those discussed in Item 7, “Management’s Discussion and Analysis of Financial Condition and Results of Operations,” and Note 16 to the consolidated financial statements included in our 2024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1" w:name="Item3QuantitativeandQualitativeDisclosur"/>
      <w:bookmarkStart w:id="1192" w:name="_bdb70b0c_aaad_4848_877d_746a91b56377"/>
      <w:bookmarkEnd w:id="1191"/>
      <w:bookmarkEnd w:id="119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2025, there have been no material changes to the quantitative information about market risk disclosed in Item 7A, “Quantitative and Qualitative Disclosures about Market Risk” included in our 2024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3" w:name="Item4ControlsandProcedures_773908"/>
      <w:bookmarkStart w:id="1194" w:name="_3e6e7f8b_644d_48a1_a689_6992dc29efb9"/>
      <w:bookmarkEnd w:id="1193"/>
      <w:bookmarkEnd w:id="1194"/>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 13a-15(f) under the Exchange Act) identified in connection with the evaluation of our internal control that occurred during the three months ended June 30, 2025 that has materially affected, or is reasonably likely to materially affect, our internal control over financial reporting.</w:t>
      </w:r>
    </w:p>
    <w:p>
      <w:pPr>
        <w:pStyle w:val="TextBody"/>
        <w:bidi w:val="0"/>
        <w:spacing w:lineRule="auto" w:line="328"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95" w:name="PARTIIOTHERINFORMATION_940705"/>
      <w:bookmarkStart w:id="1196" w:name="_d955a273_212d_43ce_a5b2_3c8f7c5f7c71"/>
      <w:bookmarkEnd w:id="1195"/>
      <w:bookmarkEnd w:id="1196"/>
      <w:r>
        <w:rPr>
          <w:rFonts w:ascii="Times New Roman;Times;serif" w:hAnsi="Times New Roman;Times;serif"/>
          <w:b/>
          <w:sz w:val="20"/>
        </w:rPr>
        <w:t>PART II—OTHER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7" w:name="Item1LegalProceedings_163018"/>
      <w:bookmarkEnd w:id="1197"/>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8" w:name="Item1ARiskFactors_163682"/>
      <w:bookmarkStart w:id="1199" w:name="_bd83c714_8051_414a_b731_333102544ffd"/>
      <w:bookmarkEnd w:id="1198"/>
      <w:bookmarkEnd w:id="1199"/>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2025, there have been no material changes to the risk factors described in Item 1A, “Risk Factors” included in our 2024 Form 10-K.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00" w:name="Item2UnregisteredSalesofEquitySecurities"/>
      <w:bookmarkStart w:id="1201" w:name="_d4a6a040_abfc_4ba9_a2a6_5cdb23133ae5"/>
      <w:bookmarkEnd w:id="1200"/>
      <w:bookmarkEnd w:id="1201"/>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0"/>
        <w:ind w:left="0" w:right="0" w:hanging="0"/>
        <w:jc w:val="left"/>
        <w:rPr/>
      </w:pPr>
      <w:r>
        <w:rPr/>
        <w:t>​</w:t>
      </w:r>
    </w:p>
    <w:p>
      <w:pPr>
        <w:pStyle w:val="TextBody"/>
        <w:bidi w:val="0"/>
        <w:spacing w:before="90" w:after="0"/>
        <w:ind w:left="0" w:right="0" w:firstLine="720"/>
        <w:jc w:val="left"/>
        <w:rPr>
          <w:rFonts w:ascii="Times New Roman;Times;serif" w:hAnsi="Times New Roman;Times;serif"/>
          <w:sz w:val="20"/>
        </w:rPr>
      </w:pPr>
      <w:r>
        <w:rPr>
          <w:rFonts w:ascii="Times New Roman;Times;serif" w:hAnsi="Times New Roman;Times;serif"/>
          <w:sz w:val="20"/>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In March 2025, we announced that the Board of Directors approved an additional funding of $100 million for share repurchases. The Company’s share repurchase program does not have an expiration date.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repurchase activity, based upon settlement date, for the three months ended June 30, 2025 as well as the approximate dollar value of shares that may yet be purchased pursuant to our stock repurchase program: </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062"/>
        <w:gridCol w:w="266"/>
        <w:gridCol w:w="1445"/>
        <w:gridCol w:w="266"/>
        <w:gridCol w:w="1231"/>
        <w:gridCol w:w="266"/>
        <w:gridCol w:w="2462"/>
        <w:gridCol w:w="266"/>
        <w:gridCol w:w="613"/>
        <w:gridCol w:w="2171"/>
        <w:gridCol w:w="157"/>
      </w:tblGrid>
      <w:tr>
        <w:trPr/>
        <w:tc>
          <w:tcPr>
            <w:tcW w:w="106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68910" cy="175260"/>
                      <wp:effectExtent l="0" t="0" r="0" b="0"/>
                      <wp:wrapNone/>
                      <wp:docPr id="371" name="Frame37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917575" cy="175260"/>
                      <wp:effectExtent l="0" t="0" r="0" b="0"/>
                      <wp:wrapNone/>
                      <wp:docPr id="372" name="Frame372"/>
                      <a:graphic xmlns:a="http://schemas.openxmlformats.org/drawingml/2006/main">
                        <a:graphicData uri="http://schemas.microsoft.com/office/word/2010/wordprocessingShape">
                          <wps:wsp>
                            <wps:cNvSpPr txBox="1"/>
                            <wps:spPr>
                              <a:xfrm>
                                <a:off x="0" y="0"/>
                                <a:ext cx="917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8910" cy="175260"/>
                      <wp:effectExtent l="0" t="0" r="0" b="0"/>
                      <wp:wrapNone/>
                      <wp:docPr id="373" name="Frame37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781685" cy="175260"/>
                      <wp:effectExtent l="0" t="0" r="0" b="0"/>
                      <wp:wrapNone/>
                      <wp:docPr id="374" name="Frame37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8910" cy="175260"/>
                      <wp:effectExtent l="0" t="0" r="0" b="0"/>
                      <wp:wrapNone/>
                      <wp:docPr id="375" name="Frame3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63370" cy="175260"/>
                      <wp:effectExtent l="0" t="0" r="0" b="0"/>
                      <wp:wrapNone/>
                      <wp:docPr id="376" name="Frame376"/>
                      <a:graphic xmlns:a="http://schemas.openxmlformats.org/drawingml/2006/main">
                        <a:graphicData uri="http://schemas.microsoft.com/office/word/2010/wordprocessingShape">
                          <wps:wsp>
                            <wps:cNvSpPr txBox="1"/>
                            <wps:spPr>
                              <a:xfrm>
                                <a:off x="0" y="0"/>
                                <a:ext cx="156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68910" cy="175260"/>
                      <wp:effectExtent l="0" t="0" r="0" b="0"/>
                      <wp:wrapNone/>
                      <wp:docPr id="377" name="Frame37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89255" cy="175260"/>
                      <wp:effectExtent l="0" t="0" r="0" b="0"/>
                      <wp:wrapNone/>
                      <wp:docPr id="378" name="Frame378"/>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78585" cy="175260"/>
                      <wp:effectExtent l="0" t="0" r="0" b="0"/>
                      <wp:wrapNone/>
                      <wp:docPr id="379" name="Frame379"/>
                      <a:graphic xmlns:a="http://schemas.openxmlformats.org/drawingml/2006/main">
                        <a:graphicData uri="http://schemas.microsoft.com/office/word/2010/wordprocessingShape">
                          <wps:wsp>
                            <wps:cNvSpPr txBox="1"/>
                            <wps:spPr>
                              <a:xfrm>
                                <a:off x="0" y="0"/>
                                <a:ext cx="137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9695" cy="175260"/>
                      <wp:effectExtent l="0" t="0" r="0" b="0"/>
                      <wp:wrapNone/>
                      <wp:docPr id="380" name="Frame380"/>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w:t>
            </w:r>
          </w:p>
        </w:tc>
        <w:tc>
          <w:tcPr>
            <w:tcW w:w="26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266" w:type="dxa"/>
            <w:tcBorders/>
            <w:vAlign w:val="center"/>
          </w:tcPr>
          <w:p>
            <w:pPr>
              <w:pStyle w:val="TableContents"/>
              <w:bidi w:val="0"/>
              <w:spacing w:before="0" w:after="0"/>
              <w:ind w:left="0" w:right="0" w:hanging="0"/>
              <w:jc w:val="left"/>
              <w:rPr/>
            </w:pPr>
            <w:r>
              <w:rPr/>
              <w:t>   </w:t>
            </w:r>
          </w:p>
        </w:tc>
        <w:tc>
          <w:tcPr>
            <w:tcW w:w="24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Program</w:t>
            </w:r>
          </w:p>
        </w:tc>
        <w:tc>
          <w:tcPr>
            <w:tcW w:w="266" w:type="dxa"/>
            <w:tcBorders/>
            <w:vAlign w:val="center"/>
          </w:tcPr>
          <w:p>
            <w:pPr>
              <w:pStyle w:val="TableContents"/>
              <w:bidi w:val="0"/>
              <w:spacing w:before="0" w:after="0"/>
              <w:ind w:left="0" w:right="0" w:hanging="0"/>
              <w:jc w:val="left"/>
              <w:rPr/>
            </w:pPr>
            <w:r>
              <w:rPr/>
              <w:t>   </w:t>
            </w:r>
          </w:p>
        </w:tc>
        <w:tc>
          <w:tcPr>
            <w:tcW w:w="2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Program</w:t>
            </w:r>
          </w:p>
        </w:tc>
        <w:tc>
          <w:tcPr>
            <w:tcW w:w="157" w:type="dxa"/>
            <w:tcBorders/>
            <w:vAlign w:val="center"/>
          </w:tcPr>
          <w:p>
            <w:pPr>
              <w:pStyle w:val="TableContents"/>
              <w:bidi w:val="0"/>
              <w:spacing w:before="0" w:after="0"/>
              <w:ind w:left="0" w:right="0" w:hanging="0"/>
              <w:jc w:val="left"/>
              <w:rPr/>
            </w:pPr>
            <w:r>
              <w:rPr/>
              <w:t>​</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06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2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c>
          <w:tcPr>
            <w:tcW w:w="157" w:type="dxa"/>
            <w:tcBorders/>
            <w:vAlign w:val="center"/>
          </w:tcPr>
          <w:p>
            <w:pPr>
              <w:pStyle w:val="TableContents"/>
              <w:bidi w:val="0"/>
              <w:spacing w:before="0" w:after="0"/>
              <w:ind w:left="0" w:right="0" w:hanging="0"/>
              <w:jc w:val="left"/>
              <w:rPr/>
            </w:pPr>
            <w:r>
              <w:rPr/>
              <w:t>​</w:t>
            </w:r>
          </w:p>
        </w:tc>
      </w:tr>
      <w:tr>
        <w:trPr/>
        <w:tc>
          <w:tcPr>
            <w:tcW w:w="10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through April 30</w:t>
            </w:r>
          </w:p>
        </w:tc>
        <w:tc>
          <w:tcPr>
            <w:tcW w:w="266" w:type="dxa"/>
            <w:tcBorders/>
            <w:shd w:fill="CCEEFF" w:val="clear"/>
            <w:vAlign w:val="center"/>
          </w:tcPr>
          <w:p>
            <w:pPr>
              <w:pStyle w:val="TableContents"/>
              <w:bidi w:val="0"/>
              <w:spacing w:before="0" w:after="0"/>
              <w:ind w:left="0" w:right="0" w:hanging="0"/>
              <w:jc w:val="left"/>
              <w:rPr/>
            </w:pPr>
            <w:r>
              <w:rPr/>
              <w:t>​</w:t>
            </w:r>
          </w:p>
        </w:tc>
        <w:tc>
          <w:tcPr>
            <w:tcW w:w="14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26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$46.42</w:t>
            </w:r>
          </w:p>
        </w:tc>
        <w:tc>
          <w:tcPr>
            <w:tcW w:w="266" w:type="dxa"/>
            <w:tcBorders/>
            <w:shd w:fill="CCEEFF" w:val="clear"/>
            <w:vAlign w:val="center"/>
          </w:tcPr>
          <w:p>
            <w:pPr>
              <w:pStyle w:val="TableContents"/>
              <w:bidi w:val="0"/>
              <w:spacing w:before="0" w:after="0"/>
              <w:ind w:left="0" w:right="0" w:hanging="0"/>
              <w:jc w:val="center"/>
              <w:rPr/>
            </w:pPr>
            <w:r>
              <w:rPr/>
              <w:t>​</w:t>
            </w:r>
          </w:p>
        </w:tc>
        <w:tc>
          <w:tcPr>
            <w:tcW w:w="24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266" w:type="dxa"/>
            <w:tcBorders/>
            <w:shd w:fill="CCEEFF" w:val="clear"/>
            <w:vAlign w:val="center"/>
          </w:tcPr>
          <w:p>
            <w:pPr>
              <w:pStyle w:val="TableContents"/>
              <w:bidi w:val="0"/>
              <w:spacing w:before="0" w:after="0"/>
              <w:ind w:left="0" w:right="0" w:hanging="0"/>
              <w:jc w:val="center"/>
              <w:rPr/>
            </w:pPr>
            <w:r>
              <w:rPr/>
              <w:t>​</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195,124</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0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1 through May 31</w:t>
            </w:r>
          </w:p>
        </w:tc>
        <w:tc>
          <w:tcPr>
            <w:tcW w:w="266" w:type="dxa"/>
            <w:tcBorders/>
            <w:vAlign w:val="center"/>
          </w:tcPr>
          <w:p>
            <w:pPr>
              <w:pStyle w:val="TableContents"/>
              <w:bidi w:val="0"/>
              <w:spacing w:before="0" w:after="0"/>
              <w:ind w:left="0" w:right="0" w:hanging="0"/>
              <w:jc w:val="left"/>
              <w:rPr/>
            </w:pPr>
            <w:r>
              <w:rPr/>
              <w:t>​</w:t>
            </w:r>
          </w:p>
        </w:tc>
        <w:tc>
          <w:tcPr>
            <w:tcW w:w="144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26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$57.87</w:t>
            </w:r>
          </w:p>
        </w:tc>
        <w:tc>
          <w:tcPr>
            <w:tcW w:w="266" w:type="dxa"/>
            <w:tcBorders/>
            <w:vAlign w:val="center"/>
          </w:tcPr>
          <w:p>
            <w:pPr>
              <w:pStyle w:val="TableContents"/>
              <w:bidi w:val="0"/>
              <w:spacing w:before="0" w:after="0"/>
              <w:ind w:left="0" w:right="0" w:hanging="0"/>
              <w:jc w:val="center"/>
              <w:rPr/>
            </w:pPr>
            <w:r>
              <w:rPr/>
              <w:t>​</w:t>
            </w:r>
          </w:p>
        </w:tc>
        <w:tc>
          <w:tcPr>
            <w:tcW w:w="24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266" w:type="dxa"/>
            <w:tcBorders/>
            <w:vAlign w:val="center"/>
          </w:tcPr>
          <w:p>
            <w:pPr>
              <w:pStyle w:val="TableContents"/>
              <w:bidi w:val="0"/>
              <w:spacing w:before="0" w:after="0"/>
              <w:ind w:left="0" w:right="0" w:hanging="0"/>
              <w:jc w:val="center"/>
              <w:rPr/>
            </w:pPr>
            <w:r>
              <w:rPr/>
              <w:t>​</w:t>
            </w:r>
          </w:p>
        </w:tc>
        <w:tc>
          <w:tcPr>
            <w:tcW w:w="61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177,921</w:t>
            </w:r>
          </w:p>
        </w:tc>
        <w:tc>
          <w:tcPr>
            <w:tcW w:w="157" w:type="dxa"/>
            <w:tcBorders/>
            <w:vAlign w:val="center"/>
          </w:tcPr>
          <w:p>
            <w:pPr>
              <w:pStyle w:val="TableContents"/>
              <w:bidi w:val="0"/>
              <w:spacing w:before="0" w:after="0"/>
              <w:ind w:left="0" w:right="0" w:hanging="0"/>
              <w:jc w:val="left"/>
              <w:rPr/>
            </w:pPr>
            <w:r>
              <w:rPr/>
              <w:t>​</w:t>
            </w:r>
          </w:p>
        </w:tc>
      </w:tr>
      <w:tr>
        <w:trPr/>
        <w:tc>
          <w:tcPr>
            <w:tcW w:w="10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1 through June 30</w:t>
            </w:r>
          </w:p>
        </w:tc>
        <w:tc>
          <w:tcPr>
            <w:tcW w:w="266" w:type="dxa"/>
            <w:tcBorders/>
            <w:shd w:fill="CCEEFF" w:val="clear"/>
            <w:vAlign w:val="center"/>
          </w:tcPr>
          <w:p>
            <w:pPr>
              <w:pStyle w:val="TableContents"/>
              <w:bidi w:val="0"/>
              <w:spacing w:before="0" w:after="0"/>
              <w:ind w:left="0" w:right="0" w:hanging="0"/>
              <w:jc w:val="left"/>
              <w:rPr/>
            </w:pPr>
            <w:r>
              <w:rPr/>
              <w:t>​</w:t>
            </w:r>
          </w:p>
        </w:tc>
        <w:tc>
          <w:tcPr>
            <w:tcW w:w="14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26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$64.34</w:t>
            </w:r>
          </w:p>
        </w:tc>
        <w:tc>
          <w:tcPr>
            <w:tcW w:w="266" w:type="dxa"/>
            <w:tcBorders/>
            <w:shd w:fill="CCEEFF" w:val="clear"/>
            <w:vAlign w:val="center"/>
          </w:tcPr>
          <w:p>
            <w:pPr>
              <w:pStyle w:val="TableContents"/>
              <w:bidi w:val="0"/>
              <w:spacing w:before="0" w:after="0"/>
              <w:ind w:left="0" w:right="0" w:hanging="0"/>
              <w:jc w:val="center"/>
              <w:rPr/>
            </w:pPr>
            <w:r>
              <w:rPr/>
              <w:t>​</w:t>
            </w:r>
          </w:p>
        </w:tc>
        <w:tc>
          <w:tcPr>
            <w:tcW w:w="2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266" w:type="dxa"/>
            <w:tcBorders/>
            <w:shd w:fill="CCEEFF" w:val="clear"/>
            <w:vAlign w:val="center"/>
          </w:tcPr>
          <w:p>
            <w:pPr>
              <w:pStyle w:val="TableContents"/>
              <w:bidi w:val="0"/>
              <w:spacing w:before="0" w:after="0"/>
              <w:ind w:left="0" w:right="0" w:hanging="0"/>
              <w:jc w:val="center"/>
              <w:rPr/>
            </w:pPr>
            <w:r>
              <w:rPr/>
              <w:t>​</w:t>
            </w:r>
          </w:p>
        </w:tc>
        <w:tc>
          <w:tcPr>
            <w:tcW w:w="6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7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167,031</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0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66" w:type="dxa"/>
            <w:tcBorders/>
            <w:vAlign w:val="center"/>
          </w:tcPr>
          <w:p>
            <w:pPr>
              <w:pStyle w:val="TableContents"/>
              <w:bidi w:val="0"/>
              <w:spacing w:before="0" w:after="0"/>
              <w:ind w:left="0" w:right="0" w:hanging="0"/>
              <w:jc w:val="left"/>
              <w:rPr/>
            </w:pPr>
            <w:r>
              <w:rPr/>
              <w:t>​</w:t>
            </w:r>
          </w:p>
        </w:tc>
        <w:tc>
          <w:tcPr>
            <w:tcW w:w="14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w:t>
            </w:r>
          </w:p>
        </w:tc>
        <w:tc>
          <w:tcPr>
            <w:tcW w:w="26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w:t>
            </w:r>
          </w:p>
        </w:tc>
        <w:tc>
          <w:tcPr>
            <w:tcW w:w="26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2171"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062"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44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462"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2171"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02" w:name="Item3DefaultsUponSeniorSecurities_689958"/>
      <w:bookmarkStart w:id="1203" w:name="_4326f0b8_7cca_4360_a265_0f778375d78e"/>
      <w:bookmarkEnd w:id="1202"/>
      <w:bookmarkEnd w:id="1203"/>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04" w:name="Item4MineSafetyDisclosures_365895"/>
      <w:bookmarkStart w:id="1205" w:name="_39c39c2d_3ed1_4d5a_9b59_57459d2a1375"/>
      <w:bookmarkEnd w:id="1204"/>
      <w:bookmarkEnd w:id="1205"/>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06" w:name="Item5OtherInformation_535580"/>
      <w:bookmarkStart w:id="1207" w:name="_fa83fae7_7cbd_4541_88ce_eb407fcb875a"/>
      <w:bookmarkEnd w:id="1206"/>
      <w:bookmarkEnd w:id="1207"/>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June 30, 2025,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208" w:name="Item6Exhibits_453635"/>
      <w:bookmarkStart w:id="1209" w:name="_307055e7_1547_4e69_8c8b_5b25acb4c358"/>
      <w:bookmarkEnd w:id="1208"/>
      <w:bookmarkEnd w:id="1209"/>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exhibits are filed herewith:</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6"/>
        <w:gridCol w:w="326"/>
        <w:gridCol w:w="9223"/>
      </w:tblGrid>
      <w:tr>
        <w:trPr/>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16560" cy="29210"/>
                      <wp:effectExtent l="0" t="0" r="0" b="0"/>
                      <wp:wrapNone/>
                      <wp:docPr id="381" name="Frame381"/>
                      <a:graphic xmlns:a="http://schemas.openxmlformats.org/drawingml/2006/main">
                        <a:graphicData uri="http://schemas.microsoft.com/office/word/2010/wordprocessingShape">
                          <wps:wsp>
                            <wps:cNvSpPr txBox="1"/>
                            <wps:spPr>
                              <a:xfrm>
                                <a:off x="0" y="0"/>
                                <a:ext cx="416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29210"/>
                      <wp:effectExtent l="0" t="0" r="0" b="0"/>
                      <wp:wrapNone/>
                      <wp:docPr id="382" name="Frame38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856605" cy="29210"/>
                      <wp:effectExtent l="0" t="0" r="0" b="0"/>
                      <wp:wrapNone/>
                      <wp:docPr id="383" name="Frame383"/>
                      <a:graphic xmlns:a="http://schemas.openxmlformats.org/drawingml/2006/main">
                        <a:graphicData uri="http://schemas.microsoft.com/office/word/2010/wordprocessingShape">
                          <wps:wsp>
                            <wps:cNvSpPr txBox="1"/>
                            <wps:spPr>
                              <a:xfrm>
                                <a:off x="0" y="0"/>
                                <a:ext cx="58566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5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No</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9223"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56" w:type="dxa"/>
            <w:tcBorders/>
            <w:vAlign w:val="center"/>
          </w:tcPr>
          <w:p>
            <w:pPr>
              <w:pStyle w:val="TableContents"/>
              <w:bidi w:val="0"/>
              <w:spacing w:lineRule="atLeast" w:line="180" w:before="0" w:after="0"/>
              <w:ind w:left="0" w:right="0" w:hanging="0"/>
              <w:jc w:val="left"/>
              <w:rPr/>
            </w:pPr>
            <w:r>
              <w:rPr/>
              <w:t>​</w:t>
            </w:r>
          </w:p>
        </w:tc>
        <w:tc>
          <w:tcPr>
            <w:tcW w:w="326" w:type="dxa"/>
            <w:tcBorders/>
            <w:vAlign w:val="center"/>
          </w:tcPr>
          <w:p>
            <w:pPr>
              <w:pStyle w:val="TableContents"/>
              <w:bidi w:val="0"/>
              <w:spacing w:lineRule="atLeast" w:line="180" w:before="0" w:after="0"/>
              <w:ind w:left="0" w:right="0" w:hanging="0"/>
              <w:jc w:val="left"/>
              <w:rPr/>
            </w:pPr>
            <w:r>
              <w:rPr/>
              <w:t>​</w:t>
            </w:r>
          </w:p>
        </w:tc>
        <w:tc>
          <w:tcPr>
            <w:tcW w:w="9223" w:type="dxa"/>
            <w:tcBorders/>
            <w:vAlign w:val="center"/>
          </w:tcPr>
          <w:p>
            <w:pPr>
              <w:pStyle w:val="TableContents"/>
              <w:bidi w:val="0"/>
              <w:spacing w:lineRule="atLeast" w:line="180"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Restated Certificate of Incorporation of the Company filed November 2, 2017. Incorporated by reference to Exhibit 3.1 of the Company’s Form 10-Q filed with the Commission on November 3, 2017.</w:t>
              </w:r>
            </w:hyperlink>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filed May 9, 2024. Incorporated by reference to Exhibit 3.1 of the Company’s Form 8-K filed with the Commission on May 9, 2024</w:t>
              </w:r>
            </w:hyperlink>
            <w:r>
              <w:rPr>
                <w:rFonts w:ascii="Times New Roman;Times;serif" w:hAnsi="Times New Roman;Times;serif"/>
                <w:sz w:val="20"/>
              </w:rPr>
              <w:t>.</w:t>
            </w:r>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Bylaws of the Company, as amended as of May 11, 2022. Incorporated by reference to Exhibit 3.2 of the Company’s Form 8-K filed with the Commision on May 11, 2022.</w:t>
              </w:r>
            </w:hyperlink>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w:anchor="acls-20250630xex31d1.htm">
              <w:r>
                <w:rPr>
                  <w:rStyle w:val="InternetLink"/>
                  <w:rFonts w:ascii="Times New Roman;Times;serif" w:hAnsi="Times New Roman;Times;serif"/>
                  <w:b w:val="false"/>
                  <w:i w:val="false"/>
                  <w:caps w:val="false"/>
                  <w:smallCaps w:val="false"/>
                  <w:sz w:val="20"/>
                </w:rPr>
                <w:t>Certification of the Principal Executive Officer under Exchange Act Rule 13a-14(a)/15d-14(a) (Section 302 of the Sarbanes-Oxley Act), dated August 5, 2025.</w:t>
              </w:r>
            </w:hyperlink>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w:anchor="acls-20250630xex31d2.htm">
              <w:r>
                <w:rPr>
                  <w:rStyle w:val="InternetLink"/>
                  <w:rFonts w:ascii="Times New Roman;Times;serif" w:hAnsi="Times New Roman;Times;serif"/>
                  <w:b w:val="false"/>
                  <w:i w:val="false"/>
                  <w:caps w:val="false"/>
                  <w:smallCaps w:val="false"/>
                  <w:sz w:val="20"/>
                </w:rPr>
                <w:t xml:space="preserve">Certification of the Principal Financial Officer under Exchange Act Rule 13a-14(a)/15d-14(a) (Section 302 of the Sarbanes-Oxley Act), dated August 5, 2025. </w:t>
              </w:r>
            </w:hyperlink>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w:anchor="acls-20250630xex32d1.htm">
              <w:r>
                <w:rPr>
                  <w:rStyle w:val="InternetLink"/>
                  <w:rFonts w:ascii="Times New Roman;Times;serif" w:hAnsi="Times New Roman;Times;serif"/>
                  <w:b w:val="false"/>
                  <w:i w:val="false"/>
                  <w:caps w:val="false"/>
                  <w:smallCaps w:val="false"/>
                  <w:sz w:val="20"/>
                </w:rPr>
                <w:t>Certification of the Principal Executive Officer pursuant to Section 1350 of Chapter 63 of title 18 of the United States Code (Section 906 of the Sarbanes-Oxley Act), dated August 5, 2025.</w:t>
              </w:r>
            </w:hyperlink>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hyperlink w:anchor="acls-20250630xex32d2.htm">
              <w:r>
                <w:rPr>
                  <w:rStyle w:val="InternetLink"/>
                  <w:rFonts w:ascii="Times New Roman;Times;serif" w:hAnsi="Times New Roman;Times;serif"/>
                  <w:b w:val="false"/>
                  <w:i w:val="false"/>
                  <w:caps w:val="false"/>
                  <w:smallCaps w:val="false"/>
                  <w:sz w:val="20"/>
                </w:rPr>
                <w:t xml:space="preserve">Certification of the Principal Financial Officer pursuant to Section 1350 of Chapter 63 of title 18 of the United States Code (Section 906 of the Sarbanes-Oxley Act), dated August 5, 2025. </w:t>
              </w:r>
            </w:hyperlink>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the Company’s Form 10-Q for the quarter ended June 30, 2025, formatted in inline eXtensible Business Reporting Language (iXBRL): (i) Consolidated Statements of Operations, (ii) Consolidated Statements of Comprehensive Income, (iii) Consolidated Balance Sheets, (iv) Consolidated Statements of Cash Flows and (v) Notes to Consolidated Financial Statements (Unaudited). Filed herewith.</w:t>
            </w:r>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iXBRL and contained in Exhibit 101).</w:t>
            </w:r>
          </w:p>
        </w:tc>
      </w:tr>
      <w:tr>
        <w:trPr/>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3" w:type="dxa"/>
            <w:tcBorders/>
            <w:vAlign w:val="center"/>
          </w:tcPr>
          <w:p>
            <w:pPr>
              <w:pStyle w:val="TableContents"/>
              <w:bidi w:val="0"/>
              <w:spacing w:before="0" w:after="0"/>
              <w:ind w:left="0" w:right="0" w:hanging="0"/>
              <w:jc w:val="left"/>
              <w:rPr/>
            </w:pPr>
            <w:r>
              <w:rPr/>
              <w:t>​</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This exhibit is being furnished rather than filed, and shall not be deemed incorporated by reference into any filing, in accordance with Item 601 of Regulation S-K.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210" w:name="SIGNATURES_211783"/>
      <w:bookmarkStart w:id="1211" w:name="_4a8713ae_d794_4c53_a037_4a32db6cc9a5"/>
      <w:bookmarkEnd w:id="1210"/>
      <w:bookmarkEnd w:id="1211"/>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278" w:type="dxa"/>
        <w:jc w:val="left"/>
        <w:tblInd w:w="0" w:type="dxa"/>
        <w:tblLayout w:type="fixed"/>
        <w:tblCellMar>
          <w:top w:w="0" w:type="dxa"/>
          <w:left w:w="0" w:type="dxa"/>
          <w:bottom w:w="0" w:type="dxa"/>
          <w:right w:w="0" w:type="dxa"/>
        </w:tblCellMar>
      </w:tblPr>
      <w:tblGrid>
        <w:gridCol w:w="2116"/>
        <w:gridCol w:w="406"/>
        <w:gridCol w:w="475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756"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5162"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AXCELIS TECHNOLOGIES, INC.</w:t>
            </w:r>
          </w:p>
        </w:tc>
      </w:tr>
      <w:tr>
        <w:trPr/>
        <w:tc>
          <w:tcPr>
            <w:tcW w:w="211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DATED: August 5, 2025</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5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JAMES G. COOGAN</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756" w:type="dxa"/>
            <w:tcBorders/>
            <w:vAlign w:val="center"/>
          </w:tcPr>
          <w:p>
            <w:pPr>
              <w:pStyle w:val="TableContents"/>
              <w:bidi w:val="0"/>
              <w:spacing w:lineRule="auto" w:line="328" w:before="0" w:after="0"/>
              <w:ind w:left="0" w:right="0" w:hanging="0"/>
              <w:jc w:val="left"/>
              <w:rPr/>
            </w:pPr>
            <w:r>
              <w:rPr/>
              <w:t>​</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75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James G. Coogan</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756"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756"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Duly Authorized Officer and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0"/>
        <w:ind w:left="0" w:right="0" w:hanging="0"/>
        <w:jc w:val="right"/>
        <w:rPr>
          <w:rFonts w:ascii="Times New Roman;Times;serif" w:hAnsi="Times New Roman;Times;serif"/>
          <w:b/>
          <w:sz w:val="20"/>
        </w:rPr>
      </w:pPr>
      <w:bookmarkStart w:id="1212" w:name="acls-20250630xex31d1.htm"/>
      <w:bookmarkStart w:id="1213" w:name="ksacls20250630xex31d1"/>
      <w:bookmarkEnd w:id="1212"/>
      <w:bookmarkEnd w:id="1213"/>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Russell J. Low, certify that: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5087" w:type="dxa"/>
        <w:jc w:val="left"/>
        <w:tblInd w:w="0" w:type="dxa"/>
        <w:tblLayout w:type="fixed"/>
        <w:tblCellMar>
          <w:top w:w="0" w:type="dxa"/>
          <w:left w:w="0" w:type="dxa"/>
          <w:bottom w:w="0" w:type="dxa"/>
          <w:right w:w="0" w:type="dxa"/>
        </w:tblCellMar>
      </w:tblPr>
      <w:tblGrid>
        <w:gridCol w:w="1846"/>
        <w:gridCol w:w="3241"/>
      </w:tblGrid>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RUSSELL J. LOW</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Russell J. Low,</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214" w:name="acls-20250630xex31d2.htm"/>
      <w:bookmarkStart w:id="1215" w:name="ksacls20250630xex31d2"/>
      <w:bookmarkEnd w:id="1214"/>
      <w:bookmarkEnd w:id="1215"/>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James G. Coogan, certify that: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347" w:type="dxa"/>
        <w:jc w:val="left"/>
        <w:tblInd w:w="0" w:type="dxa"/>
        <w:tblLayout w:type="fixed"/>
        <w:tblCellMar>
          <w:top w:w="0" w:type="dxa"/>
          <w:left w:w="0" w:type="dxa"/>
          <w:bottom w:w="0" w:type="dxa"/>
          <w:right w:w="0" w:type="dxa"/>
        </w:tblCellMar>
      </w:tblPr>
      <w:tblGrid>
        <w:gridCol w:w="1846"/>
        <w:gridCol w:w="4501"/>
      </w:tblGrid>
      <w:tr>
        <w:trPr/>
        <w:tc>
          <w:tcPr>
            <w:tcW w:w="184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JAMES G. COOGAN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James G. Coogan,</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216" w:name="acls-20250630xex32d1.htm"/>
      <w:bookmarkStart w:id="1217" w:name="ksacls20250630xex32d1"/>
      <w:bookmarkEnd w:id="1216"/>
      <w:bookmarkEnd w:id="1217"/>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August 5, 2025.</w:t>
      </w:r>
    </w:p>
    <w:p>
      <w:pPr>
        <w:pStyle w:val="TextBody"/>
        <w:bidi w:val="0"/>
        <w:spacing w:lineRule="auto" w:line="285"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124"/>
        <w:gridCol w:w="5611"/>
      </w:tblGrid>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RUSSELL J. LOW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Russell J. Low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of Axcelis Technologies, Inc.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218" w:name="acls-20250630xex32d2.htm"/>
      <w:bookmarkStart w:id="1219" w:name="ksacls20250630xex32d2"/>
      <w:bookmarkEnd w:id="1218"/>
      <w:bookmarkEnd w:id="1219"/>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August 5, 2025.</w:t>
      </w:r>
    </w:p>
    <w:p>
      <w:pPr>
        <w:pStyle w:val="TextBody"/>
        <w:bidi w:val="0"/>
        <w:spacing w:lineRule="auto" w:line="285" w:before="0" w:after="0"/>
        <w:ind w:left="0" w:right="0" w:hanging="0"/>
        <w:jc w:val="left"/>
        <w:rPr/>
      </w:pPr>
      <w:r>
        <w:rPr/>
        <w:t>​</w:t>
      </w:r>
    </w:p>
    <w:tbl>
      <w:tblPr>
        <w:tblW w:w="6995" w:type="dxa"/>
        <w:jc w:val="left"/>
        <w:tblInd w:w="0" w:type="dxa"/>
        <w:tblLayout w:type="fixed"/>
        <w:tblCellMar>
          <w:top w:w="0" w:type="dxa"/>
          <w:left w:w="0" w:type="dxa"/>
          <w:bottom w:w="0" w:type="dxa"/>
          <w:right w:w="0" w:type="dxa"/>
        </w:tblCellMar>
      </w:tblPr>
      <w:tblGrid>
        <w:gridCol w:w="124"/>
        <w:gridCol w:w="6871"/>
      </w:tblGrid>
      <w:tr>
        <w:trPr/>
        <w:tc>
          <w:tcPr>
            <w:tcW w:w="124" w:type="dxa"/>
            <w:tcBorders/>
            <w:vAlign w:val="center"/>
          </w:tcPr>
          <w:p>
            <w:pPr>
              <w:pStyle w:val="TableContents"/>
              <w:bidi w:val="0"/>
              <w:spacing w:lineRule="auto" w:line="285" w:before="0" w:after="0"/>
              <w:ind w:left="0" w:right="0" w:hanging="0"/>
              <w:jc w:val="left"/>
              <w:rPr/>
            </w:pPr>
            <w:r>
              <w:rPr/>
              <w:t>​</w:t>
            </w:r>
          </w:p>
        </w:tc>
        <w:tc>
          <w:tcPr>
            <w:tcW w:w="687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JAMES G. COOGAN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87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8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James G. Coogan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87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 of Axcelis Technologies, Inc.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113232/000155837025001855/acls-20241231x10k.htm" TargetMode="External"/><Relationship Id="rId3" Type="http://schemas.openxmlformats.org/officeDocument/2006/relationships/hyperlink" Target="http://www.sec.gov/Archives/edgar/data/1113232/000155837017008078/acls-20170930ex31a83feb6.htm" TargetMode="External"/><Relationship Id="rId4" Type="http://schemas.openxmlformats.org/officeDocument/2006/relationships/hyperlink" Target="https://www.sec.gov/Archives/edgar/data/1113232/000110465924059307/tm2413500d1_ex3-1.htm" TargetMode="External"/><Relationship Id="rId5" Type="http://schemas.openxmlformats.org/officeDocument/2006/relationships/hyperlink" Target="https://www.sec.gov/Archives/edgar/data/1113232/000110465922058781/tm2213765d1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14469</Words>
  <Characters>79039</Characters>
  <CharactersWithSpaces>96227</CharactersWithSpaces>
  <Paragraphs>6670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