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60" w:right="1260" w:hanging="326"/>
        <w:spacing w:after="0" w:line="262" w:lineRule="auto"/>
        <w:tabs>
          <w:tab w:leader="none" w:pos="6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60" w:right="1260" w:hanging="326"/>
        <w:spacing w:after="0" w:line="262" w:lineRule="auto"/>
        <w:tabs>
          <w:tab w:leader="none" w:pos="6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8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43"/>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left="20" w:right="28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left="20" w:right="20" w:firstLine="23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6" w:lineRule="exact"/>
        <w:rPr>
          <w:sz w:val="24"/>
          <w:szCs w:val="24"/>
          <w:color w:val="auto"/>
        </w:rPr>
      </w:pPr>
    </w:p>
    <w:p>
      <w:pPr>
        <w:jc w:val="both"/>
        <w:ind w:left="20" w:right="16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27" w:lineRule="exact"/>
        <w:rPr>
          <w:sz w:val="24"/>
          <w:szCs w:val="24"/>
          <w:color w:val="auto"/>
        </w:rPr>
      </w:pPr>
    </w:p>
    <w:p>
      <w:pPr>
        <w:ind w:left="16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sectPr>
          <w:pgSz w:w="11900" w:h="16838" w:orient="portrait"/>
          <w:cols w:equalWidth="0" w:num="3">
            <w:col w:w="5900" w:space="720"/>
            <w:col w:w="1960" w:space="80"/>
            <w:col w:w="1580"/>
          </w:cols>
          <w:pgMar w:left="820" w:top="661" w:right="839" w:bottom="1440" w:gutter="0" w:footer="0" w:header="0"/>
          <w:type w:val="continuous"/>
        </w:sectPr>
      </w:pPr>
    </w:p>
    <w:p>
      <w:pPr>
        <w:ind w:left="20" w:right="200" w:firstLine="23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40" w:right="840" w:hanging="3"/>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4, 2024, there were 32,506,111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and nine months ended September 30, 2024 and 2023</w:t>
            </w:r>
          </w:p>
        </w:tc>
        <w:tc>
          <w:tcPr>
            <w:tcW w:w="38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nine months ended September 30, 2024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and 2023</w:t>
            </w:r>
          </w:p>
        </w:tc>
        <w:tc>
          <w:tcPr>
            <w:tcW w:w="7360" w:type="dxa"/>
            <w:vAlign w:val="bottom"/>
            <w:gridSpan w:val="2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Balance Sheets as of September 30, 2024 and December 31,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three and nine months ended September 30, 2024</w:t>
            </w: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and 2023</w:t>
            </w:r>
          </w:p>
        </w:tc>
        <w:tc>
          <w:tcPr>
            <w:tcW w:w="7000" w:type="dxa"/>
            <w:vAlign w:val="bottom"/>
            <w:tcBorders>
              <w:top w:val="single" w:sz="8" w:color="0000EE"/>
            </w:tcBorders>
            <w:gridSpan w:val="21"/>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nine months ended September 30,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920" w:type="dxa"/>
            <w:vAlign w:val="bottom"/>
            <w:tcBorders>
              <w:top w:val="single" w:sz="8" w:color="0000EE"/>
            </w:tcBorders>
            <w:gridSpan w:val="4"/>
          </w:tcPr>
          <w:p>
            <w:pPr>
              <w:spacing w:after="0"/>
              <w:rPr>
                <w:sz w:val="19"/>
                <w:szCs w:val="19"/>
                <w:color w:val="auto"/>
              </w:rPr>
            </w:pPr>
          </w:p>
        </w:tc>
        <w:tc>
          <w:tcPr>
            <w:tcW w:w="104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Overview</w:t>
            </w:r>
          </w:p>
        </w:tc>
        <w:tc>
          <w:tcPr>
            <w:tcW w:w="120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Use of Proceeds, and Issuer Purchases of Equity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100" w:type="dxa"/>
            <w:vAlign w:val="bottom"/>
            <w:gridSpan w:val="7"/>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20" w:type="dxa"/>
            <w:vAlign w:val="bottom"/>
            <w:gridSpan w:val="15"/>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246,826</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283,367</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735,626</w:t>
            </w: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256,564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765,448</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820,316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427,017</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466,911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338,431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182,168</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171,629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151,036</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175,207</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2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2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5.28</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7"/>
                <w:szCs w:val="17"/>
                <w:color w:val="auto"/>
              </w:rPr>
              <w:t>Diluted weighted average shares of common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33,208</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9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$ 48,576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$ 65,931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$ 151,036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$ 175,207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3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 and other adjustments from pension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net of tax</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$ 50,838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$ 64,700</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$ 150,664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$ 173,015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3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66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120,066</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8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1,338,125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80" w:type="dxa"/>
            <w:vAlign w:val="bottom"/>
            <w:tcBorders>
              <w:bottom w:val="single" w:sz="8" w:color="CCEEFF"/>
            </w:tcBorders>
          </w:tcPr>
          <w:p>
            <w:pPr>
              <w:spacing w:after="0"/>
              <w:rPr>
                <w:sz w:val="21"/>
                <w:szCs w:val="21"/>
                <w:color w:val="auto"/>
              </w:rPr>
            </w:pPr>
          </w:p>
        </w:tc>
      </w:tr>
      <w:tr>
        <w:trPr>
          <w:trHeight w:val="170"/>
        </w:trPr>
        <w:tc>
          <w:tcPr>
            <w:tcW w:w="20" w:type="dxa"/>
            <w:vAlign w:val="bottom"/>
          </w:tcPr>
          <w:p>
            <w:pPr>
              <w:spacing w:after="0"/>
              <w:rPr>
                <w:sz w:val="14"/>
                <w:szCs w:val="14"/>
                <w:color w:val="auto"/>
              </w:rPr>
            </w:pPr>
          </w:p>
        </w:tc>
        <w:tc>
          <w:tcPr>
            <w:tcW w:w="6660" w:type="dxa"/>
            <w:vAlign w:val="bottom"/>
            <w:shd w:val="clear" w:color="auto" w:fill="CCEEFF"/>
          </w:tcPr>
          <w:p>
            <w:pPr>
              <w:ind w:left="254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32,504 shares issued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2024; 32,685 shares issued and outstanding at December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31, 2023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864,882</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4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550,299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32,726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547,692</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156,014</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under Employee Stock Purchase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540,120</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206,813</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543,577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261,521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800,971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360045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40" w:top="513"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7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740" w:type="dxa"/>
            <w:vAlign w:val="bottom"/>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864,882</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(1,731)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(2,201)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32,605</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546,979</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358,303</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901,743</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under Employee Stock Purchase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(8,468)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(2,545)</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(12,451)</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(12,865)</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(15,363)</w:t>
            </w:r>
          </w:p>
        </w:tc>
        <w:tc>
          <w:tcPr>
            <w:tcW w:w="0" w:type="dxa"/>
            <w:vAlign w:val="bottom"/>
          </w:tcPr>
          <w:p>
            <w:pPr>
              <w:spacing w:after="0"/>
              <w:rPr>
                <w:sz w:val="1"/>
                <w:szCs w:val="1"/>
                <w:color w:val="auto"/>
              </w:rPr>
            </w:pPr>
          </w:p>
        </w:tc>
      </w:tr>
      <w:tr>
        <w:trPr>
          <w:trHeight w:val="19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975,594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8"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151,036</w:t>
            </w:r>
          </w:p>
        </w:tc>
        <w:tc>
          <w:tcPr>
            <w:tcW w:w="18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of discounts and premiums on marketable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currency (gain) loss on foreign denominated transactions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 purchases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balance sheet at December 31, 2023 has been derived from the audited consolidated financial statements at that date but does not include all the information and footnotes required by generally accepted accounting principles for complete financial statements. As of September 30, 2024, there have been no material changes in the Company’s significant accounting policies, other than with respect to the Company’s accounting policy for derivative financial instruments, which it had not held in prior periods, as described in Note 2 below. For further information, refer to the consolidated financial statements and footnotes thereto included in the Company’s Annual Report on Form 10-K for the year ended December 31, 2023, filed with the Securities and Exchange Commission (the “SEC”) on February 23, 2024, as amended by Amendment No. 1 thereto, filed with the SEC on February 28, 2024 (as so amended, the “2023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exposed to certain risks relating to our ongoing business operations, including market risks relating to fluctuations in foreign currency exchange rates. We have entered into forward exchange contracts in order to mitigate risks associated with fluctuations in exchange rates on forecasted transactions denominated in foreign currencies and to minimize the impact of foreign currency fluctuations on our earnings and cash flows. These contracts have month-to-month settlement dates. As of September 30, 2024, we had open contracts with a notional value of $104 million. We measure these instruments at fair value and recognize assets or liabilities associated with the intrinsic value on these open contracts on the Consolidated Balance Sheets at the end of each reporting period. At September 30, 2024, the recognized unrealized loss on these forward exchange contracts was approximately $0.6 million. Unrealized gains and losses are shown in our cash flows from operating activities within our Consolidated Statement of Cash Flows. We have not designated these forward exchange contracts as hedging instruments and we record changes in the fair values at each measurement date in Other, net on the Consolidated Statements of Operations. For the three and nine months ended September 30, 2024, we recorded $3.3 million of loss and $0.5 million of gain on forward currency exchange contracts, respectively.</w:t>
      </w:r>
    </w:p>
    <w:p>
      <w:pPr>
        <w:spacing w:after="0" w:line="19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do not offset fair value amounts of derivative instruments. We do not use derivative instruments for speculative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2023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of $5.4 million and $5.1 million for the three-month periods ended September 30, 2024 and 2023, respectively. We recognized stock-based compensation expense of $15.6 million and $13.0 million for the nine-month periods ended September 30, 2024 and 2023, respectively. These amounts include compensation expense related to RSUs and stock issued to participants under the 2020 Employee Stock Purchase Plan (the “2020 ESPP”).</w:t>
      </w:r>
    </w:p>
    <w:p>
      <w:pPr>
        <w:spacing w:after="0" w:line="1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three-month periods ended September 30, 2024 and 2023, we issued 5,023 and 7,320 shares of common stock, respectively, upon vesting of RSUs granted under the 2012 Equity Plan and purchases under the 2020 ESPP. In the three-month periods ended September 30, 2024 and 2023, we received no proceeds from purchases under the 2020 ESPP.</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nine-month periods ended September 30, 2024 and 2023, we issued 0.2 million and 0.3 million shares of common stock, respectively, upon vesting of RSUs granted under the 2012 Equity Plan and purchases under the 2020 ESPP. In the nine-month periods ended September 30, 2024 and 2023, we received proceeds of $1.2 million and $1.0 million, respectively, in connection with purchases under the 2020 ESPP.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6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w:t>
      </w:r>
    </w:p>
    <w:p>
      <w:pPr>
        <w:spacing w:after="0" w:line="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Operating lease assets</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30,391</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assets*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shd w:val="clear" w:color="auto" w:fill="CCEEFF"/>
          </w:tcPr>
          <w:p>
            <w:pPr>
              <w:ind w:left="170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vMerge w:val="continue"/>
            <w:shd w:val="clear" w:color="auto" w:fill="CCEEFF"/>
          </w:tcPr>
          <w:p>
            <w:pPr>
              <w:spacing w:after="0"/>
              <w:rPr>
                <w:sz w:val="14"/>
                <w:szCs w:val="14"/>
                <w:color w:val="auto"/>
              </w:rPr>
            </w:pP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25,724</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74,577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75,887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50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$47.2 million and include $0.5 million of prepaid financing costs as of September 30, 2024. Finance lease assets are recorded net of accumulated depreciation of $46.4 million and include $0.6 million of prepaid financing costs as of 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Operating lease expense and depreciation and interest expense relating to our finance lease obligation are recognized within our Consolidated Statement of Operations for the three and nine months ended September 30, 2024 and 2023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5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2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gridSpan w:val="2"/>
            <w:vMerge w:val="continue"/>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2960" w:type="dxa"/>
            <w:vAlign w:val="bottom"/>
            <w:shd w:val="clear" w:color="auto" w:fill="CCEEFF"/>
          </w:tcPr>
          <w:p>
            <w:pPr>
              <w:ind w:left="94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2960" w:type="dxa"/>
            <w:vAlign w:val="bottom"/>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w:t>
            </w:r>
          </w:p>
        </w:tc>
        <w:tc>
          <w:tcPr>
            <w:tcW w:w="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vMerge w:val="continue"/>
            <w:shd w:val="clear" w:color="auto" w:fill="CCEEFF"/>
          </w:tcPr>
          <w:p>
            <w:pPr>
              <w:spacing w:after="0"/>
              <w:rPr>
                <w:sz w:val="14"/>
                <w:szCs w:val="14"/>
                <w:color w:val="auto"/>
              </w:rPr>
            </w:pP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and General and administrative</w:t>
            </w:r>
          </w:p>
        </w:tc>
        <w:tc>
          <w:tcPr>
            <w:tcW w:w="4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firstLine="8"/>
        <w:spacing w:after="0" w:line="24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$0.3 million and $1.6 million for the three and nine months ended September 30, 2024, respectively, and includes short-term lease and variable lease costs of approximately $0.6 million and $1.6 million for the three and nine months ended September 30, 2023, respectively.</w:t>
      </w:r>
    </w:p>
    <w:p>
      <w:pPr>
        <w:spacing w:after="0" w:line="18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16 years. The tables below reflect the minimum cash outflow regarding our current lease obligations as well as the weighted-average remaining lease term and weighted-average discount rates used in our calculation of our lease obligations and right-of-use assets as of September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78,556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(11,740)</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(48,889)</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74,577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7"/>
          <w:szCs w:val="17"/>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nine months ended September 30, 2024 and 2023, respectively: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w:t>
            </w: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6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595,114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641,825</w:t>
            </w:r>
          </w:p>
        </w:tc>
      </w:tr>
      <w:tr>
        <w:trPr>
          <w:trHeight w:val="203"/>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60,872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170,334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178,491</w:t>
            </w:r>
          </w:p>
        </w:tc>
      </w:tr>
      <w:tr>
        <w:trPr>
          <w:trHeight w:val="196"/>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256,564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292,326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765,448</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820,316</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3" w:right="1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2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32,950</w:t>
            </w: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51,563</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134,647</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582,238</w:t>
            </w: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0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103,431</w:t>
            </w:r>
          </w:p>
        </w:tc>
      </w:tr>
      <w:tr>
        <w:trPr>
          <w:trHeight w:val="196"/>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256,564</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292,326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765,448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820,316</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164,026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5"/>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154,777</w:t>
            </w:r>
          </w:p>
        </w:tc>
      </w:tr>
      <w:tr>
        <w:trPr>
          <w:trHeight w:val="203"/>
        </w:trPr>
        <w:tc>
          <w:tcPr>
            <w:tcW w:w="20" w:type="dxa"/>
            <w:vAlign w:val="bottom"/>
          </w:tcPr>
          <w:p>
            <w:pPr>
              <w:spacing w:after="0"/>
              <w:rPr>
                <w:sz w:val="17"/>
                <w:szCs w:val="17"/>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154,216</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17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(41,529)</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(106,964)</w:t>
            </w:r>
          </w:p>
        </w:tc>
      </w:tr>
      <w:tr>
        <w:trPr>
          <w:trHeight w:val="196"/>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7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164,026</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202,029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164,026</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202,029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Amount is net of a reclassification of $4.7 million from deferred revenue to refund liability for the nine months ended September 30, 2024.</w:t>
      </w:r>
    </w:p>
    <w:p>
      <w:pPr>
        <w:spacing w:after="0" w:line="14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Receivables and Allowances for Credit Losses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recorded $3.4 million of bad debt expense for the three month period ended September 30, 2024 associated with a European customer that filed for bankruptcy. We recorded $0.5 million of recovery of bad debt expense and $3.4 million of bad debt expense for the nine-month period ended September 30, 2024. We recorded $0.7 million of bad debt expense for the three and nine-month periods ended September 30, 2023. As of both September 30, 2024 and September 30, 2023, we had no provision for credit losses.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Computation of Net Earnings per Share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exercise of stock options and vesting of RSUs had been issued, calculated using the treasury stock method.</w:t>
      </w:r>
    </w:p>
    <w:p>
      <w:pPr>
        <w:sectPr>
          <w:pgSz w:w="11900" w:h="16838" w:orient="portrait"/>
          <w:cols w:equalWidth="0" w:num="1">
            <w:col w:w="9120"/>
          </w:cols>
          <w:pgMar w:left="1380" w:top="513" w:right="139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57861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6"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Incremental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57861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57861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61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Net income per share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7861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20" w:type="dxa"/>
            <w:vAlign w:val="bottom"/>
          </w:tcPr>
          <w:p>
            <w:pPr>
              <w:spacing w:after="0"/>
              <w:rPr>
                <w:sz w:val="15"/>
                <w:szCs w:val="15"/>
                <w:color w:val="auto"/>
              </w:rPr>
            </w:pPr>
          </w:p>
        </w:tc>
        <w:tc>
          <w:tcPr>
            <w:tcW w:w="15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4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15"/>
        </w:trPr>
        <w:tc>
          <w:tcPr>
            <w:tcW w:w="120" w:type="dxa"/>
            <w:vAlign w:val="bottom"/>
          </w:tcPr>
          <w:p>
            <w:pPr>
              <w:spacing w:after="0"/>
              <w:rPr>
                <w:sz w:val="9"/>
                <w:szCs w:val="9"/>
                <w:color w:val="auto"/>
              </w:rPr>
            </w:pPr>
          </w:p>
        </w:tc>
        <w:tc>
          <w:tcPr>
            <w:tcW w:w="3080" w:type="dxa"/>
            <w:vAlign w:val="bottom"/>
            <w:gridSpan w:val="10"/>
          </w:tcPr>
          <w:p>
            <w:pPr>
              <w:jc w:val="right"/>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 except per share amounts)</w:t>
            </w:r>
          </w:p>
        </w:tc>
      </w:tr>
      <w:tr>
        <w:trPr>
          <w:trHeight w:val="21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151,036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175,207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5"/>
        </w:trPr>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32,775</w:t>
            </w:r>
          </w:p>
        </w:tc>
      </w:tr>
      <w:tr>
        <w:trPr>
          <w:trHeight w:val="219"/>
        </w:trPr>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371"/>
        </w:trPr>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32,675</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32,780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00" w:space="260"/>
            <w:col w:w="3360"/>
          </w:cols>
          <w:pgMar w:left="1380" w:top="513" w:right="1399" w:bottom="1440" w:gutter="0" w:footer="0" w:header="0"/>
          <w:type w:val="continuous"/>
        </w:sectPr>
      </w:pP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Diluted weighted average shares of common stock outstanding does not include 109,266 and 734 common equivalent shares issuable with respect to outstanding equity awards for the three-month periods ended September 30, 2024 and 2023, respectively, or 21,477 and 2,598 common equivalent shares issuable with respect to outstanding equity awards for the nine-month periods ended September 30, 2024 and 2023,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Accumulated Other Comprehensive Loss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net of tax, by component, for the nine months ended September 30,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(2,343)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Cash, cash equivalents and restricted cash</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29"/>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120,066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167,297</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126,719</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had $6.7 million in restricted cash representing the total of (i) a $5.9 million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collateralized letter of credit serving as a security deposit for our headquarters lease in Beverly, Massachusetts, (ii)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cash collateralized letter of credit relating to workers’ compensation insurance and (iii) a $0.1 million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customs activity. See Note 13 for further discussion on the $5.9 million cash collateralized letter of credit.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4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231,547</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231,200</w:t>
            </w:r>
          </w:p>
        </w:tc>
        <w:tc>
          <w:tcPr>
            <w:tcW w:w="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200" w:type="dxa"/>
            <w:vAlign w:val="bottom"/>
            <w:shd w:val="clear" w:color="auto" w:fill="CCEEFF"/>
          </w:tcPr>
          <w:p>
            <w:pPr>
              <w:spacing w:after="0"/>
              <w:rPr>
                <w:sz w:val="17"/>
                <w:szCs w:val="17"/>
                <w:color w:val="auto"/>
              </w:rPr>
            </w:pPr>
          </w:p>
        </w:tc>
      </w:tr>
      <w:tr>
        <w:trPr>
          <w:trHeight w:val="196"/>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290,954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306,482</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4"/>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(end of period)</w:t>
            </w: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13,856</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13,856</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assets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81,623</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542,096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541,513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339,240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339,240</w:t>
            </w:r>
          </w:p>
        </w:tc>
        <w:tc>
          <w:tcPr>
            <w:tcW w:w="10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Currency Exchange Contracts</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Beginning in February 2024, we entered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and any mark-to-market valuation adjustments related to these open contracts are recorded in the current asset or current liability account and any unrealized gain or loss recognized is recorded within Other, net in our Consolidated Statement of Operations. These contracts are measured at fair value using observable market inputs such as forward currency exchange rates and our counterparties’ credit risks. Based on these inputs, the derivative instruments are classified within Level 2 of the valuation hierarchy. At September 30, 2024, the recognized unrealized loss on these forward exchange contracts was approximately $0.6 million. Based on our continued ability to trade and enter into forward contracts, we consider the markets for our fair value instruments to be active. We evaluated the credit risk associated with the counterparties to these derivative instruments and determined that as of September 30, 2024, such credit risks have not had an adverse impact on the fair value of these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$44.1 million as of September 30, 2024. The associated lease payments include both an interest component and payment of principal, with the remaining liability being extinguished at the end of the original lease term.</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2024, we had a security deposit of $5.9 million related to this lease in the form of a cash collateralized letter of credit issued with UBS Bank USA, which is classified as long-term restricted cash on our balance sheet at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$6.8 million for the three months ended September 30, 2024, compared to $7.7 million for the three months ended September 30, 2023. The $0.9 million decrease was primarily due to a decrease in pre-tax income. Income tax expense was $20.6 million for the nine months ended September 30, 2024, compared to $16.0 million for the nine months ended September 30, 2023. The increase was primarily due to a decrease in in the benefit received from share-based compensation.</w:t>
      </w:r>
    </w:p>
    <w:p>
      <w:pPr>
        <w:spacing w:after="0" w:line="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less than the U.S. statutory rate of 21% primarily attributable to the Foreign Derived Intangible Income deduction, Federal research and development tax credits and excess tax benefits from share-based compensation.</w:t>
      </w:r>
    </w:p>
    <w:p>
      <w:pPr>
        <w:spacing w:after="0" w:line="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$58.9 million and $53.4 million as of September 30, 2024 and December 31, 2023, respectively, reflect the net tax effect of temporary differences between the carrying amount of assets and liabilities for financial reporting purposes and the amounts used for income tax purposes, as well as the tax effect of carryforwards. As of September 30, 2024, we have recorded a $12.1 million valuation allowance in the U.S. against certain tax credits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Concentration of Risk</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one customer accounted for 11.9% of total revenue. For the three months ended September 30, 2023, no individual customer accounted for greater than ten percent of total revenue.</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no individual customer accounted for greater than ten percent of total revenue. For the nine months ended September 30, 2023, one customer accounted for 10.7% of total revenue.</w:t>
      </w:r>
    </w:p>
    <w:p>
      <w:pPr>
        <w:spacing w:after="0" w:line="13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one customer accounted for 11.7% of accounts receivable. At December 31, 2023, one customer accounted for 12.2% of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February 2022, our Board of Directors approved stock repurchases of up to $100 million of our common stock. In August 2023, our Board of Directors approved additional funding of $200 million for our stock repurchase program, to be available on full utilization of the $100 million repurchase funding approved in February 2022. During the nine months ended September 30, 2024, we repurchased 0.4 million shares at an average cost of $118.02 per share.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Recent Accounting Guidance</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is intended to enhance disclosures for significant segment expenses for all public entities required to report segment information in accordance with ASC Topic 280, Segment Reporting (“ASC 280”). ASC 280 requires a public entity to report for each reportable segment a measure of segment profit or loss that its chief operating decision maker (“CODM”) uses to assess segment performance and to make decisions about resource allocations. ASU 2023-07 is intended to improve financial reporting by requiring disclosure of incremental segment information on an annual and interim basis for all public entities to enable investors to develop more useful financial analyses. ASU 2023-07 is effective for fiscal years beginning after December 15, 2023, and interim periods within fiscal years beginning after December 15, 2024. Early adoption is permitted. A public entity should apply ASU 2023-07 retrospectively to all prior periods presented in the consolidated financial statements. We are currently evaluating the impact of ASU 2023-07 on our future consolidated financial statements and related disclosures.</w:t>
      </w:r>
    </w:p>
    <w:p>
      <w:pPr>
        <w:spacing w:after="0" w:line="1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We are currently evaluating the impact of ASU 2023-09 on our future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648"/>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below and under “Risk Factors” in Part I, Item 1A to our </w:t>
      </w:r>
      <w:hyperlink r:id="rId35">
        <w:r>
          <w:rPr>
            <w:rFonts w:ascii="Times New Roman" w:cs="Times New Roman" w:eastAsia="Times New Roman" w:hAnsi="Times New Roman"/>
            <w:sz w:val="18"/>
            <w:szCs w:val="18"/>
            <w:i w:val="1"/>
            <w:iCs w:val="1"/>
            <w:u w:val="single" w:color="auto"/>
            <w:color w:val="0000EE"/>
          </w:rPr>
          <w:t>2023 Form 10-K</w:t>
        </w:r>
      </w:hyperlink>
      <w:r>
        <w:rPr>
          <w:rFonts w:ascii="Times New Roman" w:cs="Times New Roman" w:eastAsia="Times New Roman" w:hAnsi="Times New Roman"/>
          <w:sz w:val="18"/>
          <w:szCs w:val="18"/>
          <w:i w:val="1"/>
          <w:iCs w:val="1"/>
          <w:color w:val="auto"/>
        </w:rPr>
        <w:t>,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48.2% of total revenue for the nine months ended September 30, 2024.</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Demand for our capital equipment in the first nine months of 2024 has been relatively flat. The overall mature process segment represented 98% of our shipped systems revenue, with 1% of shipments to advanced logic and 1% of shipments to dynamic random-access memory (“DRAM”). Power device shipments comprised 58% of total systems revenue with the general mature segment representing 32%, and image sensors at 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2023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2023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4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60" w:type="dxa"/>
            <w:vAlign w:val="bottom"/>
          </w:tcPr>
          <w:p>
            <w:pPr>
              <w:spacing w:after="0"/>
              <w:rPr>
                <w:sz w:val="15"/>
                <w:szCs w:val="15"/>
                <w:color w:val="auto"/>
              </w:rPr>
            </w:pPr>
          </w:p>
        </w:tc>
        <w:tc>
          <w:tcPr>
            <w:tcW w:w="204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96.9 %</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96.1 %</w:t>
            </w:r>
          </w:p>
        </w:tc>
        <w:tc>
          <w:tcPr>
            <w:tcW w:w="11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96.9 %</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c>
          <w:tcPr>
            <w:tcW w:w="114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(0.5)</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(0.5)</w:t>
            </w: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8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8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500" w:type="dxa"/>
            <w:vAlign w:val="bottom"/>
          </w:tcPr>
          <w:p>
            <w:pPr>
              <w:spacing w:after="0"/>
              <w:rPr>
                <w:sz w:val="15"/>
                <w:szCs w:val="15"/>
                <w:color w:val="auto"/>
              </w:rPr>
            </w:pPr>
          </w:p>
        </w:tc>
        <w:tc>
          <w:tcPr>
            <w:tcW w:w="18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2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r>
      <w:tr>
        <w:trPr>
          <w:trHeight w:val="128"/>
        </w:trPr>
        <w:tc>
          <w:tcPr>
            <w:tcW w:w="2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8"/>
              </w:rPr>
              <w:t>(dollars in</w:t>
            </w:r>
          </w:p>
        </w:tc>
        <w:tc>
          <w:tcPr>
            <w:tcW w:w="720" w:type="dxa"/>
            <w:vAlign w:val="bottom"/>
          </w:tcPr>
          <w:p>
            <w:pPr>
              <w:jc w:val="right"/>
              <w:ind w:right="83"/>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4"/>
        </w:trPr>
        <w:tc>
          <w:tcPr>
            <w:tcW w:w="2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$ 246,826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$ 283,367</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i w:val="1"/>
                <w:iCs w:val="1"/>
                <w:color w:val="auto"/>
                <w:w w:val="98"/>
              </w:rPr>
              <w:t>(36,541)</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(12.9)%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$ 735,626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$ 795,047</w:t>
            </w:r>
          </w:p>
        </w:tc>
        <w:tc>
          <w:tcPr>
            <w:tcW w:w="20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 xml:space="preserve">$ (59,421) </w:t>
            </w:r>
            <w:r>
              <w:rPr>
                <w:rFonts w:ascii="Times New Roman" w:cs="Times New Roman" w:eastAsia="Times New Roman" w:hAnsi="Times New Roman"/>
                <w:sz w:val="16"/>
                <w:szCs w:val="16"/>
                <w:i w:val="1"/>
                <w:iCs w:val="1"/>
                <w:color w:val="auto"/>
              </w:rPr>
              <w:t>(7.5)%</w:t>
            </w:r>
          </w:p>
        </w:tc>
      </w:tr>
      <w:tr>
        <w:trPr>
          <w:trHeight w:val="218"/>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96.2 %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96.9 %</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96.1 %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96.9 %</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4"/>
        </w:trPr>
        <w:tc>
          <w:tcPr>
            <w:tcW w:w="2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779</w:t>
            </w:r>
          </w:p>
        </w:tc>
        <w:tc>
          <w:tcPr>
            <w:tcW w:w="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8.7 %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18.0 %</w:t>
            </w:r>
          </w:p>
        </w:tc>
      </w:tr>
      <w:tr>
        <w:trPr>
          <w:trHeight w:val="218"/>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3.8 %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3.1 %</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3.9 %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3.1 %</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196"/>
        </w:trPr>
        <w:tc>
          <w:tcPr>
            <w:tcW w:w="2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$ 256,564</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$ 292,326</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 (35,762)</w:t>
            </w:r>
          </w:p>
        </w:tc>
        <w:tc>
          <w:tcPr>
            <w:tcW w:w="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$ 765,448</w:t>
            </w:r>
          </w:p>
        </w:tc>
        <w:tc>
          <w:tcPr>
            <w:tcW w:w="2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$ 820,316</w:t>
            </w:r>
          </w:p>
        </w:tc>
        <w:tc>
          <w:tcPr>
            <w:tcW w:w="2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(54,868)</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(6.7)</w:t>
            </w:r>
            <w:r>
              <w:rPr>
                <w:rFonts w:ascii="Times New Roman" w:cs="Times New Roman" w:eastAsia="Times New Roman" w:hAnsi="Times New Roman"/>
                <w:sz w:val="16"/>
                <w:szCs w:val="16"/>
                <w:color w:val="auto"/>
              </w:rPr>
              <w:t>%</w:t>
            </w:r>
          </w:p>
        </w:tc>
      </w:tr>
      <w:tr>
        <w:trPr>
          <w:trHeight w:val="20"/>
        </w:trPr>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$246.8 million, or 96.2% of revenue, during the three months ended September 30, 2024, compared with $283.4 million, 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96.9% of revenue, for the three months ended September 30, 2023. The $36.5 million decrease in product revenue for the</w:t>
      </w:r>
    </w:p>
    <w:p>
      <w:pPr>
        <w:sectPr>
          <w:pgSz w:w="11900" w:h="16838" w:orient="portrait"/>
          <w:cols w:equalWidth="0" w:num="1">
            <w:col w:w="9140"/>
          </w:cols>
          <w:pgMar w:left="1360" w:top="513" w:right="1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60" w:top="513" w:right="1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three-month period ended September 30, 2024, in comparison to the same period in 2023, was primarily driven by a decrease in system sales.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payments received in advance of system sales as well as deferral of revenue from systems sales for installation and other future performance obligations. The total amount of deferred revenue at September 30, 2024 and December 31, 2023 was $164.0 million and $210.9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$9.7 million, or 3.8% of revenue, for the three months ended September 30, 2024, compared with $9.0 million, or 3.1% of revenue, for the three months ended September 30, 2023.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Product revenue was $735.6 million, or 96.1% of revenue, during the nine months ended September 30, 2024, compared with $795.0 million, or 96.9% of revenue, for the nine months ended September 30, 2023. The $59.4 million decrease in product revenue for the nine-month period ended September 30, 2024, in comparison to the same period in 2023, was primarily driven by a decrease in system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Services revenue was $29.8 million, or 3.9% of revenue, for the nine months ended September 30, 2024, compared with $25.3 million, or 3.1% of revenue, for the nine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380" w:hanging="328"/>
        <w:spacing w:after="0" w:line="250" w:lineRule="auto"/>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hanging="316"/>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280" w:hanging="316"/>
        <w:spacing w:after="0" w:line="26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Included in total revenue of $256.6 million during the three months ended September 30, 2024 is revenue from our Aftermarket business of $55.5 million, compared with $60.9 million of Aftermarket revenue for the three months ended September 30, 2023.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$201.1 million of revenue for the three months ended September 30, 2024 was systems revenue, compared with $231.4 million of systems revenue for the three months ended September 30, 2023. Systems revenue fluctuates from period to period based on our customers’ capital spending.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Included in total revenue of $765.4 million during the nine months ended September 30, 2024 is revenue from our Aftermarket business of $170.3 million, compared with $178.5 million of Aftermarket revenue for the nine months ended September 30, 2023. The remaining $595.1 million of revenue for the nine months ended September 30, 2024 was systems revenue, compared with $641.8 million of systems revenue for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5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52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960" w:type="dxa"/>
            <w:vAlign w:val="bottom"/>
            <w:gridSpan w:val="3"/>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jc w:val="right"/>
              <w:ind w:right="24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gridSpan w:val="2"/>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jc w:val="right"/>
              <w:ind w:right="24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20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gridSpan w:val="3"/>
            <w:vMerge w:val="continue"/>
          </w:tcPr>
          <w:p>
            <w:pPr>
              <w:spacing w:after="0"/>
              <w:rPr>
                <w:sz w:val="11"/>
                <w:szCs w:val="11"/>
                <w:color w:val="auto"/>
              </w:rPr>
            </w:pPr>
          </w:p>
        </w:tc>
        <w:tc>
          <w:tcPr>
            <w:tcW w:w="64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$ 110,447</w:t>
            </w:r>
          </w:p>
        </w:tc>
        <w:tc>
          <w:tcPr>
            <w:tcW w:w="160" w:type="dxa"/>
            <w:vAlign w:val="bottom"/>
          </w:tcPr>
          <w:p>
            <w:pPr>
              <w:spacing w:after="0"/>
              <w:rPr>
                <w:sz w:val="18"/>
                <w:szCs w:val="18"/>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128,569</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(18,122)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(14.1)%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$ 336,577</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$ 350,736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(14,159)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(4.0)</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44.7 %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45.4 %</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45.8 %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44.1 %</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(142.8)%</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2,669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(30.5)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12.4 %</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6.2 %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10.6 %</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$ 109,970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(19,714)</w:t>
            </w:r>
          </w:p>
        </w:tc>
        <w:tc>
          <w:tcPr>
            <w:tcW w:w="8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$ 338,431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$ 353,405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(14,974)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(4.2)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42.8</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44.3</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44.2</w:t>
            </w:r>
          </w:p>
        </w:tc>
        <w:tc>
          <w:tcPr>
            <w:tcW w:w="1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43.0</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44.7% for the three months ended September 30, 2024, compared to 45.4% for the three months ended September 30, 2023. The decrease in gross margin primarily resulted from an unfavorable mix of system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(4.9)% for the three months ended September 30, 2024, compared to 12.4% for the three months ended September 30, 2023. The decrease in gross margin is attributable to changes in the mix of service contracts.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45.8% for the nine months ended September 30, 2024, compared to 44.1% for the nine months ended September 30, 2023. The increase in gross margin primarily resulted from a favorable mix of system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6.2% for the nine months ended September 30, 2024, compared to 10.6% for the nine months ended September 30, 2023. The decrease in gross margin is attributable to changes in the mix of service contracts.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60" w:type="dxa"/>
            <w:vAlign w:val="bottom"/>
            <w:gridSpan w:val="6"/>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70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8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9.6 </w:t>
            </w: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77,843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8.1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10.3 %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8.2 %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10.2 %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8.8 %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2.1 </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11.6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6.6 %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5.6 %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6.7 %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5.6 %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13.8 </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52,842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8.9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7.7 %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6.0 %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6.9 %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5.9 %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63,057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58,004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8.7 </w:t>
            </w: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182,168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15,507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9.3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24.6</w:t>
            </w: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19.8</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23.8</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20.3</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Personnel costs are our largest expense, representing $35.5 million, or 56.3%, of our total operating expenses for the three months ended September 30, 2024, compared to $34.8 million, or 60.0%, of our total operating expenses for the three months ended September 30, 2023. Personnel costs were $107.2 million, or 58.9%, of our total operating expenses for the nine months ended September 30, 2024, compared to $99.3 million, or 59.6%, of our total operating expenses for the nine months ended September 30, 2023. The higher personnel costs for the three and nine months ended September 30, 2024 are primarily due to increases in wages and headcount as well as stock compensation expense, partially offset by a decrease in variable compensation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7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6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268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8"/>
                <w:szCs w:val="18"/>
                <w:color w:val="auto"/>
              </w:rPr>
            </w:pPr>
          </w:p>
        </w:tc>
      </w:tr>
      <w:tr>
        <w:trPr>
          <w:trHeight w:val="129"/>
        </w:trPr>
        <w:tc>
          <w:tcPr>
            <w:tcW w:w="2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$ 26,395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$ 24,093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$ 2,302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 xml:space="preserve">9.6 </w:t>
            </w: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77,843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5,847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8.1 </w:t>
            </w:r>
            <w:r>
              <w:rPr>
                <w:rFonts w:ascii="Times New Roman" w:cs="Times New Roman" w:eastAsia="Times New Roman" w:hAnsi="Times New Roman"/>
                <w:sz w:val="16"/>
                <w:szCs w:val="16"/>
                <w:color w:val="auto"/>
              </w:rPr>
              <w:t>%</w:t>
            </w:r>
          </w:p>
        </w:tc>
      </w:tr>
      <w:tr>
        <w:trPr>
          <w:trHeight w:val="212"/>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10.3 %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8.2 %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10.2 %</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8.8 %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strategic plan, we establish annual research and development budgets to fund programs that we expect will solve customers’ high value, high impact, ion implantation challenges.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$26.4 million during the three months ended September 30, 2024, an increase of $2.3 million, or 9.6%, compared with $24.1 million during the three months ended September 30, 2023. The increase is primarily due to higher project and consulting expenses and higher personnel expenses associated with increases in wages partially offset by a decrease in variable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$77.8 million during the nine months ended September 30, 2024, an increase of $5.8 million, or 8.1%, compared with $72.0 million during the nine months ended September 30, 2023. The increase is primarily due to higher project and consulting expenses and higher personnel expenses associated with increases in wages partially offset by a decrease in variable compensation expense and temporary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$ 16,808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$ 16,465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$ 343</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2.1 </w:t>
            </w:r>
            <w:r>
              <w:rPr>
                <w:rFonts w:ascii="Times New Roman" w:cs="Times New Roman" w:eastAsia="Times New Roman" w:hAnsi="Times New Roman"/>
                <w:sz w:val="16"/>
                <w:szCs w:val="16"/>
                <w:color w:val="auto"/>
              </w:rPr>
              <w:t>% $ 51,483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$ 46,146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 xml:space="preserve">11.6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6.6 %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5.6 %</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6.7 %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5.6 %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was $16.8 million during the three months ended September 30, 2024, an increase of $0.3 million, or 2.1%, compared with $16.5 million during the three months ended September 30, 2023. The increase is primarily due to higher personnel expenses associated with increases in wages and stock compensation expense partially offset by a decrease in variable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was $51.5 million during the nine months ended September 30, 2024, an increase of $5.3 million, or 11.6%, compared with $46.1 million during the nine months ended September 30, 2023. The increase is primarily due to higher personnel expenses associated with increases in wages and stock compensation expense partially offset by a decrease in variable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$ 19,854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$ 17,446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$ 2,408</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13.8 </w:t>
            </w:r>
            <w:r>
              <w:rPr>
                <w:rFonts w:ascii="Times New Roman" w:cs="Times New Roman" w:eastAsia="Times New Roman" w:hAnsi="Times New Roman"/>
                <w:sz w:val="16"/>
                <w:szCs w:val="16"/>
                <w:color w:val="auto"/>
              </w:rPr>
              <w:t>% $ 52,842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$ 48,519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$ 4,323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 xml:space="preserve">8.9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7.7 %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6.0 %</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6.9 %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5.9 %</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$19.9 million during the three months ended September 30, 2024, an increase of $2.4 million, or 13.8%, compared with $17.4 million during the three months ended September 30, 2023. The increase is primarily due to an increase in bad debt expense of $2.8 million partially offset by lower personnel expenses associated with a decrease in variable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$52.8 million during the nine months ended September 30, 2024, an increase of $4.3 million, or 8.9%, compared with $48.5 million during the nine months ended September 30, 2023. The increase is primarily due to higher bad debt expense and higher personnel expenses associated with an increase in wages and stock compensation partially offset by a decrease in variable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4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6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4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6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8,452</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1,995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 xml:space="preserve">323.7 </w:t>
            </w: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$ 15,366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10,917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245.4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0.6 %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was $8.5 million for the three months ended September 30, 2024, compared with other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for the three months ended September 30, 2023. The $6.5 million increase in other income (expense)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prior year period was primarily due to an increase in interest income of $2.0 million and an increase 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gains of $7.7 million, partially offset by foreign exchange losses of $3.2 million from forward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Other income was $15.4 million for the nine months ended September 30, 2024, compared with other income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million for the nine months ended September 30, 2023. The $10.9 million increase in other income (expense)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prior year period was primarily due to an increase in interest income of $5.3 million, an increase 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gains of $5.1 million and foreign exchange gains of $0.5 million from forward currency exchange contracts.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20" w:type="dxa"/>
            <w:vAlign w:val="bottom"/>
            <w:gridSpan w:val="5"/>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5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78"/>
              </w:rPr>
              <w:t>(dollars</w:t>
            </w:r>
          </w:p>
        </w:tc>
        <w:tc>
          <w:tcPr>
            <w:tcW w:w="30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6,789</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7,744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(955)</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(12.3)</w:t>
            </w: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$ 20,593</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$ 15,986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4,607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28.8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4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i w:val="1"/>
                <w:iCs w:val="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i w:val="1"/>
                <w:iCs w:val="1"/>
                <w:color w:val="auto"/>
              </w:rPr>
              <w:t>%</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$6.8 million for the three months ended September 30, 2024, compared to $7.7 million for the three months ended September 30, 2023. The $0.9 million decrease was primarily due to a decrease in pre-tax income. Income tax expense was $20.6 million for the nine months ended September 30, 2024, compared to $16.0 million for the nine months ended September 30, 2023. The increase was primarily due to a decrease in the benefit received from share-based compensation.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less than the U.S. statutory rate of 21% primarily attributable to the Foreign Derived Intangible Income deduction, Federal research and development tax credits and excess tax benefits from share-based compensation.</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$58.9 million and $53.4 million as of September 30, 2024 and December 31, 2023, respectively, reflect the net tax effect of temporary differences between the carrying amount of assets and liabilities for financial reporting purposes and the amounts used for income tax purposes, as well as the tax effect of carryforwards. As of September 30, 2024, we have recorded a $12.1 million valuation allowance in the U.S. against certain tax credits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At September 30, 2024, we had $120.1 million in unrestricted cash and cash equivalents and $459.3 million in short-term investments, in addition to $6.7 million in restricted cash. Management believes that maintaining a strong cash balance is necessary to fund a continuing ramp in our business which can require significant cash investment to meet sudden demand.</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Additionally, we are using cash to repurchase shares as part of our stock repurchase program and are considering both organic and inorganic opportunities to drive future growth, for which cash resources will be necessary.</w:t>
      </w:r>
    </w:p>
    <w:p>
      <w:pPr>
        <w:spacing w:after="0" w:line="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2023, we generated $128.0 million and $91.3 million, respectively, of cash related to operating activities.</w:t>
      </w:r>
    </w:p>
    <w:p>
      <w:pPr>
        <w:spacing w:after="0" w:line="6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Investing activities for the nine months ended September 30, 2024 resulted in cash outflows of $117.8 million, $7.5 million of which was used for capital expenditures and $433.9 million of which was used to purchase short-term investments, offset by $323.6 million related to maturities of short-term investments. Investing activities for the nine months ended September 30, 2023 resulted in cash outflows of $74.2 million, $10.5 million of which was used for capital expenditures and $271.6 million of which was used to purchase short-term investments, offset by $207.9 million related to maturities of short-term investments.</w:t>
      </w:r>
    </w:p>
    <w:p>
      <w:pPr>
        <w:spacing w:after="0" w:line="9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Financing activities for the nine months ended September 30, 2024 resulted in a cash usage of $56.6 million. During the first nine months of 2024, (i) $45.4 million in cash was used to repurchase our common stock, (ii) $11.4 million was used for payments to government tax authorities for income tax withholding on employee compensation arising from the vesting of RSUs, where units are withheld by us to cover taxes, and (iii) $1.1 million was used to reduce the liability under the finance lease of our corporate headquarters. These amounts were partially offset by $1.2 million of proceeds related to the purchase of shares under our 2020 ESPP during the first nine months of 2024. In comparison, financing activities for the nine months ended September 30, 2023 resulted in cash usage of $53.2 million, of which (i) $37.5 million related to the repurchase of our common stock (ii) $15.8 million related to payments made to government tax authorities for income tax withholding on employee compensation arising from the vesting of RSUs, and (iii) $0.9 million relating to the reduction of our financing lease liability. These amounts were partially offset by $1.0 million of proceeds related to the purchase of shares under our 2020 ESPP and exercise of stock options during the first nine months of 2023.</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a security deposit of $5.9 million related to the lease of our corporate headquarters in the form of a cash collateralized letter of credit issued with UBS Bank USA, which is classified as long-term restricted cash on our balance sheet.</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and cash equivalents will be sufficient to satisfy our anticipated cash requirements for the short- and long-term.</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September 30, 2024 are consistent with those discussed in Item 7, “Management’s Discussion and Analysis of Financial Condition and Results of Operations,” and Note 16 to the consolidated financial statements included in our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2024, there have been no material changes to the quantitative information about market risk disclosed in Item 7A, “Quantitative and Qualitative Disclosures about Market Risk” included in our 2023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there have been no material changes to the risk factors described in Item 1A, “Risk Factors” included in our 2023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4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This additional funding was announced on September 12, 2023. The Company’s share repurchase program does not have an expiration date.</w:t>
      </w:r>
    </w:p>
    <w:p>
      <w:pPr>
        <w:spacing w:after="0" w:line="1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September 30, 2024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5"/>
                <w:szCs w:val="15"/>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40" w:type="dxa"/>
            <w:vAlign w:val="bottom"/>
          </w:tcPr>
          <w:p>
            <w:pPr>
              <w:spacing w:after="0"/>
              <w:rPr>
                <w:sz w:val="12"/>
                <w:szCs w:val="12"/>
                <w:color w:val="auto"/>
              </w:rPr>
            </w:pPr>
          </w:p>
        </w:tc>
        <w:tc>
          <w:tcPr>
            <w:tcW w:w="16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except per share amounts)</w:t>
            </w:r>
          </w:p>
        </w:tc>
        <w:tc>
          <w:tcPr>
            <w:tcW w:w="12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 through July 31</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4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$137.48</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04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150,387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August 1 through August 31</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4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$111.33</w:t>
            </w:r>
          </w:p>
        </w:tc>
        <w:tc>
          <w:tcPr>
            <w:tcW w:w="14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040" w:type="dxa"/>
            <w:vAlign w:val="bottom"/>
            <w:gridSpan w:val="2"/>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145,011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 through September 30</w:t>
            </w: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145,011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gridSpan w:val="2"/>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Lynnette C. Fallon, Executive Vice President, HR/Legal, General Counsel, and Secretary has announced her plan to retire in early 2025, at which time she will resign as an executive officer. The Company is engaged in a search for her successor. Following her retirement, Ms. Fallon will continue to serve as a senior advisor to the Company.</w:t>
      </w:r>
    </w:p>
    <w:p>
      <w:pPr>
        <w:spacing w:after="0" w:line="176"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During the quarter ended September 30, 2024,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6"/>
                <w:szCs w:val="16"/>
                <w:color w:val="auto"/>
              </w:rPr>
            </w:pPr>
          </w:p>
        </w:tc>
        <w:tc>
          <w:tcPr>
            <w:tcW w:w="7580" w:type="dxa"/>
            <w:vAlign w:val="bottom"/>
            <w:gridSpan w:val="12"/>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7940" w:type="dxa"/>
            <w:vAlign w:val="bottom"/>
            <w:tcBorders>
              <w:top w:val="single" w:sz="8" w:color="auto"/>
            </w:tcBorders>
            <w:gridSpan w:val="13"/>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7940" w:type="dxa"/>
            <w:vAlign w:val="bottom"/>
            <w:gridSpan w:val="13"/>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Incorporated by reference to Exhibit 3.1 of the Company’s Form 8-K filed with the Commission on May 9,</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hyperlink>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80" w:type="dxa"/>
            <w:vAlign w:val="bottom"/>
          </w:tcPr>
          <w:p>
            <w:pPr>
              <w:spacing w:after="0"/>
              <w:rPr>
                <w:sz w:val="24"/>
                <w:szCs w:val="24"/>
                <w:color w:val="auto"/>
              </w:rPr>
            </w:pPr>
          </w:p>
        </w:tc>
        <w:tc>
          <w:tcPr>
            <w:tcW w:w="7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Bylaws of the Company, as amended as of May 11, 2022. Incorporated by reference to Exhibit 3.2 of the</w:t>
              </w:r>
            </w:hyperlink>
          </w:p>
        </w:tc>
        <w:tc>
          <w:tcPr>
            <w:tcW w:w="34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Company’s Form 8-K filed with the SEC on May 11, 2022.</w:t>
              </w:r>
            </w:hyperlink>
          </w:p>
        </w:tc>
        <w:tc>
          <w:tcPr>
            <w:tcW w:w="3660" w:type="dxa"/>
            <w:vAlign w:val="bottom"/>
            <w:gridSpan w:val="9"/>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dated November 7, 2024.</w:t>
            </w:r>
          </w:p>
        </w:tc>
        <w:tc>
          <w:tcPr>
            <w:tcW w:w="20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8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dated November 7, 2024.</w:t>
            </w:r>
          </w:p>
        </w:tc>
        <w:tc>
          <w:tcPr>
            <w:tcW w:w="4240" w:type="dxa"/>
            <w:vAlign w:val="bottom"/>
            <w:gridSpan w:val="11"/>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November 7, 2024.</w:t>
            </w:r>
          </w:p>
        </w:tc>
        <w:tc>
          <w:tcPr>
            <w:tcW w:w="480" w:type="dxa"/>
            <w:vAlign w:val="bottom"/>
            <w:gridSpan w:val="5"/>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November 7, 2024.</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right="20" w:hanging="899"/>
        <w:spacing w:after="0" w:line="276" w:lineRule="auto"/>
        <w:tabs>
          <w:tab w:leader="none" w:pos="116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the Company’s Form 10-Q for the quarter ended September 30, 2024, formatted in inline eXtensible Business Reporting Language (iXBRL): (i) Consolidated Statements of Operations,</w:t>
      </w:r>
    </w:p>
    <w:p>
      <w:pPr>
        <w:spacing w:after="0" w:line="1" w:lineRule="exact"/>
        <w:rPr>
          <w:sz w:val="20"/>
          <w:szCs w:val="20"/>
          <w:color w:val="auto"/>
        </w:rPr>
      </w:pPr>
    </w:p>
    <w:p>
      <w:pPr>
        <w:ind w:left="1180" w:right="100" w:hanging="1"/>
        <w:spacing w:after="0" w:line="290" w:lineRule="auto"/>
        <w:tabs>
          <w:tab w:leader="none" w:pos="14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480" w:firstLine="5"/>
        <w:spacing w:after="0" w:line="26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18"/>
          <w:szCs w:val="18"/>
          <w:color w:val="auto"/>
        </w:rPr>
        <w:t>By:  /s/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James G. Coogan</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G. Coogan, certify that:</w:t>
      </w:r>
    </w:p>
    <w:p>
      <w:pPr>
        <w:spacing w:after="0" w:line="225" w:lineRule="exact"/>
        <w:rPr>
          <w:sz w:val="20"/>
          <w:szCs w:val="20"/>
          <w:color w:val="auto"/>
        </w:rPr>
      </w:pPr>
    </w:p>
    <w:p>
      <w:pPr>
        <w:ind w:left="540" w:hanging="49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November 7,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November 7,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upp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35" Type="http://schemas.openxmlformats.org/officeDocument/2006/relationships/hyperlink" Target="https://www.sec.gov/ix?doc=/Archives/edgar/data/1113232/000155837024001628/acls-20231231x10k.htm" TargetMode="External"/><Relationship Id="rId46" Type="http://schemas.openxmlformats.org/officeDocument/2006/relationships/hyperlink" Target="http://www.sec.gov/Archives/edgar/data/1113232/000155837017008078/acls-20170930ex31a83feb6.htm" TargetMode="External"/><Relationship Id="rId47" Type="http://schemas.openxmlformats.org/officeDocument/2006/relationships/hyperlink" Target="https://www.sec.gov/Archives/edgar/data/1113232/000110465924059307/tm2413500d1_ex3-1.htm" TargetMode="External"/><Relationship Id="rId48"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2024-11-07T15:29:23Z</dcterms:created>
  <dcterms:modified xsi:type="dcterms:W3CDTF">2024-11-07T15:29:23Z</dcterms:modified>
</cp:coreProperties>
</file>