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cls-20260630x10q.htm"/>
        <w:bookmarkStart w:id="1" w:name="ksacls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lineRule="atLeast" w:line="142" w:before="0" w:after="0"/>
        <w:ind w:left="0" w:right="0" w:hanging="0"/>
        <w:jc w:val="left"/>
        <w:rPr/>
      </w:pPr>
      <w:r>
        <w:rPr/>
        <w:t>​</w:t>
      </w:r>
    </w:p>
    <w:p>
      <w:pPr>
        <w:pStyle w:val="TextBody"/>
        <w:pBdr>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b24fdf13_a4d2_45cb_926f_409bf4db2fe6"/>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000-30941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AXCELIS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xAgZA2_RyUqCXoFgDQeAAA_2_2"/>
      <w:bookmarkStart w:id="4" w:name="Tc_ml_abEYPak6vAgbDqz2fCA_2_0"/>
      <w:bookmarkStart w:id="5" w:name="_d70cb385_ad51_4cf3_a08a_6d5db2fa6924"/>
      <w:bookmarkStart w:id="6" w:name="Tc_xAgZA2_RyUqCXoFgDQeAAA_2_2"/>
      <w:bookmarkStart w:id="7" w:name="Tc_ml_abEYPak6vAgbDqz2fCA_2_0"/>
      <w:bookmarkStart w:id="8" w:name="_d70cb385_ad51_4cf3_a08a_6d5db2fa6924"/>
      <w:bookmarkEnd w:id="6"/>
      <w:bookmarkEnd w:id="7"/>
      <w:bookmarkEnd w:id="8"/>
    </w:p>
    <w:tbl>
      <w:tblPr>
        <w:tblW w:w="4341" w:type="dxa"/>
        <w:jc w:val="left"/>
        <w:tblInd w:w="0" w:type="dxa"/>
        <w:tblLayout w:type="fixed"/>
        <w:tblCellMar>
          <w:top w:w="0" w:type="dxa"/>
          <w:left w:w="0" w:type="dxa"/>
          <w:bottom w:w="0" w:type="dxa"/>
          <w:right w:w="0" w:type="dxa"/>
        </w:tblCellMar>
      </w:tblPr>
      <w:tblGrid>
        <w:gridCol w:w="2581"/>
        <w:gridCol w:w="109"/>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lineRule="auto" w:line="328" w:before="0" w:after="0"/>
              <w:ind w:left="0" w:right="0" w:hanging="0"/>
              <w:jc w:val="left"/>
              <w:rPr/>
            </w:pPr>
            <w:r>
              <w:rPr/>
              <w:t>​</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34-1818596</w:t>
            </w:r>
          </w:p>
        </w:tc>
      </w:tr>
      <w:tr>
        <w:trPr/>
        <w:tc>
          <w:tcPr>
            <w:tcW w:w="258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lineRule="auto" w:line="328" w:before="0" w:after="0"/>
              <w:ind w:left="0" w:right="0" w:hanging="0"/>
              <w:jc w:val="left"/>
              <w:rPr/>
            </w:pPr>
            <w:r>
              <w:rPr/>
              <w:t>​</w:t>
            </w:r>
          </w:p>
        </w:tc>
        <w:tc>
          <w:tcPr>
            <w:tcW w:w="16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108 Cherry Hill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Beverly, Massachusetts</w:t>
      </w:r>
      <w:r>
        <w:rPr>
          <w:rFonts w:ascii="Times New Roman;Times;serif" w:hAnsi="Times New Roman;Times;serif"/>
          <w:sz w:val="20"/>
        </w:rPr>
        <w:t xml:space="preserve"> </w:t>
      </w:r>
      <w:r>
        <w:rPr>
          <w:rFonts w:ascii="Times New Roman;Times;serif" w:hAnsi="Times New Roman;Times;serif"/>
          <w:b/>
          <w:sz w:val="20"/>
        </w:rPr>
        <w:t>01915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787-4000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firstLine="259"/>
        <w:jc w:val="left"/>
        <w:rPr/>
      </w:pPr>
      <w:r>
        <w:rPr/>
        <w:t>​</w:t>
      </w:r>
    </w:p>
    <w:p>
      <w:pPr>
        <w:pStyle w:val="Normal"/>
        <w:bidi w:val="0"/>
        <w:spacing w:before="0" w:after="0"/>
        <w:jc w:val="left"/>
        <w:rPr>
          <w:sz w:val="4"/>
          <w:szCs w:val="4"/>
        </w:rPr>
      </w:pPr>
      <w:r>
        <w:rPr>
          <w:sz w:val="4"/>
          <w:szCs w:val="4"/>
        </w:rPr>
      </w:r>
      <w:bookmarkStart w:id="9" w:name="Tc_L3NXBQXNKEKypuED7IgP0A_1_2"/>
      <w:bookmarkStart w:id="10" w:name="Tc_IS36xfUMD0SiD9adGWSC1g_1_1"/>
      <w:bookmarkStart w:id="11" w:name="Tc_j-rwsoR-c0Cx-pw7b2uX4w_1_0"/>
      <w:bookmarkStart w:id="12" w:name="_781a6ff4_b703_481c_90d3_73b1d7fb8e5f"/>
      <w:bookmarkStart w:id="13" w:name="Tc_L3NXBQXNKEKypuED7IgP0A_1_2"/>
      <w:bookmarkStart w:id="14" w:name="Tc_IS36xfUMD0SiD9adGWSC1g_1_1"/>
      <w:bookmarkStart w:id="15" w:name="Tc_j-rwsoR-c0Cx-pw7b2uX4w_1_0"/>
      <w:bookmarkStart w:id="16" w:name="_781a6ff4_b703_481c_90d3_73b1d7fb8e5f"/>
      <w:bookmarkEnd w:id="13"/>
      <w:bookmarkEnd w:id="14"/>
      <w:bookmarkEnd w:id="15"/>
      <w:bookmarkEnd w:id="16"/>
    </w:p>
    <w:tbl>
      <w:tblPr>
        <w:tblW w:w="7938" w:type="dxa"/>
        <w:jc w:val="left"/>
        <w:tblInd w:w="0" w:type="dxa"/>
        <w:tblLayout w:type="fixed"/>
        <w:tblCellMar>
          <w:top w:w="0" w:type="dxa"/>
          <w:left w:w="0" w:type="dxa"/>
          <w:bottom w:w="0" w:type="dxa"/>
          <w:right w:w="0" w:type="dxa"/>
        </w:tblCellMar>
      </w:tblPr>
      <w:tblGrid>
        <w:gridCol w:w="2836"/>
        <w:gridCol w:w="1396"/>
        <w:gridCol w:w="3706"/>
      </w:tblGrid>
      <w:tr>
        <w:trPr/>
        <w:tc>
          <w:tcPr>
            <w:tcW w:w="283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firstLine="264"/>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881" w:type="dxa"/>
        <w:jc w:val="left"/>
        <w:tblInd w:w="0" w:type="dxa"/>
        <w:tblLayout w:type="fixed"/>
        <w:tblCellMar>
          <w:top w:w="0" w:type="dxa"/>
          <w:left w:w="0" w:type="dxa"/>
          <w:bottom w:w="0" w:type="dxa"/>
          <w:right w:w="0" w:type="dxa"/>
        </w:tblCellMar>
      </w:tblPr>
      <w:tblGrid>
        <w:gridCol w:w="2146"/>
        <w:gridCol w:w="109"/>
        <w:gridCol w:w="262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If an emerging growth company, indicate by check mark if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259"/>
        <w:jc w:val="left"/>
        <w:rPr/>
      </w:pPr>
      <w:r>
        <w:rPr/>
        <w:t>​</w:t>
      </w:r>
    </w:p>
    <w:p>
      <w:pPr>
        <w:pStyle w:val="TextBody"/>
        <w:bidi w:val="0"/>
        <w:spacing w:before="0" w:after="0"/>
        <w:ind w:left="0" w:right="0" w:firstLine="259"/>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0"/>
        <w:ind w:left="0" w:right="0" w:firstLine="264"/>
        <w:jc w:val="left"/>
        <w:rPr>
          <w:rFonts w:ascii="Times New Roman;Times;serif" w:hAnsi="Times New Roman;Times;serif"/>
          <w:sz w:val="20"/>
        </w:rPr>
      </w:pPr>
      <w:r>
        <w:rPr>
          <w:rFonts w:ascii="Times New Roman;Times;serif" w:hAnsi="Times New Roman;Times;serif"/>
          <w:sz w:val="20"/>
        </w:rPr>
        <w:t>As of August 3, 2026, there were 30,881,489 shares of the registrant’s common stock outstanding.</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 w:name="Toc"/>
      <w:bookmarkStart w:id="18" w:name="_c1cc5ace_f592_4d01_9854_81bc30958a82"/>
      <w:bookmarkEnd w:id="17"/>
      <w:bookmarkEnd w:id="1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41"/>
        <w:gridCol w:w="9003"/>
        <w:gridCol w:w="361"/>
      </w:tblGrid>
      <w:tr>
        <w:trPr/>
        <w:tc>
          <w:tcPr>
            <w:tcW w:w="841" w:type="dxa"/>
            <w:tcBorders/>
            <w:vAlign w:val="center"/>
          </w:tcPr>
          <w:p>
            <w:pPr>
              <w:pStyle w:val="TableContents"/>
              <w:bidi w:val="0"/>
              <w:spacing w:before="0" w:after="283"/>
              <w:ind w:left="0" w:right="0" w:hanging="0"/>
              <w:jc w:val="left"/>
              <w:rPr>
                <w:sz w:val="4"/>
                <w:szCs w:val="4"/>
              </w:rPr>
            </w:pPr>
            <w:r>
              <w:rPr>
                <w:sz w:val="4"/>
                <w:szCs w:val="4"/>
              </w:rPr>
            </w:r>
          </w:p>
        </w:tc>
        <w:tc>
          <w:tcPr>
            <w:tcW w:w="9003"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9235" cy="175260"/>
                      <wp:effectExtent l="0" t="0" r="0" b="0"/>
                      <wp:wrapNone/>
                      <wp:docPr id="1" name="Frame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gridSpan w:val="2"/>
            <w:tcBorders/>
            <w:vAlign w:val="center"/>
          </w:tcPr>
          <w:p>
            <w:pPr>
              <w:pStyle w:val="TableContents"/>
              <w:pBdr/>
              <w:bidi w:val="0"/>
              <w:spacing w:lineRule="auto" w:line="328" w:before="0" w:after="0"/>
              <w:ind w:left="0" w:right="0" w:hanging="0"/>
              <w:jc w:val="left"/>
              <w:rPr/>
            </w:pPr>
            <w:hyperlink w:anchor="PART1FINANCIALINFORMATION_304973">
              <w:r>
                <w:rPr>
                  <w:rStyle w:val="InternetLink"/>
                  <w:rFonts w:ascii="Times New Roman;Times;serif" w:hAnsi="Times New Roman;Times;serif"/>
                  <w:b/>
                  <w:i w:val="false"/>
                  <w:caps w:val="false"/>
                  <w:smallCaps w:val="false"/>
                  <w:sz w:val="20"/>
                </w:rPr>
                <w:t>PART I - FINANCIAL INFORMATION</w:t>
              </w:r>
            </w:hyperlink>
          </w:p>
        </w:tc>
        <w:tc>
          <w:tcPr>
            <w:tcW w:w="361" w:type="dxa"/>
            <w:tcBorders/>
            <w:vAlign w:val="center"/>
          </w:tcPr>
          <w:p>
            <w:pPr>
              <w:pStyle w:val="TableContents"/>
              <w:bidi w:val="0"/>
              <w:spacing w:lineRule="auto" w:line="328" w:before="0" w:after="0"/>
              <w:ind w:left="0" w:right="0" w:hanging="0"/>
              <w:jc w:val="right"/>
              <w:rPr/>
            </w:pPr>
            <w:r>
              <w:rPr/>
              <w:t>​</w:t>
            </w:r>
          </w:p>
        </w:tc>
      </w:tr>
      <w:tr>
        <w:trPr/>
        <w:tc>
          <w:tcPr>
            <w:tcW w:w="841" w:type="dxa"/>
            <w:tcBorders/>
            <w:vAlign w:val="center"/>
          </w:tcPr>
          <w:p>
            <w:pPr>
              <w:pStyle w:val="TableContents"/>
              <w:bidi w:val="0"/>
              <w:spacing w:lineRule="auto" w:line="328" w:before="0" w:after="0"/>
              <w:ind w:left="0" w:right="0" w:hanging="0"/>
              <w:jc w:val="left"/>
              <w:rPr/>
            </w:pPr>
            <w:hyperlink w:anchor="Item1FinancialStatements_869987">
              <w:r>
                <w:rPr>
                  <w:rStyle w:val="InternetLink"/>
                  <w:rFonts w:ascii="Times New Roman;Times;serif" w:hAnsi="Times New Roman;Times;serif"/>
                  <w:b/>
                  <w:i w:val="false"/>
                  <w:caps w:val="false"/>
                  <w:smallCaps w:val="false"/>
                  <w:sz w:val="20"/>
                </w:rPr>
                <w:t>Item 1.</w:t>
              </w:r>
            </w:hyperlink>
          </w:p>
        </w:tc>
        <w:tc>
          <w:tcPr>
            <w:tcW w:w="9003" w:type="dxa"/>
            <w:tcBorders/>
            <w:vAlign w:val="center"/>
          </w:tcPr>
          <w:p>
            <w:pPr>
              <w:pStyle w:val="TableContents"/>
              <w:bidi w:val="0"/>
              <w:spacing w:lineRule="auto" w:line="328" w:before="0" w:after="0"/>
              <w:ind w:left="0" w:right="0" w:hanging="0"/>
              <w:jc w:val="left"/>
              <w:rPr/>
            </w:pPr>
            <w:hyperlink w:anchor="Item1FinancialStatements_869987">
              <w:r>
                <w:rPr>
                  <w:rStyle w:val="InternetLink"/>
                  <w:rFonts w:ascii="Times New Roman;Times;serif" w:hAnsi="Times New Roman;Times;serif"/>
                  <w:b/>
                  <w:i w:val="false"/>
                  <w:caps w:val="false"/>
                  <w:smallCaps w:val="false"/>
                  <w:sz w:val="20"/>
                </w:rPr>
                <w:t>Financial Statements (Unaudited)</w:t>
              </w:r>
            </w:hyperlink>
          </w:p>
        </w:tc>
        <w:tc>
          <w:tcPr>
            <w:tcW w:w="361" w:type="dxa"/>
            <w:tcBorders/>
            <w:vAlign w:val="center"/>
          </w:tcPr>
          <w:p>
            <w:pPr>
              <w:pStyle w:val="TableContents"/>
              <w:bidi w:val="0"/>
              <w:spacing w:lineRule="auto" w:line="328" w:before="0" w:after="0"/>
              <w:ind w:left="0" w:right="0" w:hanging="0"/>
              <w:jc w:val="right"/>
              <w:rPr/>
            </w:pPr>
            <w:r>
              <w:rPr/>
              <w:t>​</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sofOperations_8900">
              <w:r>
                <w:rPr>
                  <w:rStyle w:val="InternetLink"/>
                  <w:rFonts w:ascii="Times New Roman;Times;serif" w:hAnsi="Times New Roman;Times;serif"/>
                  <w:b w:val="false"/>
                  <w:i w:val="false"/>
                  <w:caps w:val="false"/>
                  <w:smallCaps w:val="false"/>
                  <w:sz w:val="20"/>
                </w:rPr>
                <w:t>Consolidated Statements of Operations for the three and six months ended June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three and six months ended June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BalanceSheets_859153">
              <w:r>
                <w:rPr>
                  <w:rStyle w:val="InternetLink"/>
                  <w:rFonts w:ascii="Times New Roman;Times;serif" w:hAnsi="Times New Roman;Times;serif"/>
                  <w:b w:val="false"/>
                  <w:i w:val="false"/>
                  <w:caps w:val="false"/>
                  <w:smallCaps w:val="false"/>
                  <w:sz w:val="20"/>
                </w:rPr>
                <w:t>Consolidated Balance Sheets as of June 30, 2026 and December 31,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Equity">
              <w:r>
                <w:rPr>
                  <w:rStyle w:val="InternetLink"/>
                  <w:rFonts w:ascii="Times New Roman;Times;serif" w:hAnsi="Times New Roman;Times;serif"/>
                  <w:b w:val="false"/>
                  <w:i w:val="false"/>
                  <w:caps w:val="false"/>
                  <w:smallCaps w:val="false"/>
                  <w:sz w:val="20"/>
                </w:rPr>
                <w:t>Consolidated Statements of Stockholders’ Equity for the three and six months ended June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onsolidatedStatementsofCashFlows_699712">
              <w:r>
                <w:rPr>
                  <w:rStyle w:val="InternetLink"/>
                  <w:rFonts w:ascii="Times New Roman;Times;serif" w:hAnsi="Times New Roman;Times;serif"/>
                  <w:b w:val="false"/>
                  <w:i w:val="false"/>
                  <w:caps w:val="false"/>
                  <w:smallCaps w:val="false"/>
                  <w:sz w:val="20"/>
                </w:rPr>
                <w:t>Consolidated Statements of Cash Flows for the six months ended June 30, 2026 and 2025</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41"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9003" w:type="dxa"/>
            <w:tcBorders/>
            <w:vAlign w:val="center"/>
          </w:tcPr>
          <w:p>
            <w:pPr>
              <w:pStyle w:val="TableContents"/>
              <w:bidi w:val="0"/>
              <w:spacing w:lineRule="auto" w:line="328"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Overview_288809">
              <w:r>
                <w:rPr>
                  <w:rStyle w:val="InternetLink"/>
                  <w:rFonts w:ascii="Times New Roman;Times;serif" w:hAnsi="Times New Roman;Times;serif"/>
                  <w:b w:val="false"/>
                  <w:i w:val="false"/>
                  <w:caps w:val="false"/>
                  <w:smallCaps w:val="false"/>
                  <w:sz w:val="20"/>
                </w:rPr>
                <w:t>Overview</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CriticalAccountingEstimates_482826">
              <w:r>
                <w:rPr>
                  <w:rStyle w:val="InternetLink"/>
                  <w:rFonts w:ascii="Times New Roman;Times;serif" w:hAnsi="Times New Roman;Times;serif"/>
                  <w:b w:val="false"/>
                  <w:i w:val="false"/>
                  <w:caps w:val="false"/>
                  <w:smallCaps w:val="false"/>
                  <w:sz w:val="20"/>
                </w:rPr>
                <w:t>Critical Accounting Estimates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ResultsofOperations_659595">
              <w:r>
                <w:rPr>
                  <w:rStyle w:val="InternetLink"/>
                  <w:rFonts w:ascii="Times New Roman;Times;serif" w:hAnsi="Times New Roman;Times;serif"/>
                  <w:b w:val="false"/>
                  <w:i w:val="false"/>
                  <w:caps w:val="false"/>
                  <w:smallCaps w:val="false"/>
                  <w:sz w:val="20"/>
                </w:rPr>
                <w:t>Results of Operations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41" w:type="dxa"/>
            <w:tcBorders/>
            <w:vAlign w:val="center"/>
          </w:tcPr>
          <w:p>
            <w:pPr>
              <w:pStyle w:val="TableContents"/>
              <w:bidi w:val="0"/>
              <w:spacing w:lineRule="auto" w:line="328" w:before="0" w:after="0"/>
              <w:ind w:left="0" w:right="0" w:hanging="0"/>
              <w:jc w:val="left"/>
              <w:rPr/>
            </w:pPr>
            <w:r>
              <w:rPr/>
              <w:t>​</w:t>
            </w:r>
          </w:p>
        </w:tc>
        <w:tc>
          <w:tcPr>
            <w:tcW w:w="9003" w:type="dxa"/>
            <w:tcBorders/>
            <w:vAlign w:val="center"/>
          </w:tcPr>
          <w:p>
            <w:pPr>
              <w:pStyle w:val="TableContents"/>
              <w:bidi w:val="0"/>
              <w:spacing w:lineRule="auto" w:line="328" w:before="0" w:after="0"/>
              <w:ind w:left="0" w:right="0" w:hanging="0"/>
              <w:jc w:val="left"/>
              <w:rPr/>
            </w:pPr>
            <w:hyperlink w:anchor="LiquidityandCapitalResources_541794">
              <w:r>
                <w:rPr>
                  <w:rStyle w:val="InternetLink"/>
                  <w:rFonts w:ascii="Times New Roman;Times;serif" w:hAnsi="Times New Roman;Times;serif"/>
                  <w:b w:val="false"/>
                  <w:i w:val="false"/>
                  <w:caps w:val="false"/>
                  <w:smallCaps w:val="false"/>
                  <w:sz w:val="20"/>
                </w:rPr>
                <w:t>Liquidity and Capital Resources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41"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Item 3.</w:t>
              </w:r>
            </w:hyperlink>
          </w:p>
        </w:tc>
        <w:tc>
          <w:tcPr>
            <w:tcW w:w="9003" w:type="dxa"/>
            <w:tcBorders/>
            <w:vAlign w:val="center"/>
          </w:tcPr>
          <w:p>
            <w:pPr>
              <w:pStyle w:val="TableContents"/>
              <w:bidi w:val="0"/>
              <w:spacing w:lineRule="auto" w:line="328" w:before="0" w:after="0"/>
              <w:ind w:left="0" w:right="0" w:hanging="0"/>
              <w:jc w:val="left"/>
              <w:rPr/>
            </w:pPr>
            <w:hyperlink w:anchor="Item3QuantitativeandQualitativeDisclosur">
              <w:r>
                <w:rPr>
                  <w:rStyle w:val="InternetLink"/>
                  <w:rFonts w:ascii="Times New Roman;Times;serif" w:hAnsi="Times New Roman;Times;serif"/>
                  <w:b/>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41" w:type="dxa"/>
            <w:tcBorders/>
            <w:vAlign w:val="center"/>
          </w:tcPr>
          <w:p>
            <w:pPr>
              <w:pStyle w:val="TableContents"/>
              <w:bidi w:val="0"/>
              <w:spacing w:lineRule="auto" w:line="328" w:before="0" w:after="0"/>
              <w:ind w:left="0" w:right="0" w:hanging="0"/>
              <w:jc w:val="left"/>
              <w:rPr/>
            </w:pPr>
            <w:hyperlink w:anchor="Item4ControlsandProcedures_773908">
              <w:r>
                <w:rPr>
                  <w:rStyle w:val="InternetLink"/>
                  <w:rFonts w:ascii="Times New Roman;Times;serif" w:hAnsi="Times New Roman;Times;serif"/>
                  <w:b/>
                  <w:i w:val="false"/>
                  <w:caps w:val="false"/>
                  <w:smallCaps w:val="false"/>
                  <w:sz w:val="20"/>
                </w:rPr>
                <w:t>Item 4.</w:t>
              </w:r>
            </w:hyperlink>
          </w:p>
        </w:tc>
        <w:tc>
          <w:tcPr>
            <w:tcW w:w="9003" w:type="dxa"/>
            <w:tcBorders/>
            <w:vAlign w:val="center"/>
          </w:tcPr>
          <w:p>
            <w:pPr>
              <w:pStyle w:val="TableContents"/>
              <w:bidi w:val="0"/>
              <w:spacing w:lineRule="auto" w:line="328" w:before="0" w:after="0"/>
              <w:ind w:left="0" w:right="0" w:hanging="0"/>
              <w:jc w:val="left"/>
              <w:rPr/>
            </w:pPr>
            <w:hyperlink w:anchor="Item4ControlsandProcedures_773908">
              <w:r>
                <w:rPr>
                  <w:rStyle w:val="InternetLink"/>
                  <w:rFonts w:ascii="Times New Roman;Times;serif" w:hAnsi="Times New Roman;Times;serif"/>
                  <w:b/>
                  <w:i w:val="false"/>
                  <w:caps w:val="false"/>
                  <w:smallCaps w:val="false"/>
                  <w:sz w:val="20"/>
                </w:rPr>
                <w:t>Controls and Procedures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844" w:type="dxa"/>
            <w:gridSpan w:val="2"/>
            <w:tcBorders/>
            <w:vAlign w:val="center"/>
          </w:tcPr>
          <w:p>
            <w:pPr>
              <w:pStyle w:val="TableContents"/>
              <w:bidi w:val="0"/>
              <w:spacing w:lineRule="auto" w:line="328" w:before="0" w:after="0"/>
              <w:ind w:left="0" w:right="0" w:hanging="0"/>
              <w:jc w:val="left"/>
              <w:rPr/>
            </w:pPr>
            <w:hyperlink w:anchor="PARTIIOTHERINFORMATION_940705">
              <w:r>
                <w:rPr>
                  <w:rStyle w:val="InternetLink"/>
                  <w:rFonts w:ascii="Times New Roman;Times;serif" w:hAnsi="Times New Roman;Times;serif"/>
                  <w:b/>
                  <w:i w:val="false"/>
                  <w:caps w:val="false"/>
                  <w:smallCaps w:val="false"/>
                  <w:sz w:val="20"/>
                </w:rPr>
                <w:t>PART II - OTHER INFORMATION</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lineRule="auto" w:line="328" w:before="0" w:after="0"/>
              <w:ind w:left="0" w:right="0" w:hanging="0"/>
              <w:jc w:val="left"/>
              <w:rPr/>
            </w:pPr>
            <w:hyperlink w:anchor="Item1LegalProceedings_163018">
              <w:r>
                <w:rPr>
                  <w:rStyle w:val="InternetLink"/>
                  <w:rFonts w:ascii="Times New Roman;Times;serif" w:hAnsi="Times New Roman;Times;serif"/>
                  <w:b/>
                  <w:i w:val="false"/>
                  <w:caps w:val="false"/>
                  <w:smallCaps w:val="false"/>
                  <w:sz w:val="20"/>
                </w:rPr>
                <w:t>Item 1.</w:t>
              </w:r>
            </w:hyperlink>
          </w:p>
        </w:tc>
        <w:tc>
          <w:tcPr>
            <w:tcW w:w="9003" w:type="dxa"/>
            <w:tcBorders/>
            <w:vAlign w:val="center"/>
          </w:tcPr>
          <w:p>
            <w:pPr>
              <w:pStyle w:val="TableContents"/>
              <w:bidi w:val="0"/>
              <w:spacing w:lineRule="auto" w:line="328" w:before="0" w:after="0"/>
              <w:ind w:left="0" w:right="0" w:hanging="0"/>
              <w:jc w:val="left"/>
              <w:rPr/>
            </w:pPr>
            <w:hyperlink w:anchor="Item1LegalProceedings_163018">
              <w:r>
                <w:rPr>
                  <w:rStyle w:val="InternetLink"/>
                  <w:rFonts w:ascii="Times New Roman;Times;serif" w:hAnsi="Times New Roman;Times;serif"/>
                  <w:b/>
                  <w:i w:val="false"/>
                  <w:caps w:val="false"/>
                  <w:smallCaps w:val="false"/>
                  <w:sz w:val="20"/>
                </w:rPr>
                <w:t>Legal Proceedings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lineRule="auto" w:line="328" w:before="0" w:after="0"/>
              <w:ind w:left="0" w:right="0" w:hanging="0"/>
              <w:jc w:val="left"/>
              <w:rPr/>
            </w:pPr>
            <w:hyperlink w:anchor="Item1ARiskFactors_163682">
              <w:r>
                <w:rPr>
                  <w:rStyle w:val="InternetLink"/>
                  <w:rFonts w:ascii="Times New Roman;Times;serif" w:hAnsi="Times New Roman;Times;serif"/>
                  <w:b/>
                  <w:i w:val="false"/>
                  <w:caps w:val="false"/>
                  <w:smallCaps w:val="false"/>
                  <w:sz w:val="20"/>
                </w:rPr>
                <w:t>Item 1A.</w:t>
              </w:r>
            </w:hyperlink>
          </w:p>
        </w:tc>
        <w:tc>
          <w:tcPr>
            <w:tcW w:w="9003" w:type="dxa"/>
            <w:tcBorders/>
            <w:vAlign w:val="center"/>
          </w:tcPr>
          <w:p>
            <w:pPr>
              <w:pStyle w:val="TableContents"/>
              <w:bidi w:val="0"/>
              <w:spacing w:lineRule="auto" w:line="328" w:before="0" w:after="0"/>
              <w:ind w:left="0" w:right="0" w:hanging="0"/>
              <w:jc w:val="left"/>
              <w:rPr/>
            </w:pPr>
            <w:hyperlink w:anchor="Item1ARiskFactors_163682">
              <w:r>
                <w:rPr>
                  <w:rStyle w:val="InternetLink"/>
                  <w:rFonts w:ascii="Times New Roman;Times;serif" w:hAnsi="Times New Roman;Times;serif"/>
                  <w:b/>
                  <w:i w:val="false"/>
                  <w:caps w:val="false"/>
                  <w:smallCaps w:val="false"/>
                  <w:sz w:val="20"/>
                </w:rPr>
                <w:t>Risk Factors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9003" w:type="dxa"/>
            <w:tcBorders/>
            <w:vAlign w:val="center"/>
          </w:tcPr>
          <w:p>
            <w:pPr>
              <w:pStyle w:val="TableContents"/>
              <w:bidi w:val="0"/>
              <w:spacing w:lineRule="auto" w:line="328" w:before="0" w:after="0"/>
              <w:ind w:left="0" w:right="0" w:hanging="0"/>
              <w:jc w:val="left"/>
              <w:rPr/>
            </w:pPr>
            <w:hyperlink w:anchor="Item2UnregisteredSalesofEquitySecurities">
              <w:r>
                <w:rPr>
                  <w:rStyle w:val="InternetLink"/>
                  <w:rFonts w:ascii="Times New Roman;Times;serif" w:hAnsi="Times New Roman;Times;serif"/>
                  <w:b/>
                  <w:i w:val="false"/>
                  <w:caps w:val="false"/>
                  <w:smallCaps w:val="false"/>
                  <w:sz w:val="20"/>
                </w:rPr>
                <w:t>Unregistered Sales of Equity Securities, Use of Proceeds, and Issuer Purchases of Equity Securities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41" w:type="dxa"/>
            <w:tcBorders/>
            <w:vAlign w:val="center"/>
          </w:tcPr>
          <w:p>
            <w:pPr>
              <w:pStyle w:val="TableContents"/>
              <w:bidi w:val="0"/>
              <w:spacing w:lineRule="auto" w:line="328" w:before="0" w:after="0"/>
              <w:ind w:left="0" w:right="0" w:hanging="0"/>
              <w:jc w:val="left"/>
              <w:rPr/>
            </w:pPr>
            <w:hyperlink w:anchor="Item3DefaultsUponSeniorSecurities_689958">
              <w:r>
                <w:rPr>
                  <w:rStyle w:val="InternetLink"/>
                  <w:rFonts w:ascii="Times New Roman;Times;serif" w:hAnsi="Times New Roman;Times;serif"/>
                  <w:b/>
                  <w:i w:val="false"/>
                  <w:caps w:val="false"/>
                  <w:smallCaps w:val="false"/>
                  <w:sz w:val="20"/>
                </w:rPr>
                <w:t>Item 3.</w:t>
              </w:r>
            </w:hyperlink>
          </w:p>
        </w:tc>
        <w:tc>
          <w:tcPr>
            <w:tcW w:w="9003" w:type="dxa"/>
            <w:tcBorders/>
            <w:vAlign w:val="center"/>
          </w:tcPr>
          <w:p>
            <w:pPr>
              <w:pStyle w:val="TableContents"/>
              <w:bidi w:val="0"/>
              <w:spacing w:lineRule="auto" w:line="328" w:before="0" w:after="0"/>
              <w:ind w:left="0" w:right="0" w:hanging="0"/>
              <w:jc w:val="left"/>
              <w:rPr/>
            </w:pPr>
            <w:hyperlink w:anchor="Item3DefaultsUponSeniorSecurities_689958">
              <w:r>
                <w:rPr>
                  <w:rStyle w:val="InternetLink"/>
                  <w:rFonts w:ascii="Times New Roman;Times;serif" w:hAnsi="Times New Roman;Times;serif"/>
                  <w:b/>
                  <w:i w:val="false"/>
                  <w:caps w:val="false"/>
                  <w:smallCaps w:val="false"/>
                  <w:sz w:val="20"/>
                </w:rPr>
                <w:t>Defaults Upon Senior Securities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41" w:type="dxa"/>
            <w:tcBorders/>
            <w:vAlign w:val="center"/>
          </w:tcPr>
          <w:p>
            <w:pPr>
              <w:pStyle w:val="TableContents"/>
              <w:bidi w:val="0"/>
              <w:spacing w:lineRule="auto" w:line="328" w:before="0" w:after="0"/>
              <w:ind w:left="0" w:right="0" w:hanging="0"/>
              <w:jc w:val="left"/>
              <w:rPr/>
            </w:pPr>
            <w:hyperlink w:anchor="Item4MineSafetyDisclosures_365895">
              <w:r>
                <w:rPr>
                  <w:rStyle w:val="InternetLink"/>
                  <w:rFonts w:ascii="Times New Roman;Times;serif" w:hAnsi="Times New Roman;Times;serif"/>
                  <w:b/>
                  <w:i w:val="false"/>
                  <w:caps w:val="false"/>
                  <w:smallCaps w:val="false"/>
                  <w:sz w:val="20"/>
                </w:rPr>
                <w:t>Item 4.</w:t>
              </w:r>
            </w:hyperlink>
          </w:p>
        </w:tc>
        <w:tc>
          <w:tcPr>
            <w:tcW w:w="9003" w:type="dxa"/>
            <w:tcBorders/>
            <w:vAlign w:val="center"/>
          </w:tcPr>
          <w:p>
            <w:pPr>
              <w:pStyle w:val="TableContents"/>
              <w:bidi w:val="0"/>
              <w:spacing w:lineRule="auto" w:line="328" w:before="0" w:after="0"/>
              <w:ind w:left="0" w:right="0" w:hanging="0"/>
              <w:jc w:val="left"/>
              <w:rPr/>
            </w:pPr>
            <w:hyperlink w:anchor="Item4MineSafetyDisclosures_365895">
              <w:r>
                <w:rPr>
                  <w:rStyle w:val="InternetLink"/>
                  <w:rFonts w:ascii="Times New Roman;Times;serif" w:hAnsi="Times New Roman;Times;serif"/>
                  <w:b/>
                  <w:i w:val="false"/>
                  <w:caps w:val="false"/>
                  <w:smallCaps w:val="false"/>
                  <w:sz w:val="20"/>
                </w:rPr>
                <w:t>Mine Safety Disclosures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41" w:type="dxa"/>
            <w:tcBorders/>
            <w:vAlign w:val="center"/>
          </w:tcPr>
          <w:p>
            <w:pPr>
              <w:pStyle w:val="TableContents"/>
              <w:bidi w:val="0"/>
              <w:spacing w:lineRule="auto" w:line="328" w:before="0" w:after="0"/>
              <w:ind w:left="0" w:right="0" w:hanging="0"/>
              <w:jc w:val="left"/>
              <w:rPr/>
            </w:pPr>
            <w:hyperlink w:anchor="Item5OtherInformation_535580">
              <w:r>
                <w:rPr>
                  <w:rStyle w:val="InternetLink"/>
                  <w:rFonts w:ascii="Times New Roman;Times;serif" w:hAnsi="Times New Roman;Times;serif"/>
                  <w:b/>
                  <w:i w:val="false"/>
                  <w:caps w:val="false"/>
                  <w:smallCaps w:val="false"/>
                  <w:sz w:val="20"/>
                </w:rPr>
                <w:t>Item 5.</w:t>
              </w:r>
            </w:hyperlink>
          </w:p>
        </w:tc>
        <w:tc>
          <w:tcPr>
            <w:tcW w:w="9003" w:type="dxa"/>
            <w:tcBorders/>
            <w:vAlign w:val="center"/>
          </w:tcPr>
          <w:p>
            <w:pPr>
              <w:pStyle w:val="TableContents"/>
              <w:bidi w:val="0"/>
              <w:spacing w:lineRule="auto" w:line="328" w:before="0" w:after="0"/>
              <w:ind w:left="0" w:right="0" w:hanging="0"/>
              <w:jc w:val="left"/>
              <w:rPr/>
            </w:pPr>
            <w:hyperlink w:anchor="Item5OtherInformation_535580">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41" w:type="dxa"/>
            <w:tcBorders/>
            <w:vAlign w:val="center"/>
          </w:tcPr>
          <w:p>
            <w:pPr>
              <w:pStyle w:val="TableContents"/>
              <w:bidi w:val="0"/>
              <w:spacing w:lineRule="auto" w:line="328" w:before="0" w:after="0"/>
              <w:ind w:left="0" w:right="0" w:hanging="0"/>
              <w:jc w:val="left"/>
              <w:rPr/>
            </w:pPr>
            <w:hyperlink w:anchor="Item6Exhibits_453635">
              <w:r>
                <w:rPr>
                  <w:rStyle w:val="InternetLink"/>
                  <w:rFonts w:ascii="Times New Roman;Times;serif" w:hAnsi="Times New Roman;Times;serif"/>
                  <w:b/>
                  <w:i w:val="false"/>
                  <w:caps w:val="false"/>
                  <w:smallCaps w:val="false"/>
                  <w:sz w:val="20"/>
                </w:rPr>
                <w:t>Item 6.</w:t>
              </w:r>
            </w:hyperlink>
          </w:p>
        </w:tc>
        <w:tc>
          <w:tcPr>
            <w:tcW w:w="9003" w:type="dxa"/>
            <w:tcBorders/>
            <w:vAlign w:val="center"/>
          </w:tcPr>
          <w:p>
            <w:pPr>
              <w:pStyle w:val="TableContents"/>
              <w:bidi w:val="0"/>
              <w:spacing w:lineRule="auto" w:line="328" w:before="0" w:after="0"/>
              <w:ind w:left="0" w:right="0" w:hanging="0"/>
              <w:jc w:val="left"/>
              <w:rPr/>
            </w:pPr>
            <w:hyperlink w:anchor="Item6Exhibits_453635">
              <w:r>
                <w:rPr>
                  <w:rStyle w:val="InternetLink"/>
                  <w:rFonts w:ascii="Times New Roman;Times;serif" w:hAnsi="Times New Roman;Times;serif"/>
                  <w:b/>
                  <w:i w:val="false"/>
                  <w:caps w:val="false"/>
                  <w:smallCaps w:val="false"/>
                  <w:sz w:val="20"/>
                </w:rPr>
                <w:t>Exhibits</w:t>
              </w:r>
            </w:hyperlink>
          </w:p>
        </w:tc>
        <w:tc>
          <w:tcPr>
            <w:tcW w:w="3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 w:name="PART1FINANCIALINFORMATION_304973"/>
      <w:bookmarkStart w:id="20" w:name="_9c3906a8_18fd_4b81_a485_50e86b683b8f"/>
      <w:bookmarkEnd w:id="19"/>
      <w:bookmarkEnd w:id="20"/>
      <w:r>
        <w:rPr>
          <w:rFonts w:ascii="Times New Roman;Times;serif" w:hAnsi="Times New Roman;Times;serif"/>
          <w:b/>
          <w:sz w:val="20"/>
        </w:rPr>
        <w:t>PART 1—FINANCIAL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1" w:name="Item1FinancialStatements_869987"/>
      <w:bookmarkEnd w:id="21"/>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22" w:name="ConsolidatedStatementsofOperations_8900"/>
      <w:bookmarkEnd w:id="2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 w:name="Tc_exvbUJHfyU6rWNzrCMPs1w_32_0"/>
      <w:bookmarkStart w:id="24" w:name="Tc_NKFZOR2sY0C5w9VIj55wQw_31_0"/>
      <w:bookmarkStart w:id="25" w:name="Tc_qZOMcq6m7UuEjJQPRkMpng_30_0"/>
      <w:bookmarkStart w:id="26" w:name="Tc_GyqYQj43wkmmEFBBQHPGeg_29_11"/>
      <w:bookmarkStart w:id="27" w:name="Tc_l-PI4S0NgUKbtM36aguhsQ_29_8"/>
      <w:bookmarkStart w:id="28" w:name="Tc_mh0odrtNTkOkuUGuDpZUXQ_29_5"/>
      <w:bookmarkStart w:id="29" w:name="Tc_EBqwwb5_KUK1lb38byhzZA_29_2"/>
      <w:bookmarkStart w:id="30" w:name="Tc_vq51GZwNUk6bWT-QMAzIWw_29_0"/>
      <w:bookmarkStart w:id="31" w:name="Tc_FjeYBJZFmEiyEAMZH82myQ_28_11"/>
      <w:bookmarkStart w:id="32" w:name="Tc_098bycoXmkSXrx8x9LDBDw_28_8"/>
      <w:bookmarkStart w:id="33" w:name="Tc_M0nLwWrTbEqssFSdxRI-xg_28_5"/>
      <w:bookmarkStart w:id="34" w:name="Tc_Q3NaIPpfv0eg8MVGoTVr8Q_28_2"/>
      <w:bookmarkStart w:id="35" w:name="Tc_TdWsMbbex0qK9aEGjK9LOw_28_0"/>
      <w:bookmarkStart w:id="36" w:name="Tc_-cT31u26h0K24FXy0c2_zA_27_0"/>
      <w:bookmarkStart w:id="37" w:name="Tc_3obG1INbUEO8SZkfCw5xIw_26_11"/>
      <w:bookmarkStart w:id="38" w:name="Tc_mTYknP39_UWSA04NVZL0Lw_26_8"/>
      <w:bookmarkStart w:id="39" w:name="Tc_Bl1WU1dhb0eU2JqNz54VIA_26_5"/>
      <w:bookmarkStart w:id="40" w:name="Tc_-VI7poDm_E2A3-b8QdyP7A_26_2"/>
      <w:bookmarkStart w:id="41" w:name="Tc_zQ-hcWOp80KRV_bxjDMsxw_26_0"/>
      <w:bookmarkStart w:id="42" w:name="Tc_EjmIyiqqoEirbCzGWLdGQw_25_0"/>
      <w:bookmarkStart w:id="43" w:name="Tc_3e0qqE3pUk27EzZ-f3AP8Q_24_0"/>
      <w:bookmarkStart w:id="44" w:name="Tc_Td_hBSuyTUOLh2b7x2O1eQ_23_0"/>
      <w:bookmarkStart w:id="45" w:name="Tc_xg8WJSdj9UazocBJLrrVWA_22_0"/>
      <w:bookmarkStart w:id="46" w:name="Tc_4SSTlnsxUUqXYu5a0I7QLQ_21_0"/>
      <w:bookmarkStart w:id="47" w:name="Tc_9CSO71Ad90KMSOKvqxn8AQ_20_0"/>
      <w:bookmarkStart w:id="48" w:name="Tc_cA6HZGR5Qky5gVs1xzCrkA_19_0"/>
      <w:bookmarkStart w:id="49" w:name="Tc_QT0qnyZwEkCLAC6wwB6zSw_18_0"/>
      <w:bookmarkStart w:id="50" w:name="Tc_uGCwvDyx00mN1dbTw5fUjA_17_0"/>
      <w:bookmarkStart w:id="51" w:name="Tc_9x0EDhP-1ky8lUh_msE2FQ_16_0"/>
      <w:bookmarkStart w:id="52" w:name="Tc_0wH7YWZjKEuXgfNVYzkYRw_15_0"/>
      <w:bookmarkStart w:id="53" w:name="Tc_bbiWBSWWVE61BaYZvDsNBg_14_0"/>
      <w:bookmarkStart w:id="54" w:name="Tc_w6x4J9lJ5Uqu2zwdtmA64g_13_0"/>
      <w:bookmarkStart w:id="55" w:name="Tc_axyFvcp_a0ytciL6crg9-g_12_0"/>
      <w:bookmarkStart w:id="56" w:name="Tc_dMhLc34yvEaMBVqwMMYd-g_11_0"/>
      <w:bookmarkStart w:id="57" w:name="Tc_CDvfSio8v0OSCvzKDX8d7w_10_0"/>
      <w:bookmarkStart w:id="58" w:name="Tc_AMHHPx1RxE-wRMOEJg3ZAw_9_0"/>
      <w:bookmarkStart w:id="59" w:name="Tc_gF8CTlV9rUKaojS2TSHVUQ_8_0"/>
      <w:bookmarkStart w:id="60" w:name="Tc_9Ule05Q930OGBvK8vCFiRg_7_0"/>
      <w:bookmarkStart w:id="61" w:name="Tc_34DSDTJp3UqoFrJxIAuYgw_6_0"/>
      <w:bookmarkStart w:id="62" w:name="Tc_Cjr2QqY3HkWWOPA6Z42C_g_5_11"/>
      <w:bookmarkStart w:id="63" w:name="Tc_24b6ZJPsMEy8SRJQpSpDHQ_5_8"/>
      <w:bookmarkStart w:id="64" w:name="Tc_iXauVLhUYkKDP2R-4kdehA_5_5"/>
      <w:bookmarkStart w:id="65" w:name="Tc_xZtUF5u7iEeKsD2sHpd3Ig_5_2"/>
      <w:bookmarkStart w:id="66" w:name="Tc_Pwj07U2NokWm1g1US-s1TQ_5_0"/>
      <w:bookmarkStart w:id="67" w:name="Tc_6d_F6FGAjU6JVMcnhwwjOw_4_0"/>
      <w:bookmarkStart w:id="68" w:name="Tc_PgNUGnld2ke8GU6dv2s56Q_3_11"/>
      <w:bookmarkStart w:id="69" w:name="Tc_ZjeqSqxCDkOq8jFRtMfRKQ_3_8"/>
      <w:bookmarkStart w:id="70" w:name="Tc_6X4tEueMZE6EY17ob2UwHw_3_5"/>
      <w:bookmarkStart w:id="71" w:name="Tc_IfpxJ3YkO0maBe77vdK9Nw_3_2"/>
      <w:bookmarkStart w:id="72" w:name="Tc_75pUzJjAMESD62zgpBgnBQ_2_8"/>
      <w:bookmarkStart w:id="73" w:name="Tc_uVH0AWxQM0-XU3IcDR9NJg_2_3"/>
      <w:bookmarkStart w:id="74" w:name="Tc_QgSPVNdow0iYe_qH2krfiw_1_8"/>
      <w:bookmarkStart w:id="75" w:name="Tc_SEaynvXx30qZT_zmCeayHA_1_2"/>
      <w:bookmarkStart w:id="76" w:name="_daf8d9f8_d863_4aea_b03a_c87de65a0f1b"/>
      <w:bookmarkStart w:id="77" w:name="Tc_exvbUJHfyU6rWNzrCMPs1w_32_0"/>
      <w:bookmarkStart w:id="78" w:name="Tc_NKFZOR2sY0C5w9VIj55wQw_31_0"/>
      <w:bookmarkStart w:id="79" w:name="Tc_qZOMcq6m7UuEjJQPRkMpng_30_0"/>
      <w:bookmarkStart w:id="80" w:name="Tc_GyqYQj43wkmmEFBBQHPGeg_29_11"/>
      <w:bookmarkStart w:id="81" w:name="Tc_l-PI4S0NgUKbtM36aguhsQ_29_8"/>
      <w:bookmarkStart w:id="82" w:name="Tc_mh0odrtNTkOkuUGuDpZUXQ_29_5"/>
      <w:bookmarkStart w:id="83" w:name="Tc_EBqwwb5_KUK1lb38byhzZA_29_2"/>
      <w:bookmarkStart w:id="84" w:name="Tc_vq51GZwNUk6bWT-QMAzIWw_29_0"/>
      <w:bookmarkStart w:id="85" w:name="Tc_FjeYBJZFmEiyEAMZH82myQ_28_11"/>
      <w:bookmarkStart w:id="86" w:name="Tc_098bycoXmkSXrx8x9LDBDw_28_8"/>
      <w:bookmarkStart w:id="87" w:name="Tc_M0nLwWrTbEqssFSdxRI-xg_28_5"/>
      <w:bookmarkStart w:id="88" w:name="Tc_Q3NaIPpfv0eg8MVGoTVr8Q_28_2"/>
      <w:bookmarkStart w:id="89" w:name="Tc_TdWsMbbex0qK9aEGjK9LOw_28_0"/>
      <w:bookmarkStart w:id="90" w:name="Tc_-cT31u26h0K24FXy0c2_zA_27_0"/>
      <w:bookmarkStart w:id="91" w:name="Tc_3obG1INbUEO8SZkfCw5xIw_26_11"/>
      <w:bookmarkStart w:id="92" w:name="Tc_mTYknP39_UWSA04NVZL0Lw_26_8"/>
      <w:bookmarkStart w:id="93" w:name="Tc_Bl1WU1dhb0eU2JqNz54VIA_26_5"/>
      <w:bookmarkStart w:id="94" w:name="Tc_-VI7poDm_E2A3-b8QdyP7A_26_2"/>
      <w:bookmarkStart w:id="95" w:name="Tc_zQ-hcWOp80KRV_bxjDMsxw_26_0"/>
      <w:bookmarkStart w:id="96" w:name="Tc_EjmIyiqqoEirbCzGWLdGQw_25_0"/>
      <w:bookmarkStart w:id="97" w:name="Tc_3e0qqE3pUk27EzZ-f3AP8Q_24_0"/>
      <w:bookmarkStart w:id="98" w:name="Tc_Td_hBSuyTUOLh2b7x2O1eQ_23_0"/>
      <w:bookmarkStart w:id="99" w:name="Tc_xg8WJSdj9UazocBJLrrVWA_22_0"/>
      <w:bookmarkStart w:id="100" w:name="Tc_4SSTlnsxUUqXYu5a0I7QLQ_21_0"/>
      <w:bookmarkStart w:id="101" w:name="Tc_9CSO71Ad90KMSOKvqxn8AQ_20_0"/>
      <w:bookmarkStart w:id="102" w:name="Tc_cA6HZGR5Qky5gVs1xzCrkA_19_0"/>
      <w:bookmarkStart w:id="103" w:name="Tc_QT0qnyZwEkCLAC6wwB6zSw_18_0"/>
      <w:bookmarkStart w:id="104" w:name="Tc_uGCwvDyx00mN1dbTw5fUjA_17_0"/>
      <w:bookmarkStart w:id="105" w:name="Tc_9x0EDhP-1ky8lUh_msE2FQ_16_0"/>
      <w:bookmarkStart w:id="106" w:name="Tc_0wH7YWZjKEuXgfNVYzkYRw_15_0"/>
      <w:bookmarkStart w:id="107" w:name="Tc_bbiWBSWWVE61BaYZvDsNBg_14_0"/>
      <w:bookmarkStart w:id="108" w:name="Tc_w6x4J9lJ5Uqu2zwdtmA64g_13_0"/>
      <w:bookmarkStart w:id="109" w:name="Tc_axyFvcp_a0ytciL6crg9-g_12_0"/>
      <w:bookmarkStart w:id="110" w:name="Tc_dMhLc34yvEaMBVqwMMYd-g_11_0"/>
      <w:bookmarkStart w:id="111" w:name="Tc_CDvfSio8v0OSCvzKDX8d7w_10_0"/>
      <w:bookmarkStart w:id="112" w:name="Tc_AMHHPx1RxE-wRMOEJg3ZAw_9_0"/>
      <w:bookmarkStart w:id="113" w:name="Tc_gF8CTlV9rUKaojS2TSHVUQ_8_0"/>
      <w:bookmarkStart w:id="114" w:name="Tc_9Ule05Q930OGBvK8vCFiRg_7_0"/>
      <w:bookmarkStart w:id="115" w:name="Tc_34DSDTJp3UqoFrJxIAuYgw_6_0"/>
      <w:bookmarkStart w:id="116" w:name="Tc_Cjr2QqY3HkWWOPA6Z42C_g_5_11"/>
      <w:bookmarkStart w:id="117" w:name="Tc_24b6ZJPsMEy8SRJQpSpDHQ_5_8"/>
      <w:bookmarkStart w:id="118" w:name="Tc_iXauVLhUYkKDP2R-4kdehA_5_5"/>
      <w:bookmarkStart w:id="119" w:name="Tc_xZtUF5u7iEeKsD2sHpd3Ig_5_2"/>
      <w:bookmarkStart w:id="120" w:name="Tc_Pwj07U2NokWm1g1US-s1TQ_5_0"/>
      <w:bookmarkStart w:id="121" w:name="Tc_6d_F6FGAjU6JVMcnhwwjOw_4_0"/>
      <w:bookmarkStart w:id="122" w:name="Tc_PgNUGnld2ke8GU6dv2s56Q_3_11"/>
      <w:bookmarkStart w:id="123" w:name="Tc_ZjeqSqxCDkOq8jFRtMfRKQ_3_8"/>
      <w:bookmarkStart w:id="124" w:name="Tc_6X4tEueMZE6EY17ob2UwHw_3_5"/>
      <w:bookmarkStart w:id="125" w:name="Tc_IfpxJ3YkO0maBe77vdK9Nw_3_2"/>
      <w:bookmarkStart w:id="126" w:name="Tc_75pUzJjAMESD62zgpBgnBQ_2_8"/>
      <w:bookmarkStart w:id="127" w:name="Tc_uVH0AWxQM0-XU3IcDR9NJg_2_3"/>
      <w:bookmarkStart w:id="128" w:name="Tc_QgSPVNdow0iYe_qH2krfiw_1_8"/>
      <w:bookmarkStart w:id="129" w:name="Tc_SEaynvXx30qZT_zmCeayHA_1_2"/>
      <w:bookmarkStart w:id="130" w:name="_daf8d9f8_d863_4aea_b03a_c87de65a0f1b"/>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tbl>
      <w:tblPr>
        <w:tblW w:w="9929" w:type="dxa"/>
        <w:jc w:val="left"/>
        <w:tblInd w:w="0" w:type="dxa"/>
        <w:tblLayout w:type="fixed"/>
        <w:tblCellMar>
          <w:top w:w="0" w:type="dxa"/>
          <w:left w:w="0" w:type="dxa"/>
          <w:bottom w:w="0" w:type="dxa"/>
          <w:right w:w="0" w:type="dxa"/>
        </w:tblCellMar>
      </w:tblPr>
      <w:tblGrid>
        <w:gridCol w:w="4186"/>
        <w:gridCol w:w="346"/>
        <w:gridCol w:w="211"/>
        <w:gridCol w:w="781"/>
        <w:gridCol w:w="346"/>
        <w:gridCol w:w="211"/>
        <w:gridCol w:w="781"/>
        <w:gridCol w:w="346"/>
        <w:gridCol w:w="211"/>
        <w:gridCol w:w="781"/>
        <w:gridCol w:w="346"/>
        <w:gridCol w:w="211"/>
        <w:gridCol w:w="781"/>
        <w:gridCol w:w="39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658110" cy="175260"/>
                      <wp:effectExtent l="0" t="0" r="0" b="0"/>
                      <wp:wrapNone/>
                      <wp:docPr id="2" name="Frame2"/>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48285" cy="175260"/>
                      <wp:effectExtent l="0" t="0" r="0" b="0"/>
                      <wp:wrapNone/>
                      <wp:docPr id="15" name="Frame1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91" w:type="dxa"/>
            <w:tcBorders/>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388,497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366,226</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414,131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387,107</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189,962</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210,996</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176,111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30,127</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117,987</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(2,722)</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9,957</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68,081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8,126</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32,051</w:t>
            </w:r>
          </w:p>
        </w:tc>
        <w:tc>
          <w:tcPr>
            <w:tcW w:w="3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shares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32,103</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31" w:name="_c4f2b3e0_1a70_4cd6_b655_a969d6081454"/>
      <w:bookmarkEnd w:id="131"/>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32" w:name="ConsolidatedStatementsofComprehensiveInc"/>
      <w:bookmarkEnd w:id="132"/>
      <w:r>
        <w:rPr>
          <w:rFonts w:ascii="Times New Roman;Times;serif" w:hAnsi="Times New Roman;Times;serif"/>
          <w:b/>
          <w:sz w:val="20"/>
        </w:rPr>
        <w:t xml:space="preserve">Consolidated Statements of Comprehensive Income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3" w:name="Tc_7GDMI14FpkWcfMWssfMy1Q_10_11"/>
      <w:bookmarkStart w:id="134" w:name="Tc_2WRb93U770eWdsCKZZ4sMg_10_8"/>
      <w:bookmarkStart w:id="135" w:name="Tc_rx-Un9xI1EKH8f50Hd8qng_10_5"/>
      <w:bookmarkStart w:id="136" w:name="Tc_FmYOBUcxCkKygQa84bj1sA_10_2"/>
      <w:bookmarkStart w:id="137" w:name="Tc_hUmx7q7Bb06kUWw4FOlvug_10_0"/>
      <w:bookmarkStart w:id="138" w:name="Tc_f3agjVflKE6d7aDrkYHXfQ_9_0"/>
      <w:bookmarkStart w:id="139" w:name="Tc_EfM9_6MeGUedTq77Monl7g_8_0"/>
      <w:bookmarkStart w:id="140" w:name="Tc_WBR4bBndoUSObM8NyH5svQ_7_12"/>
      <w:bookmarkStart w:id="141" w:name="Tc_yzS8D8SYSEqUHOrMhQIxEQ_7_6"/>
      <w:bookmarkStart w:id="142" w:name="Tc_QEEfI6UCMkW7Ew4LdR2qGw_7_3"/>
      <w:bookmarkStart w:id="143" w:name="Tc_jtMHNbVeC0ORCn1Cd2QLhg_7_0"/>
      <w:bookmarkStart w:id="144" w:name="Tc__YjCxlzL30G2BqQq5XiDAA_6_0"/>
      <w:bookmarkStart w:id="145" w:name="Tc_iEnFPJplEkmdXLXWqZw0mQ_5_0"/>
      <w:bookmarkStart w:id="146" w:name="Tc_tPzi3a3AmEeS-lV9x06mpA_4_11"/>
      <w:bookmarkStart w:id="147" w:name="Tc_uTZ7CA8LSUCyBy0M59zZgg_4_8"/>
      <w:bookmarkStart w:id="148" w:name="Tc_IxK6LbWdyUKp68Pext_UkQ_4_5"/>
      <w:bookmarkStart w:id="149" w:name="Tc_gArRssNGqUCDsAchqC1DRQ_4_2"/>
      <w:bookmarkStart w:id="150" w:name="Tc_7Nlyi6v3F0uEXzC1cJmVzQ_4_0"/>
      <w:bookmarkStart w:id="151" w:name="Tc_vPmzRy4ewUmZRb6pdgIjcw_3_11"/>
      <w:bookmarkStart w:id="152" w:name="Tc_FK0Mg9upFEutXTdo1HbYFQ_3_8"/>
      <w:bookmarkStart w:id="153" w:name="Tc_eFOKlRjqEEOwaUw1OYEk6w_3_5"/>
      <w:bookmarkStart w:id="154" w:name="Tc_-29uRwwGh0-tZotiVHhusA_3_2"/>
      <w:bookmarkStart w:id="155" w:name="Tc_m2DrjQTtWkuh4SI-wsKRKg_2_8"/>
      <w:bookmarkStart w:id="156" w:name="Tc_Q38tqWoBYk2qcv2jxxpURg_2_2"/>
      <w:bookmarkStart w:id="157" w:name="Tc_k7_Nah-KC02rPAeqZFxC-A_1_8"/>
      <w:bookmarkStart w:id="158" w:name="Tc_zkciK8Jq_kG9VDDJDUB1-Q_1_2"/>
      <w:bookmarkStart w:id="159" w:name="_58c763bb_79e9_4cec_9333_ec0753e72401"/>
      <w:bookmarkStart w:id="160" w:name="Tc_7GDMI14FpkWcfMWssfMy1Q_10_11"/>
      <w:bookmarkStart w:id="161" w:name="Tc_2WRb93U770eWdsCKZZ4sMg_10_8"/>
      <w:bookmarkStart w:id="162" w:name="Tc_rx-Un9xI1EKH8f50Hd8qng_10_5"/>
      <w:bookmarkStart w:id="163" w:name="Tc_FmYOBUcxCkKygQa84bj1sA_10_2"/>
      <w:bookmarkStart w:id="164" w:name="Tc_hUmx7q7Bb06kUWw4FOlvug_10_0"/>
      <w:bookmarkStart w:id="165" w:name="Tc_f3agjVflKE6d7aDrkYHXfQ_9_0"/>
      <w:bookmarkStart w:id="166" w:name="Tc_EfM9_6MeGUedTq77Monl7g_8_0"/>
      <w:bookmarkStart w:id="167" w:name="Tc_WBR4bBndoUSObM8NyH5svQ_7_12"/>
      <w:bookmarkStart w:id="168" w:name="Tc_yzS8D8SYSEqUHOrMhQIxEQ_7_6"/>
      <w:bookmarkStart w:id="169" w:name="Tc_QEEfI6UCMkW7Ew4LdR2qGw_7_3"/>
      <w:bookmarkStart w:id="170" w:name="Tc_jtMHNbVeC0ORCn1Cd2QLhg_7_0"/>
      <w:bookmarkStart w:id="171" w:name="Tc__YjCxlzL30G2BqQq5XiDAA_6_0"/>
      <w:bookmarkStart w:id="172" w:name="Tc_iEnFPJplEkmdXLXWqZw0mQ_5_0"/>
      <w:bookmarkStart w:id="173" w:name="Tc_tPzi3a3AmEeS-lV9x06mpA_4_11"/>
      <w:bookmarkStart w:id="174" w:name="Tc_uTZ7CA8LSUCyBy0M59zZgg_4_8"/>
      <w:bookmarkStart w:id="175" w:name="Tc_IxK6LbWdyUKp68Pext_UkQ_4_5"/>
      <w:bookmarkStart w:id="176" w:name="Tc_gArRssNGqUCDsAchqC1DRQ_4_2"/>
      <w:bookmarkStart w:id="177" w:name="Tc_7Nlyi6v3F0uEXzC1cJmVzQ_4_0"/>
      <w:bookmarkStart w:id="178" w:name="Tc_vPmzRy4ewUmZRb6pdgIjcw_3_11"/>
      <w:bookmarkStart w:id="179" w:name="Tc_FK0Mg9upFEutXTdo1HbYFQ_3_8"/>
      <w:bookmarkStart w:id="180" w:name="Tc_eFOKlRjqEEOwaUw1OYEk6w_3_5"/>
      <w:bookmarkStart w:id="181" w:name="Tc_-29uRwwGh0-tZotiVHhusA_3_2"/>
      <w:bookmarkStart w:id="182" w:name="Tc_m2DrjQTtWkuh4SI-wsKRKg_2_8"/>
      <w:bookmarkStart w:id="183" w:name="Tc_Q38tqWoBYk2qcv2jxxpURg_2_2"/>
      <w:bookmarkStart w:id="184" w:name="Tc_k7_Nah-KC02rPAeqZFxC-A_1_8"/>
      <w:bookmarkStart w:id="185" w:name="Tc_zkciK8Jq_kG9VDDJDUB1-Q_1_2"/>
      <w:bookmarkStart w:id="186" w:name="_58c763bb_79e9_4cec_9333_ec0753e72401"/>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W w:w="10205" w:type="dxa"/>
        <w:jc w:val="left"/>
        <w:tblInd w:w="0" w:type="dxa"/>
        <w:tblLayout w:type="fixed"/>
        <w:tblCellMar>
          <w:top w:w="0" w:type="dxa"/>
          <w:left w:w="0" w:type="dxa"/>
          <w:bottom w:w="0" w:type="dxa"/>
          <w:right w:w="0" w:type="dxa"/>
        </w:tblCellMar>
      </w:tblPr>
      <w:tblGrid>
        <w:gridCol w:w="4860"/>
        <w:gridCol w:w="346"/>
        <w:gridCol w:w="211"/>
        <w:gridCol w:w="686"/>
        <w:gridCol w:w="346"/>
        <w:gridCol w:w="211"/>
        <w:gridCol w:w="676"/>
        <w:gridCol w:w="346"/>
        <w:gridCol w:w="211"/>
        <w:gridCol w:w="686"/>
        <w:gridCol w:w="346"/>
        <w:gridCol w:w="211"/>
        <w:gridCol w:w="676"/>
        <w:gridCol w:w="393"/>
      </w:tblGrid>
      <w:tr>
        <w:trPr/>
        <w:tc>
          <w:tcPr>
            <w:tcW w:w="4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086100" cy="175260"/>
                      <wp:effectExtent l="0" t="0" r="0" b="0"/>
                      <wp:wrapNone/>
                      <wp:docPr id="16" name="Frame16"/>
                      <a:graphic xmlns:a="http://schemas.openxmlformats.org/drawingml/2006/main">
                        <a:graphicData uri="http://schemas.microsoft.com/office/word/2010/wordprocessingShape">
                          <wps:wsp>
                            <wps:cNvSpPr txBox="1"/>
                            <wps:spPr>
                              <a:xfrm>
                                <a:off x="0" y="0"/>
                                <a:ext cx="308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35610" cy="175260"/>
                      <wp:effectExtent l="0" t="0" r="0" b="0"/>
                      <wp:wrapNone/>
                      <wp:docPr id="19" name="Frame1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5610" cy="175260"/>
                      <wp:effectExtent l="0" t="0" r="0" b="0"/>
                      <wp:wrapNone/>
                      <wp:docPr id="25" name="Frame2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8" name="Frame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9555" cy="175260"/>
                      <wp:effectExtent l="0" t="0" r="0" b="0"/>
                      <wp:wrapNone/>
                      <wp:docPr id="29" name="Frame2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3" w:type="dxa"/>
            <w:tcBorders/>
            <w:vAlign w:val="center"/>
          </w:tcPr>
          <w:p>
            <w:pPr>
              <w:pStyle w:val="TableContents"/>
              <w:bidi w:val="0"/>
              <w:spacing w:before="0" w:after="0"/>
              <w:ind w:left="0" w:right="0" w:hanging="0"/>
              <w:jc w:val="center"/>
              <w:rPr/>
            </w:pPr>
            <w:r>
              <w:rPr/>
              <w:t>​</w:t>
            </w:r>
          </w:p>
        </w:tc>
      </w:tr>
      <w:tr>
        <w:trPr/>
        <w:tc>
          <w:tcPr>
            <w:tcW w:w="48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93" w:type="dxa"/>
            <w:tcBorders/>
            <w:vAlign w:val="center"/>
          </w:tcPr>
          <w:p>
            <w:pPr>
              <w:pStyle w:val="TableContents"/>
              <w:bidi w:val="0"/>
              <w:spacing w:before="0" w:after="0"/>
              <w:ind w:left="0" w:right="0" w:hanging="0"/>
              <w:jc w:val="center"/>
              <w:rPr/>
            </w:pPr>
            <w:r>
              <w:rPr/>
              <w:t>​</w:t>
            </w:r>
          </w:p>
        </w:tc>
      </w:tr>
      <w:tr>
        <w:trPr/>
        <w:tc>
          <w:tcPr>
            <w:tcW w:w="48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0"/>
              <w:ind w:left="0" w:right="0" w:hanging="0"/>
              <w:jc w:val="center"/>
              <w:rPr/>
            </w:pPr>
            <w:r>
              <w:rPr/>
              <w:t>  ​ ​ ​</w:t>
            </w:r>
          </w:p>
        </w:tc>
      </w:tr>
      <w:tr>
        <w:trPr/>
        <w:tc>
          <w:tcPr>
            <w:tcW w:w="4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59,955</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4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4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4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actuarial net gain and other adjustments from pension plan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4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(losses) gains on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4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c>
          <w:tcPr>
            <w:tcW w:w="393" w:type="dxa"/>
            <w:tcBorders/>
            <w:vAlign w:val="center"/>
          </w:tcPr>
          <w:p>
            <w:pPr>
              <w:pStyle w:val="TableContents"/>
              <w:bidi w:val="0"/>
              <w:spacing w:before="0" w:after="0"/>
              <w:ind w:left="0" w:right="0" w:hanging="0"/>
              <w:jc w:val="left"/>
              <w:rPr/>
            </w:pPr>
            <w:r>
              <w:rPr/>
              <w:t>​</w:t>
            </w:r>
          </w:p>
        </w:tc>
      </w:tr>
      <w:tr>
        <w:trPr/>
        <w:tc>
          <w:tcPr>
            <w:tcW w:w="48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65,690</w:t>
            </w:r>
          </w:p>
        </w:tc>
        <w:tc>
          <w:tcPr>
            <w:tcW w:w="3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87" w:name="_27022897_27ef_4f77_8c9f_71e939d5d072"/>
      <w:bookmarkEnd w:id="187"/>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88" w:name="ConsolidatedBalanceSheets_859153"/>
      <w:bookmarkEnd w:id="18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89" w:name="Tc_YelZhAs4cEavnaFjc_bVaQ_41_5"/>
      <w:bookmarkStart w:id="190" w:name="Tc_obhW2pfv6k62yCtnrjl5Qg_41_2"/>
      <w:bookmarkStart w:id="191" w:name="Tc_0QvGFvfR50KRs1G3DyPCUA_41_0"/>
      <w:bookmarkStart w:id="192" w:name="Tc_uOxhBcdWmkqgWWDtulKspA_40_0"/>
      <w:bookmarkStart w:id="193" w:name="Tc_e6ZVAVWptkmtAeH0VAcrbw_39_0"/>
      <w:bookmarkStart w:id="194" w:name="Tc_uPRndrMVNE6-t87IT5ey5Q_38_0"/>
      <w:bookmarkStart w:id="195" w:name="Tc_7N8JVmtArUK7XZUxHezoGQ_37_0"/>
      <w:bookmarkStart w:id="196" w:name="Tc_4N9aoTjmzUuuMEvxdRjJag_36_0"/>
      <w:bookmarkStart w:id="197" w:name="Tc_REVO3MqLtkGcVDsWZcZKSg_35_0"/>
      <w:bookmarkStart w:id="198" w:name="Tc_HEInNnSMFEuxQ40bxQ6ZcQ_34_0"/>
      <w:bookmarkStart w:id="199" w:name="Tc_p-7aNZE8z0iDKCFnk1p0KQ_33_0"/>
      <w:bookmarkStart w:id="200" w:name="Tc_Mi1NzSm6jEScCACiGtq4xg_32_0"/>
      <w:bookmarkStart w:id="201" w:name="Tc_fqfhvqAddka37ciWEMepEg_31_0"/>
      <w:bookmarkStart w:id="202" w:name="Tc_y5NPfKUJHkaEjIOLev14xA_30_0"/>
      <w:bookmarkStart w:id="203" w:name="Tc_Ko66r1-lDk6biGR3er8oGg_29_0"/>
      <w:bookmarkStart w:id="204" w:name="Tc_xiP_3pWFZU6ijDsVd_kOaA_28_0"/>
      <w:bookmarkStart w:id="205" w:name="Tc_bULqnC5hrEyrSj-7SjDt9A_27_0"/>
      <w:bookmarkStart w:id="206" w:name="Tc_VWd4Y0ZBiUeXVk5kfGtwvw_26_0"/>
      <w:bookmarkStart w:id="207" w:name="Tc_yqnKxeTdpk6atKtUW2UcEA_25_0"/>
      <w:bookmarkStart w:id="208" w:name="Tc_mgN-IXNEJUC4D0J7ETZblA_24_0"/>
      <w:bookmarkStart w:id="209" w:name="Tc_PtrjTYbIn0OE_SPNe-Gfxg_23_0"/>
      <w:bookmarkStart w:id="210" w:name="Tc_dsQN1d_3PUu0fdY6mxqcGA_22_5"/>
      <w:bookmarkStart w:id="211" w:name="Tc_2mMf6eR1M0SpeCu0b9BleA_22_2"/>
      <w:bookmarkStart w:id="212" w:name="Tc_U2u7_OWigkq3vwFcr0kHKQ_22_0"/>
      <w:bookmarkStart w:id="213" w:name="Tc_FNfX-Zl4LEeQ8oD4v8CfeA_21_0"/>
      <w:bookmarkStart w:id="214" w:name="Tc_8gCyLmWM2U6_WifYRco9EA_20_0"/>
      <w:bookmarkStart w:id="215" w:name="Tc_plXVOXAksUewa7v8PIx3ew_19_5"/>
      <w:bookmarkStart w:id="216" w:name="Tc_hxIY8vui4UCqdfzmR8MCnA_19_2"/>
      <w:bookmarkStart w:id="217" w:name="Tc_5Pr9UA8qGkuF69TGvxbnDw_19_0"/>
      <w:bookmarkStart w:id="218" w:name="Tc_HcMygffiH0qndGeBONWedQ_18_0"/>
      <w:bookmarkStart w:id="219" w:name="Tc_YSMW7_o5JkWlS86Ao9UQaA_17_0"/>
      <w:bookmarkStart w:id="220" w:name="Tc_DFEcLn_FQUWpEgUmh2Fs1Q_16_0"/>
      <w:bookmarkStart w:id="221" w:name="Tc_O7wn9futa0-Ijppbu8Q4TA_15_0"/>
      <w:bookmarkStart w:id="222" w:name="Tc_Fuid8ygLQUmycFNKV9uoUQ_14_0"/>
      <w:bookmarkStart w:id="223" w:name="Tc_J3bO86T8UU6Y5G-6Rl9Bgg_13_0"/>
      <w:bookmarkStart w:id="224" w:name="Tc_2fV0wcOCIEWFX2ZKFIBgzw_12_0"/>
      <w:bookmarkStart w:id="225" w:name="Tc_qqIOK6Di-Euw7a7xfqSWLA_11_0"/>
      <w:bookmarkStart w:id="226" w:name="Tc_yyfgYtqdvEaSkaE6fIJweg_10_0"/>
      <w:bookmarkStart w:id="227" w:name="Tc_uOqsF6xFp06lITUNxBck3A_9_0"/>
      <w:bookmarkStart w:id="228" w:name="Tc_g8BjrnFG1U6OeRDMKRksJw_8_0"/>
      <w:bookmarkStart w:id="229" w:name="Tc_HA0XbG5b6Ey9BlvN4x0ZuQ_7_0"/>
      <w:bookmarkStart w:id="230" w:name="Tc_mTcrrh6N3EekqgRCfFpvag_6_0"/>
      <w:bookmarkStart w:id="231" w:name="Tc_9hRWTQqQVkmsAUfYbgkOyg_5_5"/>
      <w:bookmarkStart w:id="232" w:name="Tc_eIUpjJIen0KWtoaTysNadA_5_2"/>
      <w:bookmarkStart w:id="233" w:name="Tc_1UQabnteoUm22zjEiGLUbw_5_0"/>
      <w:bookmarkStart w:id="234" w:name="Tc_3BdUaeF4qUq1h7EkqE3zJA_4_0"/>
      <w:bookmarkStart w:id="235" w:name="Tc_8V9GV6Z4zECc3T2HNzJx3g_3_0"/>
      <w:bookmarkStart w:id="236" w:name="Tc_Xpe8swHAi0W2sEoT3TlE0Q_2_5"/>
      <w:bookmarkStart w:id="237" w:name="Tc_GJVY4QVr6UeqzpzFooqbkw_2_2"/>
      <w:bookmarkStart w:id="238" w:name="Tc_WVwQpuDZT0iS2JenyQ9e2A_1_5"/>
      <w:bookmarkStart w:id="239" w:name="Tc_uD5-NZOdtkCUSGcyxQ6ISQ_1_2"/>
      <w:bookmarkStart w:id="240" w:name="_c4d31299_f8ea_44f8_a1db_9c93247ed33d"/>
      <w:bookmarkStart w:id="241" w:name="Tc_YelZhAs4cEavnaFjc_bVaQ_41_5"/>
      <w:bookmarkStart w:id="242" w:name="Tc_obhW2pfv6k62yCtnrjl5Qg_41_2"/>
      <w:bookmarkStart w:id="243" w:name="Tc_0QvGFvfR50KRs1G3DyPCUA_41_0"/>
      <w:bookmarkStart w:id="244" w:name="Tc_uOxhBcdWmkqgWWDtulKspA_40_0"/>
      <w:bookmarkStart w:id="245" w:name="Tc_e6ZVAVWptkmtAeH0VAcrbw_39_0"/>
      <w:bookmarkStart w:id="246" w:name="Tc_uPRndrMVNE6-t87IT5ey5Q_38_0"/>
      <w:bookmarkStart w:id="247" w:name="Tc_7N8JVmtArUK7XZUxHezoGQ_37_0"/>
      <w:bookmarkStart w:id="248" w:name="Tc_4N9aoTjmzUuuMEvxdRjJag_36_0"/>
      <w:bookmarkStart w:id="249" w:name="Tc_REVO3MqLtkGcVDsWZcZKSg_35_0"/>
      <w:bookmarkStart w:id="250" w:name="Tc_HEInNnSMFEuxQ40bxQ6ZcQ_34_0"/>
      <w:bookmarkStart w:id="251" w:name="Tc_p-7aNZE8z0iDKCFnk1p0KQ_33_0"/>
      <w:bookmarkStart w:id="252" w:name="Tc_Mi1NzSm6jEScCACiGtq4xg_32_0"/>
      <w:bookmarkStart w:id="253" w:name="Tc_fqfhvqAddka37ciWEMepEg_31_0"/>
      <w:bookmarkStart w:id="254" w:name="Tc_y5NPfKUJHkaEjIOLev14xA_30_0"/>
      <w:bookmarkStart w:id="255" w:name="Tc_Ko66r1-lDk6biGR3er8oGg_29_0"/>
      <w:bookmarkStart w:id="256" w:name="Tc_xiP_3pWFZU6ijDsVd_kOaA_28_0"/>
      <w:bookmarkStart w:id="257" w:name="Tc_bULqnC5hrEyrSj-7SjDt9A_27_0"/>
      <w:bookmarkStart w:id="258" w:name="Tc_VWd4Y0ZBiUeXVk5kfGtwvw_26_0"/>
      <w:bookmarkStart w:id="259" w:name="Tc_yqnKxeTdpk6atKtUW2UcEA_25_0"/>
      <w:bookmarkStart w:id="260" w:name="Tc_mgN-IXNEJUC4D0J7ETZblA_24_0"/>
      <w:bookmarkStart w:id="261" w:name="Tc_PtrjTYbIn0OE_SPNe-Gfxg_23_0"/>
      <w:bookmarkStart w:id="262" w:name="Tc_dsQN1d_3PUu0fdY6mxqcGA_22_5"/>
      <w:bookmarkStart w:id="263" w:name="Tc_2mMf6eR1M0SpeCu0b9BleA_22_2"/>
      <w:bookmarkStart w:id="264" w:name="Tc_U2u7_OWigkq3vwFcr0kHKQ_22_0"/>
      <w:bookmarkStart w:id="265" w:name="Tc_FNfX-Zl4LEeQ8oD4v8CfeA_21_0"/>
      <w:bookmarkStart w:id="266" w:name="Tc_8gCyLmWM2U6_WifYRco9EA_20_0"/>
      <w:bookmarkStart w:id="267" w:name="Tc_plXVOXAksUewa7v8PIx3ew_19_5"/>
      <w:bookmarkStart w:id="268" w:name="Tc_hxIY8vui4UCqdfzmR8MCnA_19_2"/>
      <w:bookmarkStart w:id="269" w:name="Tc_5Pr9UA8qGkuF69TGvxbnDw_19_0"/>
      <w:bookmarkStart w:id="270" w:name="Tc_HcMygffiH0qndGeBONWedQ_18_0"/>
      <w:bookmarkStart w:id="271" w:name="Tc_YSMW7_o5JkWlS86Ao9UQaA_17_0"/>
      <w:bookmarkStart w:id="272" w:name="Tc_DFEcLn_FQUWpEgUmh2Fs1Q_16_0"/>
      <w:bookmarkStart w:id="273" w:name="Tc_O7wn9futa0-Ijppbu8Q4TA_15_0"/>
      <w:bookmarkStart w:id="274" w:name="Tc_Fuid8ygLQUmycFNKV9uoUQ_14_0"/>
      <w:bookmarkStart w:id="275" w:name="Tc_J3bO86T8UU6Y5G-6Rl9Bgg_13_0"/>
      <w:bookmarkStart w:id="276" w:name="Tc_2fV0wcOCIEWFX2ZKFIBgzw_12_0"/>
      <w:bookmarkStart w:id="277" w:name="Tc_qqIOK6Di-Euw7a7xfqSWLA_11_0"/>
      <w:bookmarkStart w:id="278" w:name="Tc_yyfgYtqdvEaSkaE6fIJweg_10_0"/>
      <w:bookmarkStart w:id="279" w:name="Tc_uOqsF6xFp06lITUNxBck3A_9_0"/>
      <w:bookmarkStart w:id="280" w:name="Tc_g8BjrnFG1U6OeRDMKRksJw_8_0"/>
      <w:bookmarkStart w:id="281" w:name="Tc_HA0XbG5b6Ey9BlvN4x0ZuQ_7_0"/>
      <w:bookmarkStart w:id="282" w:name="Tc_mTcrrh6N3EekqgRCfFpvag_6_0"/>
      <w:bookmarkStart w:id="283" w:name="Tc_9hRWTQqQVkmsAUfYbgkOyg_5_5"/>
      <w:bookmarkStart w:id="284" w:name="Tc_eIUpjJIen0KWtoaTysNadA_5_2"/>
      <w:bookmarkStart w:id="285" w:name="Tc_1UQabnteoUm22zjEiGLUbw_5_0"/>
      <w:bookmarkStart w:id="286" w:name="Tc_3BdUaeF4qUq1h7EkqE3zJA_4_0"/>
      <w:bookmarkStart w:id="287" w:name="Tc_8V9GV6Z4zECc3T2HNzJx3g_3_0"/>
      <w:bookmarkStart w:id="288" w:name="Tc_Xpe8swHAi0W2sEoT3TlE0Q_2_5"/>
      <w:bookmarkStart w:id="289" w:name="Tc_GJVY4QVr6UeqzpzFooqbkw_2_2"/>
      <w:bookmarkStart w:id="290" w:name="Tc_WVwQpuDZT0iS2JenyQ9e2A_1_5"/>
      <w:bookmarkStart w:id="291" w:name="Tc_uD5-NZOdtkCUSGcyxQ6ISQ_1_2"/>
      <w:bookmarkStart w:id="292" w:name="_c4d31299_f8ea_44f8_a1db_9c93247ed33d"/>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tbl>
      <w:tblPr>
        <w:tblW w:w="10205" w:type="dxa"/>
        <w:jc w:val="left"/>
        <w:tblInd w:w="0" w:type="dxa"/>
        <w:tblLayout w:type="fixed"/>
        <w:tblCellMar>
          <w:top w:w="0" w:type="dxa"/>
          <w:left w:w="0" w:type="dxa"/>
          <w:bottom w:w="0" w:type="dxa"/>
          <w:right w:w="0" w:type="dxa"/>
        </w:tblCellMar>
      </w:tblPr>
      <w:tblGrid>
        <w:gridCol w:w="7019"/>
        <w:gridCol w:w="346"/>
        <w:gridCol w:w="211"/>
        <w:gridCol w:w="931"/>
        <w:gridCol w:w="346"/>
        <w:gridCol w:w="214"/>
        <w:gridCol w:w="946"/>
        <w:gridCol w:w="192"/>
      </w:tblGrid>
      <w:tr>
        <w:trPr/>
        <w:tc>
          <w:tcPr>
            <w:tcW w:w="7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57065" cy="175260"/>
                      <wp:effectExtent l="0" t="0" r="0" b="0"/>
                      <wp:wrapNone/>
                      <wp:docPr id="30" name="Frame30"/>
                      <a:graphic xmlns:a="http://schemas.openxmlformats.org/drawingml/2006/main">
                        <a:graphicData uri="http://schemas.microsoft.com/office/word/2010/wordprocessingShape">
                          <wps:wsp>
                            <wps:cNvSpPr txBox="1"/>
                            <wps:spPr>
                              <a:xfrm>
                                <a:off x="0" y="0"/>
                                <a:ext cx="445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91185" cy="175260"/>
                      <wp:effectExtent l="0" t="0" r="0" b="0"/>
                      <wp:wrapNone/>
                      <wp:docPr id="33"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5890" cy="175260"/>
                      <wp:effectExtent l="0" t="0" r="0" b="0"/>
                      <wp:wrapNone/>
                      <wp:docPr id="35" name="Frame3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00710" cy="175260"/>
                      <wp:effectExtent l="0" t="0" r="0" b="0"/>
                      <wp:wrapNone/>
                      <wp:docPr id="36" name="Frame3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1920" cy="175260"/>
                      <wp:effectExtent l="0" t="0" r="0" b="0"/>
                      <wp:wrapNone/>
                      <wp:docPr id="37" name="Frame37"/>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June 30, </w:t>
            </w:r>
          </w:p>
        </w:tc>
        <w:tc>
          <w:tcPr>
            <w:tcW w:w="346" w:type="dxa"/>
            <w:tcBorders/>
            <w:vAlign w:val="center"/>
          </w:tcPr>
          <w:p>
            <w:pPr>
              <w:pStyle w:val="TableContents"/>
              <w:bidi w:val="0"/>
              <w:spacing w:before="0" w:after="0"/>
              <w:ind w:left="0" w:right="0" w:hanging="0"/>
              <w:jc w:val="center"/>
              <w:rPr/>
            </w:pPr>
            <w:r>
              <w:rPr/>
              <w:t>  ​ ​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2" w:type="dxa"/>
            <w:tcBorders/>
            <w:vAlign w:val="center"/>
          </w:tcPr>
          <w:p>
            <w:pPr>
              <w:pStyle w:val="TableContents"/>
              <w:bidi w:val="0"/>
              <w:spacing w:before="0" w:after="0"/>
              <w:ind w:left="0" w:right="0" w:hanging="0"/>
              <w:jc w:val="center"/>
              <w:rPr/>
            </w:pPr>
            <w:r>
              <w:rPr/>
              <w:t> </w:t>
            </w:r>
          </w:p>
        </w:tc>
      </w:tr>
      <w:tr>
        <w:trPr/>
        <w:tc>
          <w:tcPr>
            <w:tcW w:w="7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center"/>
              <w:rPr/>
            </w:pPr>
            <w:r>
              <w:rPr/>
              <w:t>​</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2" w:type="dxa"/>
            <w:tcBorders/>
            <w:vAlign w:val="center"/>
          </w:tcPr>
          <w:p>
            <w:pPr>
              <w:pStyle w:val="TableContents"/>
              <w:bidi w:val="0"/>
              <w:spacing w:before="0" w:after="0"/>
              <w:ind w:left="0" w:right="0" w:hanging="0"/>
              <w:jc w:val="center"/>
              <w:rPr/>
            </w:pPr>
            <w:r>
              <w:rPr/>
              <w:t> </w:t>
            </w:r>
          </w:p>
        </w:tc>
      </w:tr>
      <w:tr>
        <w:trPr/>
        <w:tc>
          <w:tcPr>
            <w:tcW w:w="10013"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154,996</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145,451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247,220</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228,802</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154,149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168,479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338,174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329,010</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80,369</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66,802</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979,771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943,202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58,022</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56,146</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14,154</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78,815</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79,895</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174,829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182,396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43,684</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46,004</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1,386,838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1,361,351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0013" w:type="dxa"/>
            <w:gridSpan w:val="7"/>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58,807</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42,309</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9,516</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81,679</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65,494</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finance lease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25,416</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33,150</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200,101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197,660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finance lease obligation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39,845</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40,754</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44,208</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44,815</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321,017</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326,674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75,000 shares authorized; 30,881 shares issued and outstanding at June 30, 2026; 30,717 shares issued and outstanding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536,152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533,309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536,044</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503,539</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(6,406)</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1,065,821</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1,034,677</w:t>
            </w:r>
          </w:p>
        </w:tc>
        <w:tc>
          <w:tcPr>
            <w:tcW w:w="192" w:type="dxa"/>
            <w:tcBorders/>
            <w:vAlign w:val="center"/>
          </w:tcPr>
          <w:p>
            <w:pPr>
              <w:pStyle w:val="TableContents"/>
              <w:bidi w:val="0"/>
              <w:spacing w:before="0" w:after="0"/>
              <w:ind w:left="0" w:right="0" w:hanging="0"/>
              <w:jc w:val="left"/>
              <w:rPr/>
            </w:pPr>
            <w:r>
              <w:rPr/>
              <w:t>​</w:t>
            </w:r>
          </w:p>
        </w:tc>
      </w:tr>
      <w:tr>
        <w:trPr/>
        <w:tc>
          <w:tcPr>
            <w:tcW w:w="70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1,386,838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1,361,351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3" w:name="_3ddec8c6_f17e_4c7b_8ee7_e1ce5b86fc64"/>
      <w:bookmarkEnd w:id="293"/>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294" w:name="ConsolidatedStatementEquity"/>
      <w:bookmarkEnd w:id="294"/>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95" w:name="Tc_qR9ZCU5FzEKfMJ2nJEKU-Q_20_17"/>
      <w:bookmarkStart w:id="296" w:name="Tc_Fl99APaIJEC1qXsHs2WNkA_20_14"/>
      <w:bookmarkStart w:id="297" w:name="Tc_2jPn8WE3806IYdHDpjFqMw_20_11"/>
      <w:bookmarkStart w:id="298" w:name="Tc_9mbZJ0Kf00ys9HRawEOi1w_20_8"/>
      <w:bookmarkStart w:id="299" w:name="Tc_10AsjAfSlUOpI_u8JinehQ_20_5"/>
      <w:bookmarkStart w:id="300" w:name="Tc_GqOfkyE1pkua63WQrCKBfw_20_0"/>
      <w:bookmarkStart w:id="301" w:name="Tc_tSIQgz2nsUOa2nRTEjAMrA_19_15"/>
      <w:bookmarkStart w:id="302" w:name="Tc_it2Q2ftm00WDmAwc_6u31A_19_0"/>
      <w:bookmarkStart w:id="303" w:name="Tc_EnhWtTij8EWYdsZosEx2Uw_18_15"/>
      <w:bookmarkStart w:id="304" w:name="Tc_Y1C2YXnKD0ucC5f0CLcGqQ_18_12"/>
      <w:bookmarkStart w:id="305" w:name="Tc_Fm0sSuLhjE6AvbjP7bIj_g_18_6"/>
      <w:bookmarkStart w:id="306" w:name="Tc_Kq0OHMcWIkmWUPFxzTrSxw_18_3"/>
      <w:bookmarkStart w:id="307" w:name="Tc_aDBzYc7huUOe55a8sm44VA_18_0"/>
      <w:bookmarkStart w:id="308" w:name="Tc_m_l1V295PE-aEjczP6wYnQ_17_15"/>
      <w:bookmarkStart w:id="309" w:name="Tc_qg1uG8Mb-EOs2-FvxSffxw_17_12"/>
      <w:bookmarkStart w:id="310" w:name="Tc_GtdkXBYwZ0CVEIxbtiDBAQ_17_6"/>
      <w:bookmarkStart w:id="311" w:name="Tc_NdrjLkU7pkWoj0ri4NyNdw_17_0"/>
      <w:bookmarkStart w:id="312" w:name="Tc_fxljnUrxzUy5mszNLeoZDA_16_15"/>
      <w:bookmarkStart w:id="313" w:name="Tc_eZrUAAh_hkyen7pEttuR0w_16_12"/>
      <w:bookmarkStart w:id="314" w:name="Tc_joc0vn-tB02HHKJ46C3PYQ_16_6"/>
      <w:bookmarkStart w:id="315" w:name="Tc_ulgx0v0-aUK5U0lz3yiSVw_16_0"/>
      <w:bookmarkStart w:id="316" w:name="Tc_VNZ0Q6vLd0uKu5_Aqqv5sA_15_12"/>
      <w:bookmarkStart w:id="317" w:name="Tc_ezyxWU3w1UShU_9-0n4-cw_15_9"/>
      <w:bookmarkStart w:id="318" w:name="Tc_EEq9au2UzUWTUlcEqyYFRQ_15_6"/>
      <w:bookmarkStart w:id="319" w:name="Tc_Pwk1Z-FvwE6tAa5R0APXOg_15_3"/>
      <w:bookmarkStart w:id="320" w:name="Tc_0UCw133Q5kqGMwb_rZ8Lgw_15_0"/>
      <w:bookmarkStart w:id="321" w:name="Tc_bOq_Xjmo8EOaJQxz7ncDZw_14_12"/>
      <w:bookmarkStart w:id="322" w:name="Tc_65VB9xsVBkqvU12KqZN26A_14_9"/>
      <w:bookmarkStart w:id="323" w:name="Tc_VUXIB0ukJ0i9LPqlDp3H_g_14_6"/>
      <w:bookmarkStart w:id="324" w:name="Tc_28qLDWCilU2ZmoGgM9TASw_14_3"/>
      <w:bookmarkStart w:id="325" w:name="Tc_0qHKnzfCTUyc5UVQsv4kvg_14_0"/>
      <w:bookmarkStart w:id="326" w:name="Tc_yT5AXGwqzE6p_eBMb_uzyg_13_15"/>
      <w:bookmarkStart w:id="327" w:name="Tc_eyzJKd_dcUeMeT4BtFADPQ_13_9"/>
      <w:bookmarkStart w:id="328" w:name="Tc_k5E1wjN9_Eiqrp4zd29vhw_13_6"/>
      <w:bookmarkStart w:id="329" w:name="Tc_JK4wrDn3p0-H9BAEaRkFjw_13_3"/>
      <w:bookmarkStart w:id="330" w:name="Tc_couk1ng0Tk2VwNU9UjlUdA_13_0"/>
      <w:bookmarkStart w:id="331" w:name="Tc_RKfJpRAmwEGbBUUD1Jpg6g_12_17"/>
      <w:bookmarkStart w:id="332" w:name="Tc_3LfgFH_JeES10I1gcwN6mg_12_14"/>
      <w:bookmarkStart w:id="333" w:name="Tc_QGVjHuFgaUS8N9SRPhhjRw_12_11"/>
      <w:bookmarkStart w:id="334" w:name="Tc_KhS8rFm_XUmYfJzQTX5CoA_12_8"/>
      <w:bookmarkStart w:id="335" w:name="Tc_1mFAjAZUR0OmFfHFIVpZuQ_12_5"/>
      <w:bookmarkStart w:id="336" w:name="Tc_MJt9YKY1D0CddFZbk6zNmQ_12_0"/>
      <w:bookmarkStart w:id="337" w:name="Tc_EOp_SgsrV0unEU4Y77pRTQ_11_15"/>
      <w:bookmarkStart w:id="338" w:name="Tc_NkaIbed5kkeid4Qaa_7IKA_11_6"/>
      <w:bookmarkStart w:id="339" w:name="Tc_NhgE2SEMm0C65oaqIQj4vg_11_0"/>
      <w:bookmarkStart w:id="340" w:name="Tc__me4cuzlS02fmhArs8WfkA_10_15"/>
      <w:bookmarkStart w:id="341" w:name="Tc_pw6lms7cX06qSf5W1vve3Q_10_12"/>
      <w:bookmarkStart w:id="342" w:name="Tc_55xhdT24nkWB6gYzfanqOA_10_6"/>
      <w:bookmarkStart w:id="343" w:name="Tc_lQjr8QeIf0Okutr71qoIvg_10_3"/>
      <w:bookmarkStart w:id="344" w:name="Tc_mWOV2Mu02kaJ_y2lR97Oog_10_0"/>
      <w:bookmarkStart w:id="345" w:name="Tc_4GoSFJQnR0Wy_lC8Xf1i1A_9_15"/>
      <w:bookmarkStart w:id="346" w:name="Tc_I8BAmmpHB0uZYHB9i9R6HA_9_12"/>
      <w:bookmarkStart w:id="347" w:name="Tc_909p9s-FLk-O0evnNs7IaA_9_6"/>
      <w:bookmarkStart w:id="348" w:name="Tc_C2NZIU60JkuLGNTRtyoY-g_9_0"/>
      <w:bookmarkStart w:id="349" w:name="Tc_pnFrQW3Y4USxxSIMy_Nx-g_8_12"/>
      <w:bookmarkStart w:id="350" w:name="Tc_XJWknbFtx0aMPXVJsOrvVw_8_9"/>
      <w:bookmarkStart w:id="351" w:name="Tc_UXB4N5qRK0ehSHlfXCRwdQ_8_6"/>
      <w:bookmarkStart w:id="352" w:name="Tc_H292GJM3XUOVWxcz5lTV4Q_8_3"/>
      <w:bookmarkStart w:id="353" w:name="Tc_NzdvvlyWikGeF5X6OGq9dw_8_0"/>
      <w:bookmarkStart w:id="354" w:name="Tc_ypecG1HOKUGg_id61DTg1Q_7_12"/>
      <w:bookmarkStart w:id="355" w:name="Tc_-fvdiS1g50CprQej1PX8MQ_7_9"/>
      <w:bookmarkStart w:id="356" w:name="Tc_MRv6VzSH0EOnxTPsR25C4w_7_6"/>
      <w:bookmarkStart w:id="357" w:name="Tc_doknaTwoukKE61AIVrb4jg_7_3"/>
      <w:bookmarkStart w:id="358" w:name="Tc_6G1xQO45oEuziNVSBrk-qA_7_0"/>
      <w:bookmarkStart w:id="359" w:name="Tc__i4DIckxOk2S65F-OOv7xw_6_15"/>
      <w:bookmarkStart w:id="360" w:name="Tc_Gmsn6cGQ8kO_Yjmu_0--wA_6_9"/>
      <w:bookmarkStart w:id="361" w:name="Tc_2lBmav3g3Uelp7X8JoCDog_6_6"/>
      <w:bookmarkStart w:id="362" w:name="Tc_KscF3F7wRkGKU0Mu56pyKA_6_3"/>
      <w:bookmarkStart w:id="363" w:name="Tc_EeL-I3CXiEmJNIXW5Prktw_6_0"/>
      <w:bookmarkStart w:id="364" w:name="Tc_s2q3XP-qlkqlg-KtFp2OmA_5_17"/>
      <w:bookmarkStart w:id="365" w:name="Tc_L0SQnEF5AkKeTITABgNjFw_5_14"/>
      <w:bookmarkStart w:id="366" w:name="Tc_mSys1AFdt0W20L5_zZ45sw_5_11"/>
      <w:bookmarkStart w:id="367" w:name="Tc_5Dnl53Whq0eZx2Rw7WKyaA_5_8"/>
      <w:bookmarkStart w:id="368" w:name="Tc_ChjpMgPrGU-yh_-KcK72IA_5_5"/>
      <w:bookmarkStart w:id="369" w:name="Tc_gOk5BJuCzE6hNA2_5WR7zw_5_0"/>
      <w:bookmarkStart w:id="370" w:name="Tc_alnuPT9MJU-1DD_wfVlllg_4_17"/>
      <w:bookmarkStart w:id="371" w:name="Tc_YpXMM6IhWEawzlw9NrdnLg_4_14"/>
      <w:bookmarkStart w:id="372" w:name="Tc_zcyCtCu7XkWfFWc-AWi2QA_4_11"/>
      <w:bookmarkStart w:id="373" w:name="Tc_l24taB15G0CyS6dWOt0Aag_4_8"/>
      <w:bookmarkStart w:id="374" w:name="Tc_aqjDpwHXDUmuOMccwac96A_4_5"/>
      <w:bookmarkStart w:id="375" w:name="Tc_L63aYo3bmk-YNyQbpMt-6g_4_3"/>
      <w:bookmarkStart w:id="376" w:name="Tc_1Wxy7Mgq4kuTanEOItcmWA_3_17"/>
      <w:bookmarkStart w:id="377" w:name="Tc_lP2TaWMU-UmPx3RCLB736Q_3_14"/>
      <w:bookmarkStart w:id="378" w:name="Tc_bplx19v8Zk6geQ4tC6vu1w_3_11"/>
      <w:bookmarkStart w:id="379" w:name="Tc_k-xp9V8RbEizJTCv9a6PIQ_3_8"/>
      <w:bookmarkStart w:id="380" w:name="Tc_cl77YfibeUiJAufg2-kbNw_3_3"/>
      <w:bookmarkStart w:id="381" w:name="Tc_11ZT9o7S5UaxtIRe3sDoIw_2_17"/>
      <w:bookmarkStart w:id="382" w:name="Tc_zCNnH7Jp4UGIBnWgYpZ1Tg_2_14"/>
      <w:bookmarkStart w:id="383" w:name="Tc_z_eInumqrkqzMVMeGrdhQA_2_8"/>
      <w:bookmarkStart w:id="384" w:name="Tc_e7ggq2KQXUuFkMUsjnRwKQ_1_14"/>
      <w:bookmarkStart w:id="385" w:name="_99eff1d5_ee31_432e_b99b_6582f5cfd9fe"/>
      <w:bookmarkStart w:id="386" w:name="Tc_qR9ZCU5FzEKfMJ2nJEKU-Q_20_17"/>
      <w:bookmarkStart w:id="387" w:name="Tc_Fl99APaIJEC1qXsHs2WNkA_20_14"/>
      <w:bookmarkStart w:id="388" w:name="Tc_2jPn8WE3806IYdHDpjFqMw_20_11"/>
      <w:bookmarkStart w:id="389" w:name="Tc_9mbZJ0Kf00ys9HRawEOi1w_20_8"/>
      <w:bookmarkStart w:id="390" w:name="Tc_10AsjAfSlUOpI_u8JinehQ_20_5"/>
      <w:bookmarkStart w:id="391" w:name="Tc_GqOfkyE1pkua63WQrCKBfw_20_0"/>
      <w:bookmarkStart w:id="392" w:name="Tc_tSIQgz2nsUOa2nRTEjAMrA_19_15"/>
      <w:bookmarkStart w:id="393" w:name="Tc_it2Q2ftm00WDmAwc_6u31A_19_0"/>
      <w:bookmarkStart w:id="394" w:name="Tc_EnhWtTij8EWYdsZosEx2Uw_18_15"/>
      <w:bookmarkStart w:id="395" w:name="Tc_Y1C2YXnKD0ucC5f0CLcGqQ_18_12"/>
      <w:bookmarkStart w:id="396" w:name="Tc_Fm0sSuLhjE6AvbjP7bIj_g_18_6"/>
      <w:bookmarkStart w:id="397" w:name="Tc_Kq0OHMcWIkmWUPFxzTrSxw_18_3"/>
      <w:bookmarkStart w:id="398" w:name="Tc_aDBzYc7huUOe55a8sm44VA_18_0"/>
      <w:bookmarkStart w:id="399" w:name="Tc_m_l1V295PE-aEjczP6wYnQ_17_15"/>
      <w:bookmarkStart w:id="400" w:name="Tc_qg1uG8Mb-EOs2-FvxSffxw_17_12"/>
      <w:bookmarkStart w:id="401" w:name="Tc_GtdkXBYwZ0CVEIxbtiDBAQ_17_6"/>
      <w:bookmarkStart w:id="402" w:name="Tc_NdrjLkU7pkWoj0ri4NyNdw_17_0"/>
      <w:bookmarkStart w:id="403" w:name="Tc_fxljnUrxzUy5mszNLeoZDA_16_15"/>
      <w:bookmarkStart w:id="404" w:name="Tc_eZrUAAh_hkyen7pEttuR0w_16_12"/>
      <w:bookmarkStart w:id="405" w:name="Tc_joc0vn-tB02HHKJ46C3PYQ_16_6"/>
      <w:bookmarkStart w:id="406" w:name="Tc_ulgx0v0-aUK5U0lz3yiSVw_16_0"/>
      <w:bookmarkStart w:id="407" w:name="Tc_VNZ0Q6vLd0uKu5_Aqqv5sA_15_12"/>
      <w:bookmarkStart w:id="408" w:name="Tc_ezyxWU3w1UShU_9-0n4-cw_15_9"/>
      <w:bookmarkStart w:id="409" w:name="Tc_EEq9au2UzUWTUlcEqyYFRQ_15_6"/>
      <w:bookmarkStart w:id="410" w:name="Tc_Pwk1Z-FvwE6tAa5R0APXOg_15_3"/>
      <w:bookmarkStart w:id="411" w:name="Tc_0UCw133Q5kqGMwb_rZ8Lgw_15_0"/>
      <w:bookmarkStart w:id="412" w:name="Tc_bOq_Xjmo8EOaJQxz7ncDZw_14_12"/>
      <w:bookmarkStart w:id="413" w:name="Tc_65VB9xsVBkqvU12KqZN26A_14_9"/>
      <w:bookmarkStart w:id="414" w:name="Tc_VUXIB0ukJ0i9LPqlDp3H_g_14_6"/>
      <w:bookmarkStart w:id="415" w:name="Tc_28qLDWCilU2ZmoGgM9TASw_14_3"/>
      <w:bookmarkStart w:id="416" w:name="Tc_0qHKnzfCTUyc5UVQsv4kvg_14_0"/>
      <w:bookmarkStart w:id="417" w:name="Tc_yT5AXGwqzE6p_eBMb_uzyg_13_15"/>
      <w:bookmarkStart w:id="418" w:name="Tc_eyzJKd_dcUeMeT4BtFADPQ_13_9"/>
      <w:bookmarkStart w:id="419" w:name="Tc_k5E1wjN9_Eiqrp4zd29vhw_13_6"/>
      <w:bookmarkStart w:id="420" w:name="Tc_JK4wrDn3p0-H9BAEaRkFjw_13_3"/>
      <w:bookmarkStart w:id="421" w:name="Tc_couk1ng0Tk2VwNU9UjlUdA_13_0"/>
      <w:bookmarkStart w:id="422" w:name="Tc_RKfJpRAmwEGbBUUD1Jpg6g_12_17"/>
      <w:bookmarkStart w:id="423" w:name="Tc_3LfgFH_JeES10I1gcwN6mg_12_14"/>
      <w:bookmarkStart w:id="424" w:name="Tc_QGVjHuFgaUS8N9SRPhhjRw_12_11"/>
      <w:bookmarkStart w:id="425" w:name="Tc_KhS8rFm_XUmYfJzQTX5CoA_12_8"/>
      <w:bookmarkStart w:id="426" w:name="Tc_1mFAjAZUR0OmFfHFIVpZuQ_12_5"/>
      <w:bookmarkStart w:id="427" w:name="Tc_MJt9YKY1D0CddFZbk6zNmQ_12_0"/>
      <w:bookmarkStart w:id="428" w:name="Tc_EOp_SgsrV0unEU4Y77pRTQ_11_15"/>
      <w:bookmarkStart w:id="429" w:name="Tc_NkaIbed5kkeid4Qaa_7IKA_11_6"/>
      <w:bookmarkStart w:id="430" w:name="Tc_NhgE2SEMm0C65oaqIQj4vg_11_0"/>
      <w:bookmarkStart w:id="431" w:name="Tc__me4cuzlS02fmhArs8WfkA_10_15"/>
      <w:bookmarkStart w:id="432" w:name="Tc_pw6lms7cX06qSf5W1vve3Q_10_12"/>
      <w:bookmarkStart w:id="433" w:name="Tc_55xhdT24nkWB6gYzfanqOA_10_6"/>
      <w:bookmarkStart w:id="434" w:name="Tc_lQjr8QeIf0Okutr71qoIvg_10_3"/>
      <w:bookmarkStart w:id="435" w:name="Tc_mWOV2Mu02kaJ_y2lR97Oog_10_0"/>
      <w:bookmarkStart w:id="436" w:name="Tc_4GoSFJQnR0Wy_lC8Xf1i1A_9_15"/>
      <w:bookmarkStart w:id="437" w:name="Tc_I8BAmmpHB0uZYHB9i9R6HA_9_12"/>
      <w:bookmarkStart w:id="438" w:name="Tc_909p9s-FLk-O0evnNs7IaA_9_6"/>
      <w:bookmarkStart w:id="439" w:name="Tc_C2NZIU60JkuLGNTRtyoY-g_9_0"/>
      <w:bookmarkStart w:id="440" w:name="Tc_pnFrQW3Y4USxxSIMy_Nx-g_8_12"/>
      <w:bookmarkStart w:id="441" w:name="Tc_XJWknbFtx0aMPXVJsOrvVw_8_9"/>
      <w:bookmarkStart w:id="442" w:name="Tc_UXB4N5qRK0ehSHlfXCRwdQ_8_6"/>
      <w:bookmarkStart w:id="443" w:name="Tc_H292GJM3XUOVWxcz5lTV4Q_8_3"/>
      <w:bookmarkStart w:id="444" w:name="Tc_NzdvvlyWikGeF5X6OGq9dw_8_0"/>
      <w:bookmarkStart w:id="445" w:name="Tc_ypecG1HOKUGg_id61DTg1Q_7_12"/>
      <w:bookmarkStart w:id="446" w:name="Tc_-fvdiS1g50CprQej1PX8MQ_7_9"/>
      <w:bookmarkStart w:id="447" w:name="Tc_MRv6VzSH0EOnxTPsR25C4w_7_6"/>
      <w:bookmarkStart w:id="448" w:name="Tc_doknaTwoukKE61AIVrb4jg_7_3"/>
      <w:bookmarkStart w:id="449" w:name="Tc_6G1xQO45oEuziNVSBrk-qA_7_0"/>
      <w:bookmarkStart w:id="450" w:name="Tc__i4DIckxOk2S65F-OOv7xw_6_15"/>
      <w:bookmarkStart w:id="451" w:name="Tc_Gmsn6cGQ8kO_Yjmu_0--wA_6_9"/>
      <w:bookmarkStart w:id="452" w:name="Tc_2lBmav3g3Uelp7X8JoCDog_6_6"/>
      <w:bookmarkStart w:id="453" w:name="Tc_KscF3F7wRkGKU0Mu56pyKA_6_3"/>
      <w:bookmarkStart w:id="454" w:name="Tc_EeL-I3CXiEmJNIXW5Prktw_6_0"/>
      <w:bookmarkStart w:id="455" w:name="Tc_s2q3XP-qlkqlg-KtFp2OmA_5_17"/>
      <w:bookmarkStart w:id="456" w:name="Tc_L0SQnEF5AkKeTITABgNjFw_5_14"/>
      <w:bookmarkStart w:id="457" w:name="Tc_mSys1AFdt0W20L5_zZ45sw_5_11"/>
      <w:bookmarkStart w:id="458" w:name="Tc_5Dnl53Whq0eZx2Rw7WKyaA_5_8"/>
      <w:bookmarkStart w:id="459" w:name="Tc_ChjpMgPrGU-yh_-KcK72IA_5_5"/>
      <w:bookmarkStart w:id="460" w:name="Tc_gOk5BJuCzE6hNA2_5WR7zw_5_0"/>
      <w:bookmarkStart w:id="461" w:name="Tc_alnuPT9MJU-1DD_wfVlllg_4_17"/>
      <w:bookmarkStart w:id="462" w:name="Tc_YpXMM6IhWEawzlw9NrdnLg_4_14"/>
      <w:bookmarkStart w:id="463" w:name="Tc_zcyCtCu7XkWfFWc-AWi2QA_4_11"/>
      <w:bookmarkStart w:id="464" w:name="Tc_l24taB15G0CyS6dWOt0Aag_4_8"/>
      <w:bookmarkStart w:id="465" w:name="Tc_aqjDpwHXDUmuOMccwac96A_4_5"/>
      <w:bookmarkStart w:id="466" w:name="Tc_L63aYo3bmk-YNyQbpMt-6g_4_3"/>
      <w:bookmarkStart w:id="467" w:name="Tc_1Wxy7Mgq4kuTanEOItcmWA_3_17"/>
      <w:bookmarkStart w:id="468" w:name="Tc_lP2TaWMU-UmPx3RCLB736Q_3_14"/>
      <w:bookmarkStart w:id="469" w:name="Tc_bplx19v8Zk6geQ4tC6vu1w_3_11"/>
      <w:bookmarkStart w:id="470" w:name="Tc_k-xp9V8RbEizJTCv9a6PIQ_3_8"/>
      <w:bookmarkStart w:id="471" w:name="Tc_cl77YfibeUiJAufg2-kbNw_3_3"/>
      <w:bookmarkStart w:id="472" w:name="Tc_11ZT9o7S5UaxtIRe3sDoIw_2_17"/>
      <w:bookmarkStart w:id="473" w:name="Tc_zCNnH7Jp4UGIBnWgYpZ1Tg_2_14"/>
      <w:bookmarkStart w:id="474" w:name="Tc_z_eInumqrkqzMVMeGrdhQA_2_8"/>
      <w:bookmarkStart w:id="475" w:name="Tc_e7ggq2KQXUuFkMUsjnRwKQ_1_14"/>
      <w:bookmarkStart w:id="476" w:name="_99eff1d5_ee31_432e_b99b_6582f5cfd9fe"/>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tbl>
      <w:tblPr>
        <w:tblW w:w="10205" w:type="dxa"/>
        <w:jc w:val="left"/>
        <w:tblInd w:w="0" w:type="dxa"/>
        <w:tblLayout w:type="fixed"/>
        <w:tblCellMar>
          <w:top w:w="0" w:type="dxa"/>
          <w:left w:w="0" w:type="dxa"/>
          <w:bottom w:w="0" w:type="dxa"/>
          <w:right w:w="0" w:type="dxa"/>
        </w:tblCellMar>
      </w:tblPr>
      <w:tblGrid>
        <w:gridCol w:w="2513"/>
        <w:gridCol w:w="346"/>
        <w:gridCol w:w="109"/>
        <w:gridCol w:w="601"/>
        <w:gridCol w:w="346"/>
        <w:gridCol w:w="249"/>
        <w:gridCol w:w="442"/>
        <w:gridCol w:w="346"/>
        <w:gridCol w:w="196"/>
        <w:gridCol w:w="699"/>
        <w:gridCol w:w="346"/>
        <w:gridCol w:w="196"/>
        <w:gridCol w:w="699"/>
        <w:gridCol w:w="346"/>
        <w:gridCol w:w="310"/>
        <w:gridCol w:w="906"/>
        <w:gridCol w:w="346"/>
        <w:gridCol w:w="201"/>
        <w:gridCol w:w="851"/>
        <w:gridCol w:w="157"/>
      </w:tblGrid>
      <w:tr>
        <w:trPr/>
        <w:tc>
          <w:tcPr>
            <w:tcW w:w="2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95755" cy="175260"/>
                      <wp:effectExtent l="0" t="0" r="0" b="0"/>
                      <wp:wrapNone/>
                      <wp:docPr id="38" name="Frame38"/>
                      <a:graphic xmlns:a="http://schemas.openxmlformats.org/drawingml/2006/main">
                        <a:graphicData uri="http://schemas.microsoft.com/office/word/2010/wordprocessingShape">
                          <wps:wsp>
                            <wps:cNvSpPr txBox="1"/>
                            <wps:spPr>
                              <a:xfrm>
                                <a:off x="0" y="0"/>
                                <a:ext cx="1595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81635" cy="175260"/>
                      <wp:effectExtent l="0" t="0" r="0" b="0"/>
                      <wp:wrapNone/>
                      <wp:docPr id="41" name="Frame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8115" cy="175260"/>
                      <wp:effectExtent l="0" t="0" r="0" b="0"/>
                      <wp:wrapNone/>
                      <wp:docPr id="43" name="Frame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0670" cy="175260"/>
                      <wp:effectExtent l="0" t="0" r="0" b="0"/>
                      <wp:wrapNone/>
                      <wp:docPr id="44" name="Frame4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43865" cy="175260"/>
                      <wp:effectExtent l="0" t="0" r="0" b="0"/>
                      <wp:wrapNone/>
                      <wp:docPr id="47" name="Frame47"/>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43865" cy="175260"/>
                      <wp:effectExtent l="0" t="0" r="0" b="0"/>
                      <wp:wrapNone/>
                      <wp:docPr id="50" name="Frame5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6850" cy="175260"/>
                      <wp:effectExtent l="0" t="0" r="0" b="0"/>
                      <wp:wrapNone/>
                      <wp:docPr id="52" name="Frame5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5310" cy="175260"/>
                      <wp:effectExtent l="0" t="0" r="0" b="0"/>
                      <wp:wrapNone/>
                      <wp:docPr id="53" name="Frame5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7635" cy="175260"/>
                      <wp:effectExtent l="0" t="0" r="0" b="0"/>
                      <wp:wrapNone/>
                      <wp:docPr id="55" name="Frame5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40385" cy="175260"/>
                      <wp:effectExtent l="0" t="0" r="0" b="0"/>
                      <wp:wrapNone/>
                      <wp:docPr id="56" name="Frame56"/>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9695" cy="175260"/>
                      <wp:effectExtent l="0" t="0" r="0" b="0"/>
                      <wp:wrapNone/>
                      <wp:docPr id="57" name="Frame57"/>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center"/>
              <w:rPr/>
            </w:pPr>
            <w:r>
              <w:rPr/>
              <w:t>​</w:t>
            </w:r>
          </w:p>
        </w:tc>
        <w:tc>
          <w:tcPr>
            <w:tcW w:w="851" w:type="dxa"/>
            <w:tcBorders/>
            <w:vAlign w:val="center"/>
          </w:tcPr>
          <w:p>
            <w:pPr>
              <w:pStyle w:val="TableContents"/>
              <w:bidi w:val="0"/>
              <w:spacing w:before="0" w:after="0"/>
              <w:ind w:left="0" w:right="0" w:hanging="0"/>
              <w:jc w:val="center"/>
              <w:rPr/>
            </w:pPr>
            <w:r>
              <w:rPr/>
              <w:t>​</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89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2024</w:t>
            </w:r>
          </w:p>
        </w:tc>
        <w:tc>
          <w:tcPr>
            <w:tcW w:w="346" w:type="dxa"/>
            <w:tcBorders/>
            <w:shd w:fill="CCEEFF" w:val="clear"/>
            <w:vAlign w:val="center"/>
          </w:tcPr>
          <w:p>
            <w:pPr>
              <w:pStyle w:val="TableContents"/>
              <w:bidi w:val="0"/>
              <w:spacing w:before="0" w:after="0"/>
              <w:ind w:left="0" w:right="0" w:hanging="0"/>
              <w:jc w:val="lef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32,365</w:t>
            </w:r>
          </w:p>
        </w:tc>
        <w:tc>
          <w:tcPr>
            <w:tcW w:w="346" w:type="dxa"/>
            <w:tcBorders/>
            <w:shd w:fill="CCEEFF" w:val="clear"/>
            <w:vAlign w:val="center"/>
          </w:tcPr>
          <w:p>
            <w:pPr>
              <w:pStyle w:val="TableContents"/>
              <w:bidi w:val="0"/>
              <w:spacing w:before="0" w:after="0"/>
              <w:ind w:left="0" w:right="0" w:hanging="0"/>
              <w:jc w:val="left"/>
              <w:rPr/>
            </w:pPr>
            <w:r>
              <w:rPr/>
              <w:t>  ​ ​ ​</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548,654</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470,318</w:t>
            </w:r>
          </w:p>
        </w:tc>
        <w:tc>
          <w:tcPr>
            <w:tcW w:w="346" w:type="dxa"/>
            <w:tcBorders/>
            <w:shd w:fill="CCEEFF" w:val="clear"/>
            <w:vAlign w:val="center"/>
          </w:tcPr>
          <w:p>
            <w:pPr>
              <w:pStyle w:val="TableContents"/>
              <w:bidi w:val="0"/>
              <w:spacing w:before="0" w:after="0"/>
              <w:ind w:left="0" w:right="0" w:hanging="0"/>
              <w:jc w:val="left"/>
              <w:rPr/>
            </w:pPr>
            <w:r>
              <w:rPr/>
              <w:t>  ​ ​ ​</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(6,214)</w:t>
            </w:r>
          </w:p>
        </w:tc>
        <w:tc>
          <w:tcPr>
            <w:tcW w:w="346" w:type="dxa"/>
            <w:tcBorders/>
            <w:shd w:fill="CCEEFF" w:val="clear"/>
            <w:vAlign w:val="center"/>
          </w:tcPr>
          <w:p>
            <w:pPr>
              <w:pStyle w:val="TableContents"/>
              <w:bidi w:val="0"/>
              <w:spacing w:before="0" w:after="0"/>
              <w:ind w:left="0" w:right="0" w:hanging="0"/>
              <w:jc w:val="left"/>
              <w:rPr/>
            </w:pPr>
            <w:r>
              <w:rPr/>
              <w:t>  ​ ​ ​</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1,012,790</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28,579</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28,579</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(13,224)</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(18,178)</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March 31, 2025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32,129</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547,020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485,673</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(5,487)</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1,027,238</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stock under Employee Stock Purchase Plan</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(2,569)</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5,421</w:t>
            </w:r>
          </w:p>
        </w:tc>
        <w:tc>
          <w:tcPr>
            <w:tcW w:w="157" w:type="dxa"/>
            <w:tcBorders/>
            <w:vAlign w:val="center"/>
          </w:tcPr>
          <w:p>
            <w:pPr>
              <w:pStyle w:val="TableContents"/>
              <w:bidi w:val="0"/>
              <w:spacing w:before="0" w:after="0"/>
              <w:ind w:left="0" w:right="0" w:hanging="0"/>
              <w:jc w:val="left"/>
              <w:rPr/>
            </w:pPr>
            <w:r>
              <w:rPr/>
              <w:t>​</w:t>
            </w:r>
          </w:p>
        </w:tc>
      </w:tr>
      <w:tr>
        <w:trPr/>
        <w:tc>
          <w:tcPr>
            <w:tcW w:w="25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(29,885)</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(45,337)</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25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31,418</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535,667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487,164</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1,022,383</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7" w:name="Tc_W6rrZAcIPkq_Gjx1EVgMng_20_17"/>
      <w:bookmarkStart w:id="478" w:name="Tc_Zxl19n-760ClDBTQiGlYWA_20_14"/>
      <w:bookmarkStart w:id="479" w:name="Tc_mDl9lXwLUk-LLKaQnQhv0w_20_11"/>
      <w:bookmarkStart w:id="480" w:name="Tc_IKW3_USBdkCarBFwgM4MuQ_20_8"/>
      <w:bookmarkStart w:id="481" w:name="Tc_yD6CHncg7kS_sctS_BkHJg_20_5"/>
      <w:bookmarkStart w:id="482" w:name="Tc_Q5KcA3yOsUWqOOxa45yUlg_20_0"/>
      <w:bookmarkStart w:id="483" w:name="Tc_ABzP3n3QhEKE2vtea8XK_A_19_15"/>
      <w:bookmarkStart w:id="484" w:name="Tc_3rXHCBC7_EexYKfS9e10iQ_19_12"/>
      <w:bookmarkStart w:id="485" w:name="Tc_GQXDnP01KEeHMuWLGc-mig_19_6"/>
      <w:bookmarkStart w:id="486" w:name="Tc_yVz6S-U31kqZ6LIIX__oUA_19_3"/>
      <w:bookmarkStart w:id="487" w:name="Tc_51kaSWugvkioQJ88gsd2uQ_19_0"/>
      <w:bookmarkStart w:id="488" w:name="Tc_QIfOFj-VrUStFp3tZ6CQpQ_18_15"/>
      <w:bookmarkStart w:id="489" w:name="Tc_QLS0jICxN0WyvojAaNXFXQ_18_12"/>
      <w:bookmarkStart w:id="490" w:name="Tc_7Z7KU_ME8EqK12BebaHcMg_18_6"/>
      <w:bookmarkStart w:id="491" w:name="Tc_T9OMbKaWQkmLqR4VPeKu_w_18_3"/>
      <w:bookmarkStart w:id="492" w:name="Tc_aluq8BEwfESAb95_xOftLw_18_0"/>
      <w:bookmarkStart w:id="493" w:name="Tc_4z_a_H1C-EiO2SFeGb-YDg_17_15"/>
      <w:bookmarkStart w:id="494" w:name="Tc_bq08YoUUqEWXJs_uvLygrA_17_12"/>
      <w:bookmarkStart w:id="495" w:name="Tc_uNqzmUAICEqUDfR_ZHKZvw_17_6"/>
      <w:bookmarkStart w:id="496" w:name="Tc_TFTMX-CjLU6bXyBmc8hbkg_17_0"/>
      <w:bookmarkStart w:id="497" w:name="Tc_MfDdizjOGUiV7nIpICbzRQ_16_15"/>
      <w:bookmarkStart w:id="498" w:name="Tc_iffOXnwZLEuGbelXxBTvqw_16_12"/>
      <w:bookmarkStart w:id="499" w:name="Tc_bgQogPzkbE-PcuOLDfwqRw_16_6"/>
      <w:bookmarkStart w:id="500" w:name="Tc_0yLCmMShZkaZHf4nnmsLQg_16_0"/>
      <w:bookmarkStart w:id="501" w:name="Tc_mQG525rhr0CYQ95cT6fPaQ_15_12"/>
      <w:bookmarkStart w:id="502" w:name="Tc_oVH_Eugk7EeFSuJhpDnfNw_15_9"/>
      <w:bookmarkStart w:id="503" w:name="Tc_3yC6SXuPtkivFdqeA_4KMA_15_6"/>
      <w:bookmarkStart w:id="504" w:name="Tc_SQLuCYet2EWTURFiPX4bag_15_3"/>
      <w:bookmarkStart w:id="505" w:name="Tc_rldwoNLPtkajE5yVChpVGQ_15_0"/>
      <w:bookmarkStart w:id="506" w:name="Tc_9pM4qnFTqEyHs4va0V5j-Q_14_12"/>
      <w:bookmarkStart w:id="507" w:name="Tc_bj3Z4QpPHUeWNuZ19-0jlA_14_9"/>
      <w:bookmarkStart w:id="508" w:name="Tc_d7fqDjeIxUa8kRSVsdzATw_14_6"/>
      <w:bookmarkStart w:id="509" w:name="Tc_XOmGppZ33E-JJxT45fnfLg_14_3"/>
      <w:bookmarkStart w:id="510" w:name="Tc_RlqnzCCjS0eOFgwb3nbbhg_14_0"/>
      <w:bookmarkStart w:id="511" w:name="Tc__ZuAGr_E60uivrsYyD4hWg_13_15"/>
      <w:bookmarkStart w:id="512" w:name="Tc_p8hh_40xJEGEaDDlg6YJVw_13_9"/>
      <w:bookmarkStart w:id="513" w:name="Tc_x1Pa3Z1ryUeQvVBcxNHCyw_13_6"/>
      <w:bookmarkStart w:id="514" w:name="Tc_yLcjs5NdC06SCjnSfywHGw_13_3"/>
      <w:bookmarkStart w:id="515" w:name="Tc_YcrpjAzTwUSIAHtHuJxfBg_13_0"/>
      <w:bookmarkStart w:id="516" w:name="Tc_PQqP5dKXqkuwcFboIICFnQ_12_17"/>
      <w:bookmarkStart w:id="517" w:name="Tc_jvJkHTKX80qgdByCZmm2jQ_12_14"/>
      <w:bookmarkStart w:id="518" w:name="Tc_TuxlR69bWk6EFxCjIDbN7Q_12_11"/>
      <w:bookmarkStart w:id="519" w:name="Tc_QGyUBBBrYUitcRHmHFOK6Q_12_8"/>
      <w:bookmarkStart w:id="520" w:name="Tc_bZxlSD1X4EKRTq775-3neg_12_5"/>
      <w:bookmarkStart w:id="521" w:name="Tc_JYrqLujNrUWOSMX70ZzUkA_12_0"/>
      <w:bookmarkStart w:id="522" w:name="Tc_kVHhD1_YoUi97bFmH9eVkg_11_15"/>
      <w:bookmarkStart w:id="523" w:name="Tc_IzN6aTANukiN9furcDIZzQ_11_12"/>
      <w:bookmarkStart w:id="524" w:name="Tc_JtmnZVzIUU6NIUfD-yNAYw_11_6"/>
      <w:bookmarkStart w:id="525" w:name="Tc_1aMHpwg8tUW2sS-o4uX-Wg_11_3"/>
      <w:bookmarkStart w:id="526" w:name="Tc__L-85w6cIkKJJd_QQnpDfQ_11_0"/>
      <w:bookmarkStart w:id="527" w:name="Tc_daJG8xjSP0-q1zqTgrhXqg_10_15"/>
      <w:bookmarkStart w:id="528" w:name="Tc_2lRpQQw-xEGWKhsvqcu1ew_10_12"/>
      <w:bookmarkStart w:id="529" w:name="Tc_WIOFtZIvKE-ZxUX-6F5aPg_10_6"/>
      <w:bookmarkStart w:id="530" w:name="Tc_Zv2KIfj5ZEG01FbR3LrMHA_10_0"/>
      <w:bookmarkStart w:id="531" w:name="Tc_3If-ZZSPHEaqUSaxovIijA_9_12"/>
      <w:bookmarkStart w:id="532" w:name="Tc_y-AJlN7UK02Mhu0hMqVAVA_9_9"/>
      <w:bookmarkStart w:id="533" w:name="Tc_AcKJHWC0GUOOSMisTOj0gQ_9_6"/>
      <w:bookmarkStart w:id="534" w:name="Tc_oQehPWpDyk-RRRxoyV3aWw_9_3"/>
      <w:bookmarkStart w:id="535" w:name="Tc_McTOT47jLES5Gj2V8RgOKg_9_0"/>
      <w:bookmarkStart w:id="536" w:name="Tc_IKRvWQpWM0acpbVT-PedCw_8_12"/>
      <w:bookmarkStart w:id="537" w:name="Tc_oxaZKpXqfES7Jk8y4oWSkA_8_9"/>
      <w:bookmarkStart w:id="538" w:name="Tc_kVFanC-sm0mJPBC5fWMenw_8_6"/>
      <w:bookmarkStart w:id="539" w:name="Tc_OaWFJcqiGEOxhy2lXgUIKA_8_3"/>
      <w:bookmarkStart w:id="540" w:name="Tc_OpU3U-tkR0iNKcI5JjRS8Q_8_0"/>
      <w:bookmarkStart w:id="541" w:name="Tc_QQCJV_IHeE-670bd5Z0kaA_7_12"/>
      <w:bookmarkStart w:id="542" w:name="Tc_QuqDHfMX80OKaNxWvtQ0Hw_7_9"/>
      <w:bookmarkStart w:id="543" w:name="Tc_5rT_MKV490GMmO1opePzAw_7_6"/>
      <w:bookmarkStart w:id="544" w:name="Tc_BA499CyMqE-0eU7Vxv6Qgg_7_3"/>
      <w:bookmarkStart w:id="545" w:name="Tc_QNkmCeskCEKESSEexhscqQ_7_0"/>
      <w:bookmarkStart w:id="546" w:name="Tc_2dPnEXP-q0qRf4dxl6B4OA_6_15"/>
      <w:bookmarkStart w:id="547" w:name="Tc_X-LWQleMikObJ37RPar_Wg_6_9"/>
      <w:bookmarkStart w:id="548" w:name="Tc_rgvso8jskkWpjO6b86xSMQ_6_6"/>
      <w:bookmarkStart w:id="549" w:name="Tc_o_ykOXffwkC4rvyvP6SGyg_6_3"/>
      <w:bookmarkStart w:id="550" w:name="Tc_UVy-EBR650azYe5AkFVNXw_6_0"/>
      <w:bookmarkStart w:id="551" w:name="Tc_BdZv52FeSEqCJfWSIbUBJg_5_17"/>
      <w:bookmarkStart w:id="552" w:name="Tc_rUuoFinV4kOb0m_QWz__ZQ_5_14"/>
      <w:bookmarkStart w:id="553" w:name="Tc_FUnMSPtrEUCsitPoPmhQFQ_5_11"/>
      <w:bookmarkStart w:id="554" w:name="Tc_W3TIShEWkUChjH0d0lQ9aw_5_8"/>
      <w:bookmarkStart w:id="555" w:name="Tc_t-9gtRSmPkSRvdyjqg_umA_5_5"/>
      <w:bookmarkStart w:id="556" w:name="Tc_iZxIsTRELEeVwXwG0CwLuA_5_0"/>
      <w:bookmarkStart w:id="557" w:name="Tc_qqQEMWwwXESXxbohLGzG6Q_4_17"/>
      <w:bookmarkStart w:id="558" w:name="Tc_3C05kCv4gUiKHdFQVPD0ZQ_4_14"/>
      <w:bookmarkStart w:id="559" w:name="Tc_apmvj8QRwEWB1XzxUJusNA_4_11"/>
      <w:bookmarkStart w:id="560" w:name="Tc_gHK8qEtHLEW24ouFTib1Ng_4_8"/>
      <w:bookmarkStart w:id="561" w:name="Tc_h6leLcucOkmlYqPyDGBTpA_4_5"/>
      <w:bookmarkStart w:id="562" w:name="Tc_5RHiIM8YdEG3J3enkINnZA_4_3"/>
      <w:bookmarkStart w:id="563" w:name="Tc_bohCPdykmUCo0p5ntXp4dw_3_17"/>
      <w:bookmarkStart w:id="564" w:name="Tc_mpbwzsrQa0S0W3wYizkFKA_3_14"/>
      <w:bookmarkStart w:id="565" w:name="Tc_Xpj7dM5sB0aHZK42C9KVpg_3_11"/>
      <w:bookmarkStart w:id="566" w:name="Tc_wJhzFly3OUqzvS8exy-9vg_3_8"/>
      <w:bookmarkStart w:id="567" w:name="Tc_bYmpYnzHYUKS48ehfq17Kw_3_3"/>
      <w:bookmarkStart w:id="568" w:name="Tc_wkMglbftZEixT54dvWpveA_2_17"/>
      <w:bookmarkStart w:id="569" w:name="Tc_QU49MZGUik-ym071KjeBkA_2_14"/>
      <w:bookmarkStart w:id="570" w:name="Tc_NoxBMSBN3UWm9NoqZ6Drsw_2_8"/>
      <w:bookmarkStart w:id="571" w:name="Tc_C3L54XtgZ0qmok_vgKTDcA_1_14"/>
      <w:bookmarkStart w:id="572" w:name="_31f43722_1500_48af_8e5f_4e7b75ebd19e"/>
      <w:bookmarkStart w:id="573" w:name="Tc_W6rrZAcIPkq_Gjx1EVgMng_20_17"/>
      <w:bookmarkStart w:id="574" w:name="Tc_Zxl19n-760ClDBTQiGlYWA_20_14"/>
      <w:bookmarkStart w:id="575" w:name="Tc_mDl9lXwLUk-LLKaQnQhv0w_20_11"/>
      <w:bookmarkStart w:id="576" w:name="Tc_IKW3_USBdkCarBFwgM4MuQ_20_8"/>
      <w:bookmarkStart w:id="577" w:name="Tc_yD6CHncg7kS_sctS_BkHJg_20_5"/>
      <w:bookmarkStart w:id="578" w:name="Tc_Q5KcA3yOsUWqOOxa45yUlg_20_0"/>
      <w:bookmarkStart w:id="579" w:name="Tc_ABzP3n3QhEKE2vtea8XK_A_19_15"/>
      <w:bookmarkStart w:id="580" w:name="Tc_3rXHCBC7_EexYKfS9e10iQ_19_12"/>
      <w:bookmarkStart w:id="581" w:name="Tc_GQXDnP01KEeHMuWLGc-mig_19_6"/>
      <w:bookmarkStart w:id="582" w:name="Tc_yVz6S-U31kqZ6LIIX__oUA_19_3"/>
      <w:bookmarkStart w:id="583" w:name="Tc_51kaSWugvkioQJ88gsd2uQ_19_0"/>
      <w:bookmarkStart w:id="584" w:name="Tc_QIfOFj-VrUStFp3tZ6CQpQ_18_15"/>
      <w:bookmarkStart w:id="585" w:name="Tc_QLS0jICxN0WyvojAaNXFXQ_18_12"/>
      <w:bookmarkStart w:id="586" w:name="Tc_7Z7KU_ME8EqK12BebaHcMg_18_6"/>
      <w:bookmarkStart w:id="587" w:name="Tc_T9OMbKaWQkmLqR4VPeKu_w_18_3"/>
      <w:bookmarkStart w:id="588" w:name="Tc_aluq8BEwfESAb95_xOftLw_18_0"/>
      <w:bookmarkStart w:id="589" w:name="Tc_4z_a_H1C-EiO2SFeGb-YDg_17_15"/>
      <w:bookmarkStart w:id="590" w:name="Tc_bq08YoUUqEWXJs_uvLygrA_17_12"/>
      <w:bookmarkStart w:id="591" w:name="Tc_uNqzmUAICEqUDfR_ZHKZvw_17_6"/>
      <w:bookmarkStart w:id="592" w:name="Tc_TFTMX-CjLU6bXyBmc8hbkg_17_0"/>
      <w:bookmarkStart w:id="593" w:name="Tc_MfDdizjOGUiV7nIpICbzRQ_16_15"/>
      <w:bookmarkStart w:id="594" w:name="Tc_iffOXnwZLEuGbelXxBTvqw_16_12"/>
      <w:bookmarkStart w:id="595" w:name="Tc_bgQogPzkbE-PcuOLDfwqRw_16_6"/>
      <w:bookmarkStart w:id="596" w:name="Tc_0yLCmMShZkaZHf4nnmsLQg_16_0"/>
      <w:bookmarkStart w:id="597" w:name="Tc_mQG525rhr0CYQ95cT6fPaQ_15_12"/>
      <w:bookmarkStart w:id="598" w:name="Tc_oVH_Eugk7EeFSuJhpDnfNw_15_9"/>
      <w:bookmarkStart w:id="599" w:name="Tc_3yC6SXuPtkivFdqeA_4KMA_15_6"/>
      <w:bookmarkStart w:id="600" w:name="Tc_SQLuCYet2EWTURFiPX4bag_15_3"/>
      <w:bookmarkStart w:id="601" w:name="Tc_rldwoNLPtkajE5yVChpVGQ_15_0"/>
      <w:bookmarkStart w:id="602" w:name="Tc_9pM4qnFTqEyHs4va0V5j-Q_14_12"/>
      <w:bookmarkStart w:id="603" w:name="Tc_bj3Z4QpPHUeWNuZ19-0jlA_14_9"/>
      <w:bookmarkStart w:id="604" w:name="Tc_d7fqDjeIxUa8kRSVsdzATw_14_6"/>
      <w:bookmarkStart w:id="605" w:name="Tc_XOmGppZ33E-JJxT45fnfLg_14_3"/>
      <w:bookmarkStart w:id="606" w:name="Tc_RlqnzCCjS0eOFgwb3nbbhg_14_0"/>
      <w:bookmarkStart w:id="607" w:name="Tc__ZuAGr_E60uivrsYyD4hWg_13_15"/>
      <w:bookmarkStart w:id="608" w:name="Tc_p8hh_40xJEGEaDDlg6YJVw_13_9"/>
      <w:bookmarkStart w:id="609" w:name="Tc_x1Pa3Z1ryUeQvVBcxNHCyw_13_6"/>
      <w:bookmarkStart w:id="610" w:name="Tc_yLcjs5NdC06SCjnSfywHGw_13_3"/>
      <w:bookmarkStart w:id="611" w:name="Tc_YcrpjAzTwUSIAHtHuJxfBg_13_0"/>
      <w:bookmarkStart w:id="612" w:name="Tc_PQqP5dKXqkuwcFboIICFnQ_12_17"/>
      <w:bookmarkStart w:id="613" w:name="Tc_jvJkHTKX80qgdByCZmm2jQ_12_14"/>
      <w:bookmarkStart w:id="614" w:name="Tc_TuxlR69bWk6EFxCjIDbN7Q_12_11"/>
      <w:bookmarkStart w:id="615" w:name="Tc_QGyUBBBrYUitcRHmHFOK6Q_12_8"/>
      <w:bookmarkStart w:id="616" w:name="Tc_bZxlSD1X4EKRTq775-3neg_12_5"/>
      <w:bookmarkStart w:id="617" w:name="Tc_JYrqLujNrUWOSMX70ZzUkA_12_0"/>
      <w:bookmarkStart w:id="618" w:name="Tc_kVHhD1_YoUi97bFmH9eVkg_11_15"/>
      <w:bookmarkStart w:id="619" w:name="Tc_IzN6aTANukiN9furcDIZzQ_11_12"/>
      <w:bookmarkStart w:id="620" w:name="Tc_JtmnZVzIUU6NIUfD-yNAYw_11_6"/>
      <w:bookmarkStart w:id="621" w:name="Tc_1aMHpwg8tUW2sS-o4uX-Wg_11_3"/>
      <w:bookmarkStart w:id="622" w:name="Tc__L-85w6cIkKJJd_QQnpDfQ_11_0"/>
      <w:bookmarkStart w:id="623" w:name="Tc_daJG8xjSP0-q1zqTgrhXqg_10_15"/>
      <w:bookmarkStart w:id="624" w:name="Tc_2lRpQQw-xEGWKhsvqcu1ew_10_12"/>
      <w:bookmarkStart w:id="625" w:name="Tc_WIOFtZIvKE-ZxUX-6F5aPg_10_6"/>
      <w:bookmarkStart w:id="626" w:name="Tc_Zv2KIfj5ZEG01FbR3LrMHA_10_0"/>
      <w:bookmarkStart w:id="627" w:name="Tc_3If-ZZSPHEaqUSaxovIijA_9_12"/>
      <w:bookmarkStart w:id="628" w:name="Tc_y-AJlN7UK02Mhu0hMqVAVA_9_9"/>
      <w:bookmarkStart w:id="629" w:name="Tc_AcKJHWC0GUOOSMisTOj0gQ_9_6"/>
      <w:bookmarkStart w:id="630" w:name="Tc_oQehPWpDyk-RRRxoyV3aWw_9_3"/>
      <w:bookmarkStart w:id="631" w:name="Tc_McTOT47jLES5Gj2V8RgOKg_9_0"/>
      <w:bookmarkStart w:id="632" w:name="Tc_IKRvWQpWM0acpbVT-PedCw_8_12"/>
      <w:bookmarkStart w:id="633" w:name="Tc_oxaZKpXqfES7Jk8y4oWSkA_8_9"/>
      <w:bookmarkStart w:id="634" w:name="Tc_kVFanC-sm0mJPBC5fWMenw_8_6"/>
      <w:bookmarkStart w:id="635" w:name="Tc_OaWFJcqiGEOxhy2lXgUIKA_8_3"/>
      <w:bookmarkStart w:id="636" w:name="Tc_OpU3U-tkR0iNKcI5JjRS8Q_8_0"/>
      <w:bookmarkStart w:id="637" w:name="Tc_QQCJV_IHeE-670bd5Z0kaA_7_12"/>
      <w:bookmarkStart w:id="638" w:name="Tc_QuqDHfMX80OKaNxWvtQ0Hw_7_9"/>
      <w:bookmarkStart w:id="639" w:name="Tc_5rT_MKV490GMmO1opePzAw_7_6"/>
      <w:bookmarkStart w:id="640" w:name="Tc_BA499CyMqE-0eU7Vxv6Qgg_7_3"/>
      <w:bookmarkStart w:id="641" w:name="Tc_QNkmCeskCEKESSEexhscqQ_7_0"/>
      <w:bookmarkStart w:id="642" w:name="Tc_2dPnEXP-q0qRf4dxl6B4OA_6_15"/>
      <w:bookmarkStart w:id="643" w:name="Tc_X-LWQleMikObJ37RPar_Wg_6_9"/>
      <w:bookmarkStart w:id="644" w:name="Tc_rgvso8jskkWpjO6b86xSMQ_6_6"/>
      <w:bookmarkStart w:id="645" w:name="Tc_o_ykOXffwkC4rvyvP6SGyg_6_3"/>
      <w:bookmarkStart w:id="646" w:name="Tc_UVy-EBR650azYe5AkFVNXw_6_0"/>
      <w:bookmarkStart w:id="647" w:name="Tc_BdZv52FeSEqCJfWSIbUBJg_5_17"/>
      <w:bookmarkStart w:id="648" w:name="Tc_rUuoFinV4kOb0m_QWz__ZQ_5_14"/>
      <w:bookmarkStart w:id="649" w:name="Tc_FUnMSPtrEUCsitPoPmhQFQ_5_11"/>
      <w:bookmarkStart w:id="650" w:name="Tc_W3TIShEWkUChjH0d0lQ9aw_5_8"/>
      <w:bookmarkStart w:id="651" w:name="Tc_t-9gtRSmPkSRvdyjqg_umA_5_5"/>
      <w:bookmarkStart w:id="652" w:name="Tc_iZxIsTRELEeVwXwG0CwLuA_5_0"/>
      <w:bookmarkStart w:id="653" w:name="Tc_qqQEMWwwXESXxbohLGzG6Q_4_17"/>
      <w:bookmarkStart w:id="654" w:name="Tc_3C05kCv4gUiKHdFQVPD0ZQ_4_14"/>
      <w:bookmarkStart w:id="655" w:name="Tc_apmvj8QRwEWB1XzxUJusNA_4_11"/>
      <w:bookmarkStart w:id="656" w:name="Tc_gHK8qEtHLEW24ouFTib1Ng_4_8"/>
      <w:bookmarkStart w:id="657" w:name="Tc_h6leLcucOkmlYqPyDGBTpA_4_5"/>
      <w:bookmarkStart w:id="658" w:name="Tc_5RHiIM8YdEG3J3enkINnZA_4_3"/>
      <w:bookmarkStart w:id="659" w:name="Tc_bohCPdykmUCo0p5ntXp4dw_3_17"/>
      <w:bookmarkStart w:id="660" w:name="Tc_mpbwzsrQa0S0W3wYizkFKA_3_14"/>
      <w:bookmarkStart w:id="661" w:name="Tc_Xpj7dM5sB0aHZK42C9KVpg_3_11"/>
      <w:bookmarkStart w:id="662" w:name="Tc_wJhzFly3OUqzvS8exy-9vg_3_8"/>
      <w:bookmarkStart w:id="663" w:name="Tc_bYmpYnzHYUKS48ehfq17Kw_3_3"/>
      <w:bookmarkStart w:id="664" w:name="Tc_wkMglbftZEixT54dvWpveA_2_17"/>
      <w:bookmarkStart w:id="665" w:name="Tc_QU49MZGUik-ym071KjeBkA_2_14"/>
      <w:bookmarkStart w:id="666" w:name="Tc_NoxBMSBN3UWm9NoqZ6Drsw_2_8"/>
      <w:bookmarkStart w:id="667" w:name="Tc_C3L54XtgZ0qmok_vgKTDcA_1_14"/>
      <w:bookmarkStart w:id="668" w:name="_31f43722_1500_48af_8e5f_4e7b75ebd19e"/>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tbl>
      <w:tblPr>
        <w:tblW w:w="10205" w:type="dxa"/>
        <w:jc w:val="left"/>
        <w:tblInd w:w="0" w:type="dxa"/>
        <w:tblLayout w:type="fixed"/>
        <w:tblCellMar>
          <w:top w:w="0" w:type="dxa"/>
          <w:left w:w="0" w:type="dxa"/>
          <w:bottom w:w="0" w:type="dxa"/>
          <w:right w:w="0" w:type="dxa"/>
        </w:tblCellMar>
      </w:tblPr>
      <w:tblGrid>
        <w:gridCol w:w="2606"/>
        <w:gridCol w:w="346"/>
        <w:gridCol w:w="109"/>
        <w:gridCol w:w="601"/>
        <w:gridCol w:w="346"/>
        <w:gridCol w:w="249"/>
        <w:gridCol w:w="442"/>
        <w:gridCol w:w="346"/>
        <w:gridCol w:w="196"/>
        <w:gridCol w:w="691"/>
        <w:gridCol w:w="346"/>
        <w:gridCol w:w="196"/>
        <w:gridCol w:w="691"/>
        <w:gridCol w:w="346"/>
        <w:gridCol w:w="310"/>
        <w:gridCol w:w="906"/>
        <w:gridCol w:w="346"/>
        <w:gridCol w:w="196"/>
        <w:gridCol w:w="936"/>
      </w:tblGrid>
      <w:tr>
        <w:trPr/>
        <w:tc>
          <w:tcPr>
            <w:tcW w:w="2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54810" cy="175260"/>
                      <wp:effectExtent l="0" t="0" r="0" b="0"/>
                      <wp:wrapNone/>
                      <wp:docPr id="58" name="Frame58"/>
                      <a:graphic xmlns:a="http://schemas.openxmlformats.org/drawingml/2006/main">
                        <a:graphicData uri="http://schemas.microsoft.com/office/word/2010/wordprocessingShape">
                          <wps:wsp>
                            <wps:cNvSpPr txBox="1"/>
                            <wps:spPr>
                              <a:xfrm>
                                <a:off x="0" y="0"/>
                                <a:ext cx="165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81635" cy="175260"/>
                      <wp:effectExtent l="0" t="0" r="0" b="0"/>
                      <wp:wrapNone/>
                      <wp:docPr id="61" name="Frame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8115" cy="175260"/>
                      <wp:effectExtent l="0" t="0" r="0" b="0"/>
                      <wp:wrapNone/>
                      <wp:docPr id="63" name="Frame6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80670" cy="175260"/>
                      <wp:effectExtent l="0" t="0" r="0" b="0"/>
                      <wp:wrapNone/>
                      <wp:docPr id="64" name="Frame6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785" cy="175260"/>
                      <wp:effectExtent l="0" t="0" r="0" b="0"/>
                      <wp:wrapNone/>
                      <wp:docPr id="70" name="Frame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6850" cy="175260"/>
                      <wp:effectExtent l="0" t="0" r="0" b="0"/>
                      <wp:wrapNone/>
                      <wp:docPr id="72" name="Frame7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5310" cy="175260"/>
                      <wp:effectExtent l="0" t="0" r="0" b="0"/>
                      <wp:wrapNone/>
                      <wp:docPr id="73" name="Frame7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4360" cy="175260"/>
                      <wp:effectExtent l="0" t="0" r="0" b="0"/>
                      <wp:wrapNone/>
                      <wp:docPr id="76" name="Frame76"/>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center"/>
              <w:rPr/>
            </w:pPr>
            <w:r>
              <w:rPr/>
              <w:t>​</w:t>
            </w:r>
          </w:p>
        </w:tc>
      </w:tr>
      <w:tr>
        <w:trPr/>
        <w:tc>
          <w:tcPr>
            <w:tcW w:w="2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30,717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533,309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503,539</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1,034,677</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9,214</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9,214</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pension obligation</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4,899</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March 31, 2026</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30,733</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537,185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512,753</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1,044,643</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23,291</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23,291</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gains (losses) on available-for-sale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stock under Employee Stock Purchase Plan</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(8,516)</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6,425</w:t>
            </w:r>
          </w:p>
        </w:tc>
      </w:tr>
      <w:tr>
        <w:trPr/>
        <w:tc>
          <w:tcPr>
            <w:tcW w:w="2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 excise tax</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r>
      <w:tr>
        <w:trPr/>
        <w:tc>
          <w:tcPr>
            <w:tcW w:w="2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2026</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30,881</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536,152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536,044</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1,065,821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9" w:name="_c4a78970_4c1f_41d6_809d_f001bcd42cc5"/>
      <w:bookmarkEnd w:id="669"/>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670" w:name="ConsolidatedStatementsofCashFlows_699712"/>
      <w:bookmarkEnd w:id="670"/>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71" w:name="Tc_-wJo5lLR0EKXfxm4KblB6A_42_5"/>
      <w:bookmarkStart w:id="672" w:name="Tc_B3URvh1EMkSq3WIsj___gQ_42_2"/>
      <w:bookmarkStart w:id="673" w:name="Tc_JlJtw_brkES_x1pyoZhVOQ_42_0"/>
      <w:bookmarkStart w:id="674" w:name="Tc_9C0TIoZygkOF8vcB2jh55Q_41_0"/>
      <w:bookmarkStart w:id="675" w:name="Tc_RnPffLe2pkK9Uoiag8xLiA_39_0"/>
      <w:bookmarkStart w:id="676" w:name="Tc_XleDgQWfQ0iCcsyjuQ5Abg_38_0"/>
      <w:bookmarkStart w:id="677" w:name="Tc_EpVpo9WO4kCWYQljTS0liw_36_0"/>
      <w:bookmarkStart w:id="678" w:name="Tc_zFXA3c7ER0yUUitgLjbfRQ_35_0"/>
      <w:bookmarkStart w:id="679" w:name="Tc_ptG98-dK1kKBNkcn_Zq3iw_34_0"/>
      <w:bookmarkStart w:id="680" w:name="Tc_s3T-taUhTEufpU9wTnWy_A_33_0"/>
      <w:bookmarkStart w:id="681" w:name="Tc_2fO5g-2eY0CnKlTDh_K6Mw_32_0"/>
      <w:bookmarkStart w:id="682" w:name="Tc_KeGZgPbDkUe8Fb6yLxdxyA_31_0"/>
      <w:bookmarkStart w:id="683" w:name="Tc_9W3WV_AwaEqA18S0v3gW-g_29_0"/>
      <w:bookmarkStart w:id="684" w:name="Tc_vmgo1SRJX0yjrHs3wE0Tfw_28_0"/>
      <w:bookmarkStart w:id="685" w:name="Tc_a5R1DqqAykaQkpdvzCJKyg_27_0"/>
      <w:bookmarkStart w:id="686" w:name="Tc_8vzICVI9QE2__sx4xGhl-A_26_0"/>
      <w:bookmarkStart w:id="687" w:name="Tc_NaoY8QE3CEOlsioS6pqq_A_25_0"/>
      <w:bookmarkStart w:id="688" w:name="Tc_CzKhZBFLq0q_uYU4KQMquw_23_0"/>
      <w:bookmarkStart w:id="689" w:name="Tc_kUHg9Pm0ME29GFsBE-Xexw_22_0"/>
      <w:bookmarkStart w:id="690" w:name="Tc_6dHgICm8a0yjjq50HCY8KQ_21_0"/>
      <w:bookmarkStart w:id="691" w:name="Tc_iySajXo-AkKW7mStyCoFzA_20_0"/>
      <w:bookmarkStart w:id="692" w:name="Tc_0yVd983w50aua-x37iW6hw_19_0"/>
      <w:bookmarkStart w:id="693" w:name="Tc_8gonuDu7Lk64W-ZkPWfCqQ_18_0"/>
      <w:bookmarkStart w:id="694" w:name="Tc_35AI92glKk6HtJr8cI3noA_17_0"/>
      <w:bookmarkStart w:id="695" w:name="Tc_iPth8WUaTkewRY2o0OmKXw_16_0"/>
      <w:bookmarkStart w:id="696" w:name="Tc_3A886amVHUOF0Wx-PrKkDw_15_0"/>
      <w:bookmarkStart w:id="697" w:name="Tc_ND7w8kwnJ0iLU4aEKj7Mwg_14_0"/>
      <w:bookmarkStart w:id="698" w:name="Tc_9pWUdEBNN0GBnbMKoHhfQg_13_0"/>
      <w:bookmarkStart w:id="699" w:name="Tc_FUl7df7DEU-i0t0QYxCUCA_12_0"/>
      <w:bookmarkStart w:id="700" w:name="Tc_Vedfsjqvt0aOUeUkRXJnzQ_11_0"/>
      <w:bookmarkStart w:id="701" w:name="Tc_crHmAdAy6UGobkW3S0urOA_10_6"/>
      <w:bookmarkStart w:id="702" w:name="Tc_0Gyni-kQikeY7kvCVmfmMA_10_0"/>
      <w:bookmarkStart w:id="703" w:name="Tc_as1a9UWpEEK_8UWJsqbJ7A_9_0"/>
      <w:bookmarkStart w:id="704" w:name="Tc_qYDRdZvnTkC28HnbT-1wKA_8_0"/>
      <w:bookmarkStart w:id="705" w:name="Tc_ncg2XR-Yp06oX0PQu70H-Q_7_0"/>
      <w:bookmarkStart w:id="706" w:name="Tc_cW9CMerGq0-ptSnzZFiN5g_6_0"/>
      <w:bookmarkStart w:id="707" w:name="Tc_lEqxBsnaVEWC3wvGL4-2Mw_5_5"/>
      <w:bookmarkStart w:id="708" w:name="Tc_KLQRCKFth0-P1ztH5vRu1w_5_2"/>
      <w:bookmarkStart w:id="709" w:name="Tc_4BQ1TlpupEW4-gNLYdSghg_5_0"/>
      <w:bookmarkStart w:id="710" w:name="Tc_9XCKCxiNK0-1sQkR-FCyGA_4_0"/>
      <w:bookmarkStart w:id="711" w:name="Tc_Js4OFlN6RkOlo_y3uYQBfA_3_5"/>
      <w:bookmarkStart w:id="712" w:name="Tc_AjYR7BXtBkya9OjKsMDFhg_3_2"/>
      <w:bookmarkStart w:id="713" w:name="Tc_cAJ9Ex5TAkejpGIRiDTJDA_2_2"/>
      <w:bookmarkStart w:id="714" w:name="Tc_UbyvR7AlR0ywKM5Vg7hkEQ_1_2"/>
      <w:bookmarkStart w:id="715" w:name="_6fd0c57d_fe5e_4340_bc7e_11cc65357b31"/>
      <w:bookmarkStart w:id="716" w:name="Tc_-wJo5lLR0EKXfxm4KblB6A_42_5"/>
      <w:bookmarkStart w:id="717" w:name="Tc_B3URvh1EMkSq3WIsj___gQ_42_2"/>
      <w:bookmarkStart w:id="718" w:name="Tc_JlJtw_brkES_x1pyoZhVOQ_42_0"/>
      <w:bookmarkStart w:id="719" w:name="Tc_9C0TIoZygkOF8vcB2jh55Q_41_0"/>
      <w:bookmarkStart w:id="720" w:name="Tc_RnPffLe2pkK9Uoiag8xLiA_39_0"/>
      <w:bookmarkStart w:id="721" w:name="Tc_XleDgQWfQ0iCcsyjuQ5Abg_38_0"/>
      <w:bookmarkStart w:id="722" w:name="Tc_EpVpo9WO4kCWYQljTS0liw_36_0"/>
      <w:bookmarkStart w:id="723" w:name="Tc_zFXA3c7ER0yUUitgLjbfRQ_35_0"/>
      <w:bookmarkStart w:id="724" w:name="Tc_ptG98-dK1kKBNkcn_Zq3iw_34_0"/>
      <w:bookmarkStart w:id="725" w:name="Tc_s3T-taUhTEufpU9wTnWy_A_33_0"/>
      <w:bookmarkStart w:id="726" w:name="Tc_2fO5g-2eY0CnKlTDh_K6Mw_32_0"/>
      <w:bookmarkStart w:id="727" w:name="Tc_KeGZgPbDkUe8Fb6yLxdxyA_31_0"/>
      <w:bookmarkStart w:id="728" w:name="Tc_9W3WV_AwaEqA18S0v3gW-g_29_0"/>
      <w:bookmarkStart w:id="729" w:name="Tc_vmgo1SRJX0yjrHs3wE0Tfw_28_0"/>
      <w:bookmarkStart w:id="730" w:name="Tc_a5R1DqqAykaQkpdvzCJKyg_27_0"/>
      <w:bookmarkStart w:id="731" w:name="Tc_8vzICVI9QE2__sx4xGhl-A_26_0"/>
      <w:bookmarkStart w:id="732" w:name="Tc_NaoY8QE3CEOlsioS6pqq_A_25_0"/>
      <w:bookmarkStart w:id="733" w:name="Tc_CzKhZBFLq0q_uYU4KQMquw_23_0"/>
      <w:bookmarkStart w:id="734" w:name="Tc_kUHg9Pm0ME29GFsBE-Xexw_22_0"/>
      <w:bookmarkStart w:id="735" w:name="Tc_6dHgICm8a0yjjq50HCY8KQ_21_0"/>
      <w:bookmarkStart w:id="736" w:name="Tc_iySajXo-AkKW7mStyCoFzA_20_0"/>
      <w:bookmarkStart w:id="737" w:name="Tc_0yVd983w50aua-x37iW6hw_19_0"/>
      <w:bookmarkStart w:id="738" w:name="Tc_8gonuDu7Lk64W-ZkPWfCqQ_18_0"/>
      <w:bookmarkStart w:id="739" w:name="Tc_35AI92glKk6HtJr8cI3noA_17_0"/>
      <w:bookmarkStart w:id="740" w:name="Tc_iPth8WUaTkewRY2o0OmKXw_16_0"/>
      <w:bookmarkStart w:id="741" w:name="Tc_3A886amVHUOF0Wx-PrKkDw_15_0"/>
      <w:bookmarkStart w:id="742" w:name="Tc_ND7w8kwnJ0iLU4aEKj7Mwg_14_0"/>
      <w:bookmarkStart w:id="743" w:name="Tc_9pWUdEBNN0GBnbMKoHhfQg_13_0"/>
      <w:bookmarkStart w:id="744" w:name="Tc_FUl7df7DEU-i0t0QYxCUCA_12_0"/>
      <w:bookmarkStart w:id="745" w:name="Tc_Vedfsjqvt0aOUeUkRXJnzQ_11_0"/>
      <w:bookmarkStart w:id="746" w:name="Tc_crHmAdAy6UGobkW3S0urOA_10_6"/>
      <w:bookmarkStart w:id="747" w:name="Tc_0Gyni-kQikeY7kvCVmfmMA_10_0"/>
      <w:bookmarkStart w:id="748" w:name="Tc_as1a9UWpEEK_8UWJsqbJ7A_9_0"/>
      <w:bookmarkStart w:id="749" w:name="Tc_qYDRdZvnTkC28HnbT-1wKA_8_0"/>
      <w:bookmarkStart w:id="750" w:name="Tc_ncg2XR-Yp06oX0PQu70H-Q_7_0"/>
      <w:bookmarkStart w:id="751" w:name="Tc_cW9CMerGq0-ptSnzZFiN5g_6_0"/>
      <w:bookmarkStart w:id="752" w:name="Tc_lEqxBsnaVEWC3wvGL4-2Mw_5_5"/>
      <w:bookmarkStart w:id="753" w:name="Tc_KLQRCKFth0-P1ztH5vRu1w_5_2"/>
      <w:bookmarkStart w:id="754" w:name="Tc_4BQ1TlpupEW4-gNLYdSghg_5_0"/>
      <w:bookmarkStart w:id="755" w:name="Tc_9XCKCxiNK0-1sQkR-FCyGA_4_0"/>
      <w:bookmarkStart w:id="756" w:name="Tc_Js4OFlN6RkOlo_y3uYQBfA_3_5"/>
      <w:bookmarkStart w:id="757" w:name="Tc_AjYR7BXtBkya9OjKsMDFhg_3_2"/>
      <w:bookmarkStart w:id="758" w:name="Tc_cAJ9Ex5TAkejpGIRiDTJDA_2_2"/>
      <w:bookmarkStart w:id="759" w:name="Tc_UbyvR7AlR0ywKM5Vg7hkEQ_1_2"/>
      <w:bookmarkStart w:id="760" w:name="_6fd0c57d_fe5e_4340_bc7e_11cc65357b31"/>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tbl>
      <w:tblPr>
        <w:tblW w:w="8888" w:type="dxa"/>
        <w:jc w:val="left"/>
        <w:tblInd w:w="0" w:type="dxa"/>
        <w:tblLayout w:type="fixed"/>
        <w:tblCellMar>
          <w:top w:w="0" w:type="dxa"/>
          <w:left w:w="0" w:type="dxa"/>
          <w:bottom w:w="0" w:type="dxa"/>
          <w:right w:w="0" w:type="dxa"/>
        </w:tblCellMar>
      </w:tblPr>
      <w:tblGrid>
        <w:gridCol w:w="5791"/>
        <w:gridCol w:w="346"/>
        <w:gridCol w:w="196"/>
        <w:gridCol w:w="811"/>
        <w:gridCol w:w="346"/>
        <w:gridCol w:w="196"/>
        <w:gridCol w:w="811"/>
        <w:gridCol w:w="391"/>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77285" cy="175260"/>
                      <wp:effectExtent l="0" t="0" r="0" b="0"/>
                      <wp:wrapNone/>
                      <wp:docPr id="77" name="Frame77"/>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14985" cy="175260"/>
                      <wp:effectExtent l="0" t="0" r="0" b="0"/>
                      <wp:wrapNone/>
                      <wp:docPr id="83" name="Frame8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8285" cy="175260"/>
                      <wp:effectExtent l="0" t="0" r="0" b="0"/>
                      <wp:wrapNone/>
                      <wp:docPr id="84" name="Frame8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c>
          <w:tcPr>
            <w:tcW w:w="391" w:type="dxa"/>
            <w:tcBorders/>
            <w:vAlign w:val="center"/>
          </w:tcPr>
          <w:p>
            <w:pPr>
              <w:pStyle w:val="TableContents"/>
              <w:bidi w:val="0"/>
              <w:spacing w:before="0" w:after="0"/>
              <w:ind w:left="0" w:right="0" w:hanging="0"/>
              <w:jc w:val="center"/>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June 30, </w:t>
            </w:r>
          </w:p>
        </w:tc>
        <w:tc>
          <w:tcPr>
            <w:tcW w:w="391" w:type="dxa"/>
            <w:tcBorders/>
            <w:vAlign w:val="center"/>
          </w:tcPr>
          <w:p>
            <w:pPr>
              <w:pStyle w:val="TableContents"/>
              <w:bidi w:val="0"/>
              <w:spacing w:before="0" w:after="0"/>
              <w:ind w:left="0" w:right="0" w:hanging="0"/>
              <w:jc w:val="center"/>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59,955</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8,824</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10,324</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doubtful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excess and obsolete inventory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1,742</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discounts and premiums on short-term and 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currency loss (gain) on foreign denominated transactions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(6,807)</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Mark-to-market adjustment on forward exchange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67,459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(16,760)</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(28,343)</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(9,581)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1,966</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79,522</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Expenditures for property, plant and equipment and 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short-term and long-term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(223,249)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(345,174)</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Maturities and sales of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387,975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35,856</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settlement on restricted stock grants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(63,515)</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Employee Stock Purchase Plan 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 obligation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(67,097)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50,216</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156,078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131,064</w:t>
            </w:r>
          </w:p>
        </w:tc>
        <w:tc>
          <w:tcPr>
            <w:tcW w:w="391"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165,629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181,280</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61" w:name="_55cbd8ee_5d36_4f77_a126_be9ab8fb0723"/>
      <w:bookmarkEnd w:id="761"/>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762" w:name="NotestoConsolidatedFinancialStatementsUn"/>
      <w:bookmarkEnd w:id="762"/>
      <w:r>
        <w:rPr>
          <w:rFonts w:ascii="Times New Roman;Times;serif" w:hAnsi="Times New Roman;Times;serif"/>
          <w:b/>
          <w:sz w:val="20"/>
        </w:rPr>
        <w:t>Notes to Consolidated Financial Statements (Unaudited)</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  Nature of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balance sheet at December 31, 2025 has been derived from the audited consolidated financial statements at that date but does not include all the information and footnotes required by generally accepted accounting principles for complete financial statements. As of June 30, 2026, there have been no material changes in the Company’s significant accounting policies. For further information, refer to the consolidated financial statements and footnotes thereto included in the Company’s Annual Report on Form 10-K for the year ended December 31, 2025 (the “2025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  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the Axcelis Technologies, Inc. 2012 Equity Incentive Plan, as amended (the “2012 Equity Plan”), which permits the issuance of options, restricted stock, restricted stock units (“RSUs”) and performance awards to selected employees, directors, and consultants of the Company.</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2012 Equity Plan is more fully described in Note 13 to the consolidated financial statements in our 2025 Form 10-K.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Beginning in May 2026, certain stock-based awards granted to executive management have market-based performance measures and are valued using the Monte-Carlo simulation valuation method with cliff vesting at the end of a performance period of three years.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recognized stock-based compensation expense of $6.4 million and $5.4 million for the three-month periods ended June 30, 2026 and 2025, respectively. These amounts include compensation expense related to RSUs. We recognized stock-based compensation expense of $11.3 million and $10.3 million for the six-month periods ended June 30, 2026 and 2025, respectively. These amounts include compensation expense related to RSUs and stock issued to participants under the 2020 Employee Stock Purchase Plan (the “2020 ESPP”).</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both of the three-month periods ended June 30, 2026 and 2025, we issued 0.1 million shares of common stock upon vesting of RSUs granted under the 2012 Equity Plan and purchases under the 2020 ESPP. In the three-month periods ended June 30, 2026 and 2025, we received proceeds of $1.3 million and $1.2 million, respectively, in connection with purchases under the 2020 ESPP.</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both of the six-month periods ended June 30, 2026 and 2025, we issued 0.2 million shares of common stock upon vesting of RSUs granted under the 2012 Equity Plan and purchases under the 2020 ESPP. In the six-month periods ended June 30, 2026 and 2025, we received proceeds of $1.3 million and $1.2 million, respectively, in connection with purchases under the 2020 ESPP.</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3.  Leases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operating leases for manufacturing, office space, warehouse space, computer and office equipment and vehicles used in our business operations. We have a finance lease in relation to the 2015 sale-leaseback of our corporate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63" w:name="Tc_zur8W-UJcUaX8ePbOmsJlw_14_6"/>
      <w:bookmarkStart w:id="764" w:name="Tc_imeQuiaCckObYsmq8qmQrw_14_3"/>
      <w:bookmarkStart w:id="765" w:name="Tc_YAGrhWRkT0Opiz2IVjZRpw_13_1"/>
      <w:bookmarkStart w:id="766" w:name="Tc_efJXoeu7H0OjXZhdjVV9jg_12_1"/>
      <w:bookmarkStart w:id="767" w:name="Tc_-u6DpFNSy0ukPfA6t2sdFw_11_0"/>
      <w:bookmarkStart w:id="768" w:name="Tc_E0ce5bklGEKn35yL57cZcQ_10_1"/>
      <w:bookmarkStart w:id="769" w:name="Tc_RxvqPg4ovE2oieVGaQUPog_9_6"/>
      <w:bookmarkStart w:id="770" w:name="Tc_BdeedyLCm0-aZcSOMl66kA_9_3"/>
      <w:bookmarkStart w:id="771" w:name="Tc_2_m5hodDw0Oip5p8YDrnmw_9_1"/>
      <w:bookmarkStart w:id="772" w:name="Tc_LzkGd5di806BGDfQO61Kzw_8_0"/>
      <w:bookmarkStart w:id="773" w:name="Tc_zd8hLaGJpUq29jYzdt_OZQ_7_0"/>
      <w:bookmarkStart w:id="774" w:name="Tc_--XQJzTdRUOjzyFkW0elmA_6_6"/>
      <w:bookmarkStart w:id="775" w:name="Tc_fvzGFPUwdkKDCxkFQ8-WpA_6_3"/>
      <w:bookmarkStart w:id="776" w:name="Tc_AbIuXMJrv0KNKuB8KlAzOw_6_0"/>
      <w:bookmarkStart w:id="777" w:name="Tc_JhpUivcTT0Cd4kQpvrFjDw_5_1"/>
      <w:bookmarkStart w:id="778" w:name="Tc_nEvsAA6iv0aXSfqAE16XyA_4_6"/>
      <w:bookmarkStart w:id="779" w:name="Tc_Y10SFZXz9U64LwNdhD0Sug_4_3"/>
      <w:bookmarkStart w:id="780" w:name="Tc_JmZJ8LOOpkSGBXh4VSv2ow_4_1"/>
      <w:bookmarkStart w:id="781" w:name="Tc_62WLNB7Z1UaLf1PY3NRuqQ_3_3"/>
      <w:bookmarkStart w:id="782" w:name="Tc_XuEutZKiEU6L6EQNKdfRcQ_3_0"/>
      <w:bookmarkStart w:id="783" w:name="Tc_Ik9bkxAuwUiLyChy8eGWCw_2_6"/>
      <w:bookmarkStart w:id="784" w:name="Tc_EIRqqNXQw0ODUF-p25NBbQ_2_3"/>
      <w:bookmarkStart w:id="785" w:name="Tc_0rEz8RydS06kvfb0ULNxqA_2_1"/>
      <w:bookmarkStart w:id="786" w:name="Tc_rcOGsGkcx0WYBonISr8Dgg_2_0"/>
      <w:bookmarkStart w:id="787" w:name="Tc_q5-S2FRUG0SUhxIki_Oa7w_1_6"/>
      <w:bookmarkStart w:id="788" w:name="Tc_mEtTumMtVkyTcPBPmAqEqw_1_3"/>
      <w:bookmarkStart w:id="789" w:name="_ff1ac497_0f64_4fa8_962b_fa5e971c988d"/>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Times New Roman;Times;serif" w:hAnsi="Times New Roman;Times;serif"/>
          <w:sz w:val="20"/>
        </w:rPr>
        <w:t xml:space="preserve">headquarters in Beverly, Massachusetts. We review all agreements to determine if the agreement contains a lease component. An agreement contains a lease component if it provides for the use of a specific physical space or a specific physical item.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 operating lease obligations under Accounting Standards Codification Topic 842, </w:t>
      </w:r>
      <w:r>
        <w:rPr>
          <w:rFonts w:ascii="Times New Roman;Times;serif" w:hAnsi="Times New Roman;Times;serif"/>
          <w:i/>
          <w:sz w:val="20"/>
        </w:rPr>
        <w:t>Leases</w:t>
      </w:r>
      <w:r>
        <w:rPr>
          <w:rFonts w:ascii="Times New Roman;Times;serif" w:hAnsi="Times New Roman;Times;serif"/>
          <w:sz w:val="20"/>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w:t>
      </w:r>
      <w:r>
        <w:rPr>
          <w:rFonts w:ascii="Times New Roman;Times;serif" w:hAnsi="Times New Roman;Times;serif"/>
          <w:b w:val="false"/>
          <w:i w:val="false"/>
          <w:caps w:val="false"/>
          <w:smallCaps w:val="false"/>
          <w:sz w:val="20"/>
        </w:rPr>
        <w:t>options to renew</w:t>
      </w:r>
      <w:r>
        <w:rPr>
          <w:rFonts w:ascii="Times New Roman;Times;serif" w:hAnsi="Times New Roman;Times;serif"/>
          <w:sz w:val="20"/>
        </w:rPr>
        <w:t xml:space="preserve">, with renewal terms that can extend the respective lease term by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7235" w:type="dxa"/>
        <w:jc w:val="left"/>
        <w:tblInd w:w="0" w:type="dxa"/>
        <w:tblLayout w:type="fixed"/>
        <w:tblCellMar>
          <w:top w:w="0" w:type="dxa"/>
          <w:left w:w="0" w:type="dxa"/>
          <w:bottom w:w="0" w:type="dxa"/>
          <w:right w:w="0" w:type="dxa"/>
        </w:tblCellMar>
      </w:tblPr>
      <w:tblGrid>
        <w:gridCol w:w="1591"/>
        <w:gridCol w:w="3061"/>
        <w:gridCol w:w="346"/>
        <w:gridCol w:w="196"/>
        <w:gridCol w:w="601"/>
        <w:gridCol w:w="109"/>
        <w:gridCol w:w="280"/>
        <w:gridCol w:w="860"/>
        <w:gridCol w:w="19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010285" cy="175260"/>
                      <wp:effectExtent l="0" t="0" r="0" b="0"/>
                      <wp:wrapNone/>
                      <wp:docPr id="85" name="Frame8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43735" cy="175260"/>
                      <wp:effectExtent l="0" t="0" r="0" b="0"/>
                      <wp:wrapNone/>
                      <wp:docPr id="86" name="Frame86"/>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81635" cy="175260"/>
                      <wp:effectExtent l="0" t="0" r="0" b="0"/>
                      <wp:wrapNone/>
                      <wp:docPr id="89" name="Frame8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7800" cy="175260"/>
                      <wp:effectExtent l="0" t="0" r="0" b="0"/>
                      <wp:wrapNone/>
                      <wp:docPr id="91" name="Frame9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46100" cy="175260"/>
                      <wp:effectExtent l="0" t="0" r="0" b="0"/>
                      <wp:wrapNone/>
                      <wp:docPr id="92" name="Frame92"/>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1285" cy="175260"/>
                      <wp:effectExtent l="0" t="0" r="0" b="0"/>
                      <wp:wrapNone/>
                      <wp:docPr id="93" name="Frame9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15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723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leases</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27,568</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28,927</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Finance lease</w:t>
            </w:r>
          </w:p>
        </w:tc>
        <w:tc>
          <w:tcPr>
            <w:tcW w:w="30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13,516</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14,154</w:t>
            </w:r>
          </w:p>
        </w:tc>
        <w:tc>
          <w:tcPr>
            <w:tcW w:w="19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leased assets</w:t>
            </w:r>
          </w:p>
        </w:tc>
        <w:tc>
          <w:tcPr>
            <w:tcW w:w="3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41,084</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w:t>
            </w:r>
          </w:p>
        </w:tc>
        <w:tc>
          <w:tcPr>
            <w:tcW w:w="3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w:t>
            </w:r>
          </w:p>
        </w:tc>
        <w:tc>
          <w:tcPr>
            <w:tcW w:w="30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4,664</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4,859</w:t>
            </w:r>
          </w:p>
        </w:tc>
        <w:tc>
          <w:tcPr>
            <w:tcW w:w="19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Finance</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finance lease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w:t>
            </w:r>
          </w:p>
        </w:tc>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Operating </w:t>
            </w:r>
          </w:p>
        </w:tc>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23,578</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Finance </w:t>
            </w:r>
          </w:p>
        </w:tc>
        <w:tc>
          <w:tcPr>
            <w:tcW w:w="30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obligation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39,845</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40,754</w:t>
            </w:r>
          </w:p>
        </w:tc>
        <w:tc>
          <w:tcPr>
            <w:tcW w:w="191" w:type="dxa"/>
            <w:tcBorders/>
            <w:vAlign w:val="center"/>
          </w:tcPr>
          <w:p>
            <w:pPr>
              <w:pStyle w:val="TableContents"/>
              <w:bidi w:val="0"/>
              <w:spacing w:before="0" w:after="0"/>
              <w:ind w:left="0" w:right="0" w:hanging="0"/>
              <w:jc w:val="left"/>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lease liabilities</w:t>
            </w:r>
          </w:p>
        </w:tc>
        <w:tc>
          <w:tcPr>
            <w:tcW w:w="3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69,809</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71,801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*As of June 30, 2026, finance lease assets are recorded net of accumulated depreciation of $48.0 million and include $0.5 million of prepaid financing costs. As of December 31, 2025, finance lease assets are recorded net of accumulated depreciation of $47.7 million and include $0.5 million of prepaid financing costs.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Operating lease expense and depreciation and interest expense relating to our finance lease obligation are recognized within our Consolidated Statements of Operations for the three and six months ended June 30, 2026 and 2025 as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0"/>
        <w:ind w:left="720" w:right="0" w:hanging="0"/>
        <w:jc w:val="left"/>
        <w:rPr/>
      </w:pPr>
      <w:bookmarkStart w:id="790" w:name="Tc_nKrnqc9HqE-eTmr8JgRogA_12_8"/>
      <w:bookmarkStart w:id="791" w:name="Tc_aUu76gAdy0qXlLahd1dPTw_12_5"/>
      <w:bookmarkStart w:id="792" w:name="Tc_nYp8uZO910mRHEPl5-yH6Q_12_2"/>
      <w:bookmarkStart w:id="793" w:name="Tc_7_DbmWm5bEmuVaJSLSHc4g_12_0"/>
      <w:bookmarkStart w:id="794" w:name="Tc_PjhfPHa69UG_x-rdi6TKmQ_11_0"/>
      <w:bookmarkStart w:id="795" w:name="Tc_f-bI8W4lI0KKnKoXjWYJbA_10_8"/>
      <w:bookmarkStart w:id="796" w:name="Tc_qDcximfAgEiEUHqkiPMI6Q_10_5"/>
      <w:bookmarkStart w:id="797" w:name="Tc_jFImH-MjCUW9LgekAluYSA_10_2"/>
      <w:bookmarkStart w:id="798" w:name="Tc_D3ORXtDC-EGCRnLB6xzOFg_10_0"/>
      <w:bookmarkStart w:id="799" w:name="Tc_Quf9HDxN906N9vYiyccnZg_9_0"/>
      <w:bookmarkStart w:id="800" w:name="Tc_2BXrj_6tLUC9Zc54sneRRw_8_0"/>
      <w:bookmarkStart w:id="801" w:name="Tc_fgO9COiM9UiUWhP6wdAuYA_7_0"/>
      <w:bookmarkStart w:id="802" w:name="Tc_NbVHkpemQEqLHjkDVQdzJA_6_0"/>
      <w:bookmarkStart w:id="803" w:name="Tc_wtwEpK3vT06yCXRnUrodvQ_5_0"/>
      <w:bookmarkStart w:id="804" w:name="Tc_8J7duXWhWkag74xji7YnmA_4_8"/>
      <w:bookmarkStart w:id="805" w:name="Tc_T246xD7CZkedzUjYI1vHdg_4_5"/>
      <w:bookmarkStart w:id="806" w:name="Tc_Z1kaZeTzlky3LPhs0QLe9Q_4_2"/>
      <w:bookmarkStart w:id="807" w:name="Tc_RaJYrX9eUUyinYVGaEi7pw_4_0"/>
      <w:bookmarkStart w:id="808" w:name="Tc_yI69alPZHkOgJmBXR1dReA_3_2"/>
      <w:bookmarkStart w:id="809" w:name="Tc_h3Fe2Zg4eUuRsA1X2weWRg_2_8"/>
      <w:bookmarkStart w:id="810" w:name="Tc_Ef5NY2C_pEWdZZs4-6cv8A_2_5"/>
      <w:bookmarkStart w:id="811" w:name="Tc_red6mqL_s0eOrmOHC4cQZA_2_2"/>
      <w:bookmarkStart w:id="812" w:name="Tc_WReTBGXQi0Cx0kxGdqAdiA_2_0"/>
      <w:bookmarkStart w:id="813" w:name="Tc_AxsR5cw050qvkKJ4safUuQ_1_8"/>
      <w:bookmarkStart w:id="814" w:name="Tc_NoqgxS9Vu023DONmHRBiCQ_1_5"/>
      <w:bookmarkStart w:id="815" w:name="Tc_c_zF64olVUqPmAAVLxdKXA_1_2"/>
      <w:bookmarkStart w:id="816" w:name="_9e9f66e6_08f1_406a_82bb_1d6cee3fdc81"/>
      <w:bookmarkStart w:id="817" w:name="Tc_KLRuuHyclEufMjAN3t3g0g_15_12"/>
      <w:bookmarkStart w:id="818" w:name="Tc_P_If7HWIRE2rLZyJD0RREQ_15_9"/>
      <w:bookmarkStart w:id="819" w:name="Tc_JsI0faMJ3kmkZQKVyTejlg_15_6"/>
      <w:bookmarkStart w:id="820" w:name="Tc_SmgSrrjgY0yNDjBANn_Jew_15_3"/>
      <w:bookmarkStart w:id="821" w:name="Tc_HyJX0ZcrHkasxG5xIGF8sg_15_0"/>
      <w:bookmarkStart w:id="822" w:name="Tc_Q0wVG6RwBEWGe7RNjKumrQ_13_12"/>
      <w:bookmarkStart w:id="823" w:name="Tc_625sL_x7I0St_Nr9klO9dw_13_9"/>
      <w:bookmarkStart w:id="824" w:name="Tc_iqOHgtQhEkmc_qju2HVOpg_13_6"/>
      <w:bookmarkStart w:id="825" w:name="Tc_SoBzjymIMkOU9qXbpQx9Eg_13_3"/>
      <w:bookmarkStart w:id="826" w:name="Tc_sCYIkV_5fkeaCt8dkgIUzw_13_0"/>
      <w:bookmarkStart w:id="827" w:name="Tc_Qf4h-tkJmECxZKcmcTFfng_12_1"/>
      <w:bookmarkStart w:id="828" w:name="Tc_Six2TcGnA0q_7vXN9OJkqw_12_0"/>
      <w:bookmarkStart w:id="829" w:name="Tc_eggMGcV0l0uML_hw1punAA_11_12"/>
      <w:bookmarkStart w:id="830" w:name="Tc_wkXr-jsO-kiHQ57iY6wilQ_11_9"/>
      <w:bookmarkStart w:id="831" w:name="Tc_fDV3cRDJKUqieGgB5xXVeQ_11_6"/>
      <w:bookmarkStart w:id="832" w:name="Tc_IHLCEQ8-fUKpAeEQBfNDPA_11_3"/>
      <w:bookmarkStart w:id="833" w:name="Tc_f8ZGS2PzkkWo4MCcjuPc9A_11_1"/>
      <w:bookmarkStart w:id="834" w:name="Tc__bsgo7Sbk0OGojXaNlVWtA_11_0"/>
      <w:bookmarkStart w:id="835" w:name="Tc_NzQzqstBZ02svUgGMRLJcQ_10_0"/>
      <w:bookmarkStart w:id="836" w:name="Tc_5bW0d-4Y50upliaS_TkvLw_9_12"/>
      <w:bookmarkStart w:id="837" w:name="Tc_5Ba17-NnBUyv1J81t6wdgA_9_9"/>
      <w:bookmarkStart w:id="838" w:name="Tc_Rr_jTKN4K0KIORb4Ln17nw_9_6"/>
      <w:bookmarkStart w:id="839" w:name="Tc_u-H2hPN4-U2JEm96---cwg_9_3"/>
      <w:bookmarkStart w:id="840" w:name="Tc_4zvE8lzPA0y5csXcY-qWKw_9_0"/>
      <w:bookmarkStart w:id="841" w:name="Tc_krcMyLbWoUCU1asB6KKkdQ_8_1"/>
      <w:bookmarkStart w:id="842" w:name="Tc_TAelAgutCEKAWMxIIZTdRA_8_0"/>
      <w:bookmarkStart w:id="843" w:name="Tc_by9P91W9vk-aawQr2q1dbQ_7_1"/>
      <w:bookmarkStart w:id="844" w:name="Tc_Ej4TeCUYskezSprY48HejA_7_0"/>
      <w:bookmarkStart w:id="845" w:name="Tc_UY2cjrHLQ0iOnUGEi_CttQ_6_1"/>
      <w:bookmarkStart w:id="846" w:name="Tc_gcWarHfzckGzz_L0YTnI0Q_6_0"/>
      <w:bookmarkStart w:id="847" w:name="Tc_c-8bgKgOfEG0MR8fQMjT5g_5_12"/>
      <w:bookmarkStart w:id="848" w:name="Tc_86595l__H0uW1Gr7YSgRbg_5_9"/>
      <w:bookmarkStart w:id="849" w:name="Tc_eBLQ2o5nRkWx74YDoydUIg_5_6"/>
      <w:bookmarkStart w:id="850" w:name="Tc_kPJvJcth5UmlxMYLXABWkg_5_3"/>
      <w:bookmarkStart w:id="851" w:name="Tc_3lW1sH-cB02792PreDj-QQ_5_1"/>
      <w:bookmarkStart w:id="852" w:name="Tc_n_1Ot5hWIUy0mn1DlupCgw_5_0"/>
      <w:bookmarkStart w:id="853" w:name="Tc_OkbEk_K_WkK0V-kcABFw6A_4_3"/>
      <w:bookmarkStart w:id="854" w:name="Tc_ZtZR4nAcCUyEtGYhpyYORA_4_0"/>
      <w:bookmarkStart w:id="855" w:name="Tc_5sJ1mOtg-USg3ybjteXUJA_3_12"/>
      <w:bookmarkStart w:id="856" w:name="Tc_x-SzI6II9EmYlaKtnX_3RA_3_9"/>
      <w:bookmarkStart w:id="857" w:name="Tc_tS8X0o6Me0WeLHiLhXODmw_3_6"/>
      <w:bookmarkStart w:id="858" w:name="Tc_OEGZmLWs6ESt1M4iK81bKA_3_3"/>
      <w:bookmarkStart w:id="859" w:name="Tc_BiEsFtCOikiG5e1gGA6NJg_3_1"/>
      <w:bookmarkStart w:id="860" w:name="Tc_1Y3UXr9Ox0yWq0yPUq6i5g_3_0"/>
      <w:bookmarkStart w:id="861" w:name="Tc_BnC0uJOylUSIXGj8z6cDxg_2_9"/>
      <w:bookmarkStart w:id="862" w:name="Tc_ltBJcSa8VUW590Sc4dPagQ_2_3"/>
      <w:bookmarkStart w:id="863" w:name="Tc_g3suv9d58kuLQ80oz3o2kw_1_9"/>
      <w:bookmarkStart w:id="864" w:name="Tc_thmVrYTkMEmPXoPdc-_nig_1_3"/>
      <w:bookmarkStart w:id="865" w:name="_677c2e10_fdc4_470c_be71_90918d803d12"/>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t>​</w:t>
      </w:r>
    </w:p>
    <w:tbl>
      <w:tblPr>
        <w:tblW w:w="10205" w:type="dxa"/>
        <w:jc w:val="left"/>
        <w:tblInd w:w="0" w:type="dxa"/>
        <w:tblLayout w:type="fixed"/>
        <w:tblCellMar>
          <w:top w:w="0" w:type="dxa"/>
          <w:left w:w="0" w:type="dxa"/>
          <w:bottom w:w="0" w:type="dxa"/>
          <w:right w:w="0" w:type="dxa"/>
        </w:tblCellMar>
      </w:tblPr>
      <w:tblGrid>
        <w:gridCol w:w="1655"/>
        <w:gridCol w:w="4338"/>
        <w:gridCol w:w="346"/>
        <w:gridCol w:w="201"/>
        <w:gridCol w:w="526"/>
        <w:gridCol w:w="111"/>
        <w:gridCol w:w="201"/>
        <w:gridCol w:w="526"/>
        <w:gridCol w:w="346"/>
        <w:gridCol w:w="196"/>
        <w:gridCol w:w="511"/>
        <w:gridCol w:w="346"/>
        <w:gridCol w:w="196"/>
        <w:gridCol w:w="511"/>
        <w:gridCol w:w="195"/>
      </w:tblGrid>
      <w:tr>
        <w:trPr/>
        <w:tc>
          <w:tcPr>
            <w:tcW w:w="1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050925" cy="175260"/>
                      <wp:effectExtent l="0" t="0" r="0" b="0"/>
                      <wp:wrapNone/>
                      <wp:docPr id="94" name="Frame94"/>
                      <a:graphic xmlns:a="http://schemas.openxmlformats.org/drawingml/2006/main">
                        <a:graphicData uri="http://schemas.microsoft.com/office/word/2010/wordprocessingShape">
                          <wps:wsp>
                            <wps:cNvSpPr txBox="1"/>
                            <wps:spPr>
                              <a:xfrm>
                                <a:off x="0" y="0"/>
                                <a:ext cx="1050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754630" cy="175260"/>
                      <wp:effectExtent l="0" t="0" r="0" b="0"/>
                      <wp:wrapNone/>
                      <wp:docPr id="95" name="Frame95"/>
                      <a:graphic xmlns:a="http://schemas.openxmlformats.org/drawingml/2006/main">
                        <a:graphicData uri="http://schemas.microsoft.com/office/word/2010/wordprocessingShape">
                          <wps:wsp>
                            <wps:cNvSpPr txBox="1"/>
                            <wps:spPr>
                              <a:xfrm>
                                <a:off x="0" y="0"/>
                                <a:ext cx="275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7635" cy="175260"/>
                      <wp:effectExtent l="0" t="0" r="0" b="0"/>
                      <wp:wrapNone/>
                      <wp:docPr id="97" name="Frame9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34010" cy="175260"/>
                      <wp:effectExtent l="0" t="0" r="0" b="0"/>
                      <wp:wrapNone/>
                      <wp:docPr id="98" name="Frame9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0485" cy="175260"/>
                      <wp:effectExtent l="0" t="0" r="0" b="0"/>
                      <wp:wrapNone/>
                      <wp:docPr id="99" name="Frame99"/>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7635" cy="175260"/>
                      <wp:effectExtent l="0" t="0" r="0" b="0"/>
                      <wp:wrapNone/>
                      <wp:docPr id="100" name="Frame10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34010" cy="175260"/>
                      <wp:effectExtent l="0" t="0" r="0" b="0"/>
                      <wp:wrapNone/>
                      <wp:docPr id="101" name="Frame10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24485" cy="175260"/>
                      <wp:effectExtent l="0" t="0" r="0" b="0"/>
                      <wp:wrapNone/>
                      <wp:docPr id="104" name="Frame10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6" name="Frame1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24485" cy="175260"/>
                      <wp:effectExtent l="0" t="0" r="0" b="0"/>
                      <wp:wrapNone/>
                      <wp:docPr id="107" name="Frame10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3825" cy="175260"/>
                      <wp:effectExtent l="0" t="0" r="0" b="0"/>
                      <wp:wrapNone/>
                      <wp:docPr id="108" name="Frame108"/>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5" w:type="dxa"/>
            <w:tcBorders/>
            <w:vAlign w:val="center"/>
          </w:tcPr>
          <w:p>
            <w:pPr>
              <w:pStyle w:val="TableContents"/>
              <w:bidi w:val="0"/>
              <w:spacing w:before="0" w:after="0"/>
              <w:ind w:left="0" w:right="0" w:hanging="0"/>
              <w:jc w:val="left"/>
              <w:rPr/>
            </w:pPr>
            <w:r>
              <w:rPr/>
              <w:t>​</w:t>
            </w:r>
          </w:p>
        </w:tc>
        <w:tc>
          <w:tcPr>
            <w:tcW w:w="43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5" w:type="dxa"/>
            <w:tcBorders/>
            <w:vAlign w:val="center"/>
          </w:tcPr>
          <w:p>
            <w:pPr>
              <w:pStyle w:val="TableContents"/>
              <w:bidi w:val="0"/>
              <w:spacing w:before="0" w:after="0"/>
              <w:ind w:left="0" w:right="0" w:hanging="0"/>
              <w:jc w:val="center"/>
              <w:rPr/>
            </w:pPr>
            <w:r>
              <w:rPr/>
              <w:t>​</w:t>
            </w:r>
          </w:p>
        </w:tc>
      </w:tr>
      <w:tr>
        <w:trPr/>
        <w:tc>
          <w:tcPr>
            <w:tcW w:w="1655" w:type="dxa"/>
            <w:tcBorders/>
            <w:vAlign w:val="center"/>
          </w:tcPr>
          <w:p>
            <w:pPr>
              <w:pStyle w:val="TableContents"/>
              <w:bidi w:val="0"/>
              <w:spacing w:before="0" w:after="0"/>
              <w:ind w:left="0" w:right="0" w:hanging="0"/>
              <w:jc w:val="left"/>
              <w:rPr/>
            </w:pPr>
            <w:r>
              <w:rPr/>
              <w:t>​</w:t>
            </w:r>
          </w:p>
        </w:tc>
        <w:tc>
          <w:tcPr>
            <w:tcW w:w="43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95" w:type="dxa"/>
            <w:tcBorders/>
            <w:vAlign w:val="center"/>
          </w:tcPr>
          <w:p>
            <w:pPr>
              <w:pStyle w:val="TableContents"/>
              <w:bidi w:val="0"/>
              <w:spacing w:before="0" w:after="0"/>
              <w:ind w:left="0" w:right="0" w:hanging="0"/>
              <w:jc w:val="center"/>
              <w:rPr/>
            </w:pPr>
            <w:r>
              <w:rPr/>
              <w:t>​</w:t>
            </w:r>
          </w:p>
        </w:tc>
      </w:tr>
      <w:tr>
        <w:trPr/>
        <w:tc>
          <w:tcPr>
            <w:tcW w:w="16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cost</w:t>
            </w:r>
          </w:p>
        </w:tc>
        <w:tc>
          <w:tcPr>
            <w:tcW w:w="43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center"/>
              <w:rPr/>
            </w:pPr>
            <w:r>
              <w:rPr/>
              <w:t>  ​ ​ ​</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0"/>
              <w:ind w:left="0" w:right="0" w:hanging="0"/>
              <w:jc w:val="left"/>
              <w:rPr/>
            </w:pPr>
            <w:r>
              <w:rPr/>
              <w:t>​</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5" w:type="dxa"/>
            <w:tcBorders/>
            <w:vAlign w:val="center"/>
          </w:tcPr>
          <w:p>
            <w:pPr>
              <w:pStyle w:val="TableContents"/>
              <w:bidi w:val="0"/>
              <w:spacing w:before="0" w:after="0"/>
              <w:ind w:left="0" w:right="0" w:hanging="0"/>
              <w:jc w:val="center"/>
              <w:rPr/>
            </w:pPr>
            <w:r>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6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lease cost</w:t>
            </w:r>
          </w:p>
        </w:tc>
        <w:tc>
          <w:tcPr>
            <w:tcW w:w="43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5" w:type="dxa"/>
            <w:tcBorders/>
            <w:vAlign w:val="center"/>
          </w:tcPr>
          <w:p>
            <w:pPr>
              <w:pStyle w:val="TableContents"/>
              <w:bidi w:val="0"/>
              <w:spacing w:before="0" w:after="0"/>
              <w:ind w:left="0" w:right="0" w:hanging="0"/>
              <w:jc w:val="center"/>
              <w:rPr/>
            </w:pPr>
            <w:r>
              <w:rPr/>
              <w:t>​</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 services*</w:t>
            </w:r>
          </w:p>
        </w:tc>
        <w:tc>
          <w:tcPr>
            <w:tcW w:w="43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1,555</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3,280</w:t>
            </w:r>
          </w:p>
        </w:tc>
        <w:tc>
          <w:tcPr>
            <w:tcW w:w="195" w:type="dxa"/>
            <w:tcBorders/>
            <w:shd w:fill="CCEEFF" w:val="clear"/>
            <w:vAlign w:val="center"/>
          </w:tcPr>
          <w:p>
            <w:pPr>
              <w:pStyle w:val="TableContents"/>
              <w:bidi w:val="0"/>
              <w:spacing w:before="0" w:after="0"/>
              <w:ind w:left="0" w:right="0" w:hanging="0"/>
              <w:jc w:val="center"/>
              <w:rPr/>
            </w:pPr>
            <w:r>
              <w:rPr/>
              <w:t> </w:t>
            </w:r>
          </w:p>
        </w:tc>
      </w:tr>
      <w:tr>
        <w:trPr/>
        <w:tc>
          <w:tcPr>
            <w:tcW w:w="1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43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11"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c>
          <w:tcPr>
            <w:tcW w:w="195" w:type="dxa"/>
            <w:tcBorders/>
            <w:vAlign w:val="center"/>
          </w:tcPr>
          <w:p>
            <w:pPr>
              <w:pStyle w:val="TableContents"/>
              <w:bidi w:val="0"/>
              <w:spacing w:before="0" w:after="0"/>
              <w:ind w:left="0" w:right="0" w:hanging="0"/>
              <w:jc w:val="left"/>
              <w:rPr/>
            </w:pPr>
            <w:r>
              <w:rPr/>
              <w:t>​</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43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111" w:type="dxa"/>
            <w:tcBorders/>
            <w:shd w:fill="CCEEFF" w:val="clear"/>
            <w:vAlign w:val="center"/>
          </w:tcPr>
          <w:p>
            <w:pPr>
              <w:pStyle w:val="TableContents"/>
              <w:bidi w:val="0"/>
              <w:spacing w:before="0" w:after="0"/>
              <w:ind w:left="0" w:right="0" w:hanging="0"/>
              <w:jc w:val="right"/>
              <w:rPr/>
            </w:pPr>
            <w:r>
              <w:rPr/>
              <w:t>​</w:t>
            </w:r>
          </w:p>
        </w:tc>
        <w:tc>
          <w:tcPr>
            <w:tcW w:w="201"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43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c>
          <w:tcPr>
            <w:tcW w:w="111" w:type="dxa"/>
            <w:tcBorders/>
            <w:vAlign w:val="center"/>
          </w:tcPr>
          <w:p>
            <w:pPr>
              <w:pStyle w:val="TableContents"/>
              <w:bidi w:val="0"/>
              <w:spacing w:before="0" w:after="0"/>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w:t>
            </w:r>
          </w:p>
        </w:tc>
        <w:tc>
          <w:tcPr>
            <w:tcW w:w="195" w:type="dxa"/>
            <w:tcBorders/>
            <w:vAlign w:val="center"/>
          </w:tcPr>
          <w:p>
            <w:pPr>
              <w:pStyle w:val="TableContents"/>
              <w:bidi w:val="0"/>
              <w:spacing w:before="0" w:after="0"/>
              <w:ind w:left="0" w:right="0" w:hanging="0"/>
              <w:jc w:val="left"/>
              <w:rPr/>
            </w:pPr>
            <w:r>
              <w:rPr/>
              <w:t>​</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lease cost</w:t>
            </w:r>
          </w:p>
        </w:tc>
        <w:tc>
          <w:tcPr>
            <w:tcW w:w="43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2,323</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5,080</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6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Finance lease cost</w:t>
            </w:r>
          </w:p>
        </w:tc>
        <w:tc>
          <w:tcPr>
            <w:tcW w:w="43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of leased assets</w:t>
            </w:r>
          </w:p>
        </w:tc>
        <w:tc>
          <w:tcPr>
            <w:tcW w:w="43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 Research and development, Sales and marketing and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6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on lease liabilities</w:t>
            </w:r>
          </w:p>
        </w:tc>
        <w:tc>
          <w:tcPr>
            <w:tcW w:w="43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w:t>
            </w:r>
          </w:p>
        </w:tc>
        <w:tc>
          <w:tcPr>
            <w:tcW w:w="111" w:type="dxa"/>
            <w:tcBorders/>
            <w:vAlign w:val="center"/>
          </w:tcPr>
          <w:p>
            <w:pPr>
              <w:pStyle w:val="TableContents"/>
              <w:bidi w:val="0"/>
              <w:spacing w:before="0" w:after="0"/>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195" w:type="dxa"/>
            <w:tcBorders/>
            <w:vAlign w:val="center"/>
          </w:tcPr>
          <w:p>
            <w:pPr>
              <w:pStyle w:val="TableContents"/>
              <w:bidi w:val="0"/>
              <w:spacing w:before="0" w:after="0"/>
              <w:ind w:left="0" w:right="0" w:hanging="0"/>
              <w:jc w:val="left"/>
              <w:rPr/>
            </w:pPr>
            <w:r>
              <w:rPr/>
              <w:t>​</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finance lease cost</w:t>
            </w:r>
          </w:p>
        </w:tc>
        <w:tc>
          <w:tcPr>
            <w:tcW w:w="43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2,947</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1655" w:type="dxa"/>
            <w:tcBorders/>
            <w:vAlign w:val="center"/>
          </w:tcPr>
          <w:p>
            <w:pPr>
              <w:pStyle w:val="TableContents"/>
              <w:bidi w:val="0"/>
              <w:spacing w:before="0" w:after="0"/>
              <w:ind w:left="0" w:right="0" w:hanging="0"/>
              <w:jc w:val="left"/>
              <w:rPr/>
            </w:pPr>
            <w:r>
              <w:rPr/>
              <w:t>​</w:t>
            </w:r>
          </w:p>
        </w:tc>
        <w:tc>
          <w:tcPr>
            <w:tcW w:w="43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 cost</w:t>
            </w:r>
          </w:p>
        </w:tc>
        <w:tc>
          <w:tcPr>
            <w:tcW w:w="43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3,752</w:t>
            </w:r>
          </w:p>
        </w:tc>
        <w:tc>
          <w:tcPr>
            <w:tcW w:w="111"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8,027</w:t>
            </w:r>
          </w:p>
        </w:tc>
        <w:tc>
          <w:tcPr>
            <w:tcW w:w="19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Product / services, sales and marketing and general and administrative expense also includes short-term lease and variable lease costs of approximately $0.3 million and $1.0 million for the three and six months ended June 30, 2026, respectively, and includes short-term lease and variable lease costs of approximately $0.4 million and $1.0 million for the three and six months ended June 30,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lease of our corporate headquarters, shown below under finance leases, had an original lease term of 22 years, beginning in January 2015 and expiring in January 2037, with renewal options. All other locations are treated as operating leases, with lease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16 years. The tables below reflect the minimum cash outflow regarding our current lease obligations as well as the weighted average remaining lease term and weighted-average discount rates used in our calculation of our lease obligations and right-of-use assets as of June 30, 2026: </w:t>
      </w:r>
    </w:p>
    <w:p>
      <w:pPr>
        <w:pStyle w:val="TextBody"/>
        <w:bidi w:val="0"/>
        <w:spacing w:before="0" w:after="0"/>
        <w:ind w:left="0" w:right="0" w:hanging="0"/>
        <w:jc w:val="left"/>
        <w:rPr/>
      </w:pPr>
      <w:r>
        <w:rPr/>
        <w:t>​</w:t>
      </w:r>
    </w:p>
    <w:tbl>
      <w:tblPr>
        <w:tblW w:w="6671" w:type="dxa"/>
        <w:jc w:val="left"/>
        <w:tblInd w:w="0" w:type="dxa"/>
        <w:tblLayout w:type="fixed"/>
        <w:tblCellMar>
          <w:top w:w="0" w:type="dxa"/>
          <w:left w:w="0" w:type="dxa"/>
          <w:bottom w:w="0" w:type="dxa"/>
          <w:right w:w="0" w:type="dxa"/>
        </w:tblCellMar>
      </w:tblPr>
      <w:tblGrid>
        <w:gridCol w:w="3226"/>
        <w:gridCol w:w="109"/>
        <w:gridCol w:w="196"/>
        <w:gridCol w:w="721"/>
        <w:gridCol w:w="109"/>
        <w:gridCol w:w="210"/>
        <w:gridCol w:w="646"/>
        <w:gridCol w:w="346"/>
        <w:gridCol w:w="196"/>
        <w:gridCol w:w="721"/>
        <w:gridCol w:w="19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48510" cy="175260"/>
                      <wp:effectExtent l="0" t="0" r="0" b="0"/>
                      <wp:wrapNone/>
                      <wp:docPr id="109" name="Frame10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11"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57835" cy="175260"/>
                      <wp:effectExtent l="0" t="0" r="0" b="0"/>
                      <wp:wrapNone/>
                      <wp:docPr id="112" name="Frame11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350" cy="175260"/>
                      <wp:effectExtent l="0" t="0" r="0" b="0"/>
                      <wp:wrapNone/>
                      <wp:docPr id="114" name="Frame114"/>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0210" cy="175260"/>
                      <wp:effectExtent l="0" t="0" r="0" b="0"/>
                      <wp:wrapNone/>
                      <wp:docPr id="115" name="Frame11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57835" cy="175260"/>
                      <wp:effectExtent l="0" t="0" r="0" b="0"/>
                      <wp:wrapNone/>
                      <wp:docPr id="118" name="Frame1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1285" cy="175260"/>
                      <wp:effectExtent l="0" t="0" r="0" b="0"/>
                      <wp:wrapNone/>
                      <wp:docPr id="119" name="Frame1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09" w:type="dxa"/>
            <w:tcBorders/>
            <w:vAlign w:val="center"/>
          </w:tcPr>
          <w:p>
            <w:pPr>
              <w:pStyle w:val="TableContents"/>
              <w:bidi w:val="0"/>
              <w:spacing w:before="0" w:after="0"/>
              <w:ind w:left="0" w:right="0" w:hanging="0"/>
              <w:jc w:val="left"/>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3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Maturity of Lease Liabilities</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91" w:type="dxa"/>
            <w:tcBorders/>
            <w:vAlign w:val="center"/>
          </w:tcPr>
          <w:p>
            <w:pPr>
              <w:pStyle w:val="TableContents"/>
              <w:bidi w:val="0"/>
              <w:spacing w:before="0" w:after="0"/>
              <w:ind w:left="0" w:right="0" w:hanging="0"/>
              <w:jc w:val="left"/>
              <w:rPr/>
            </w:pPr>
            <w:r>
              <w:rPr/>
              <w:t>​</w:t>
            </w:r>
          </w:p>
        </w:tc>
      </w:tr>
      <w:tr>
        <w:trPr/>
        <w:tc>
          <w:tcPr>
            <w:tcW w:w="667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45"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3,009</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6,128</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11,118</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6,251</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righ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6,376</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9,121</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6,503</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Thereafter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42,456</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62,675</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70,723</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interest portion*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(29,156)</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(38,400)</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and operating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41,567</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69,809</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Finance lease interest calculated using the implied interest rate; operating lease interest calculated using estimated corporate borrowing rate.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above does not include options to renew lease terms that are not reasonably certain of being exercised.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866" w:name="Tc_9305uBna4UKu2dfgcm4ABA_9_6"/>
      <w:bookmarkStart w:id="867" w:name="Tc_4e0meFgUQ0usZ4CARP9n2A_9_3"/>
      <w:bookmarkStart w:id="868" w:name="Tc_-_iO0EmzTEKgFZroyetEIA_9_0"/>
      <w:bookmarkStart w:id="869" w:name="Tc_Rzncyk2FB0qYhHIVr7AGLA_8_0"/>
      <w:bookmarkStart w:id="870" w:name="Tc_Sownfz9rnE-7ct91zsqVNQ_7_0"/>
      <w:bookmarkStart w:id="871" w:name="Tc_PZyzF8t2NU220fhO5U2wVA_6_0"/>
      <w:bookmarkStart w:id="872" w:name="Tc_lC8nSobsx0KgwuQzDsEpbw_5_5"/>
      <w:bookmarkStart w:id="873" w:name="Tc_Um15oqpaXk2XRS5U0cEo_g_5_2"/>
      <w:bookmarkStart w:id="874" w:name="Tc_oV7wO0XqcUyieA5Too5a5g_5_0"/>
      <w:bookmarkStart w:id="875" w:name="Tc_hLPKm9FDWkKbO5Q08j76zg_4_2"/>
      <w:bookmarkStart w:id="876" w:name="Tc_dFkrldUIfkuRqlRgmR5zug_3_5"/>
      <w:bookmarkStart w:id="877" w:name="Tc_hlFJ_vH--0WC1SKL2u9gYQ_3_2"/>
      <w:bookmarkStart w:id="878" w:name="Tc_boPnvwqY9U6wjOD27ppNfw_3_0"/>
      <w:bookmarkStart w:id="879" w:name="Tc_N4N-Cbh08UmB8LoeSjh09Q_2_2"/>
      <w:bookmarkStart w:id="880" w:name="Tc_h92Ss2_6k0qAXi2Iy_0rew_8_0"/>
      <w:bookmarkStart w:id="881" w:name="Tc_iF1t3tsQjEOEeqvr3r7HrQ_7_0"/>
      <w:bookmarkStart w:id="882" w:name="Tc_OfxB0HQCZEyqLjS9muA-rQ_6_0"/>
      <w:bookmarkStart w:id="883" w:name="Tc_96UyCC41SEOw6_Zz5M4LtQ_5_0"/>
      <w:bookmarkStart w:id="884" w:name="Tc_8OC93alG40iw92XoyUGbtA_4_0"/>
      <w:bookmarkStart w:id="885" w:name="Tc_n6l91OAUl0usu_1gYeejYA_3_0"/>
      <w:bookmarkStart w:id="886" w:name="Tc_y6e9Wedtm0KJ-mlrNkarPQ_2_2"/>
      <w:bookmarkStart w:id="887" w:name="Tc_iqh8Cy7wTk6oLaGIdDnn4g_2_0"/>
      <w:bookmarkStart w:id="888" w:name="Tc_Fyl_4BmluESPfnAyIC7KpQ_1_2"/>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t>​</w:t>
      </w:r>
    </w:p>
    <w:tbl>
      <w:tblPr>
        <w:tblW w:w="4686" w:type="dxa"/>
        <w:jc w:val="left"/>
        <w:tblInd w:w="0" w:type="dxa"/>
        <w:tblLayout w:type="fixed"/>
        <w:tblCellMar>
          <w:top w:w="0" w:type="dxa"/>
          <w:left w:w="0" w:type="dxa"/>
          <w:bottom w:w="0" w:type="dxa"/>
          <w:right w:w="0" w:type="dxa"/>
        </w:tblCellMar>
      </w:tblPr>
      <w:tblGrid>
        <w:gridCol w:w="3421"/>
        <w:gridCol w:w="346"/>
        <w:gridCol w:w="159"/>
        <w:gridCol w:w="60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72335" cy="175260"/>
                      <wp:effectExtent l="0" t="0" r="0" b="0"/>
                      <wp:wrapNone/>
                      <wp:docPr id="120" name="Frame12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00965" cy="175260"/>
                      <wp:effectExtent l="0" t="0" r="0" b="0"/>
                      <wp:wrapNone/>
                      <wp:docPr id="122" name="Frame122"/>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84810" cy="175260"/>
                      <wp:effectExtent l="0" t="0" r="0" b="0"/>
                      <wp:wrapNone/>
                      <wp:docPr id="123" name="Frame123"/>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7790" cy="175260"/>
                      <wp:effectExtent l="0" t="0" r="0" b="0"/>
                      <wp:wrapNone/>
                      <wp:docPr id="124" name="Frame1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term and discount rate</w:t>
            </w:r>
          </w:p>
        </w:tc>
        <w:tc>
          <w:tcPr>
            <w:tcW w:w="346" w:type="dxa"/>
            <w:tcBorders/>
            <w:vAlign w:val="center"/>
          </w:tcPr>
          <w:p>
            <w:pPr>
              <w:pStyle w:val="TableContents"/>
              <w:bidi w:val="0"/>
              <w:spacing w:before="0" w:after="0"/>
              <w:ind w:left="0" w:right="0" w:hanging="0"/>
              <w:jc w:val="center"/>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remaining lease term (years):</w:t>
            </w:r>
          </w:p>
        </w:tc>
        <w:tc>
          <w:tcPr>
            <w:tcW w:w="346" w:type="dxa"/>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right"/>
              <w:rPr/>
            </w:pPr>
            <w:r>
              <w:rPr/>
              <w:t> </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10.6</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discount rate:</w:t>
            </w:r>
          </w:p>
        </w:tc>
        <w:tc>
          <w:tcPr>
            <w:tcW w:w="3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right"/>
              <w:rPr/>
            </w:pPr>
            <w:r>
              <w:rPr/>
              <w:t>​</w:t>
            </w:r>
          </w:p>
        </w:tc>
        <w:tc>
          <w:tcPr>
            <w:tcW w:w="606"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right"/>
              <w:rPr/>
            </w:pPr>
            <w:r>
              <w:rPr/>
              <w:t> </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5.3%</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right"/>
              <w:rPr/>
            </w:pPr>
            <w:r>
              <w:rPr/>
              <w:t> </w:t>
            </w:r>
          </w:p>
        </w:tc>
        <w:tc>
          <w:tcPr>
            <w:tcW w:w="60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10.5%</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six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950" w:type="dxa"/>
        <w:jc w:val="left"/>
        <w:tblInd w:w="0" w:type="dxa"/>
        <w:tblLayout w:type="fixed"/>
        <w:tblCellMar>
          <w:top w:w="0" w:type="dxa"/>
          <w:left w:w="0" w:type="dxa"/>
          <w:bottom w:w="0" w:type="dxa"/>
          <w:right w:w="0" w:type="dxa"/>
        </w:tblCellMar>
      </w:tblPr>
      <w:tblGrid>
        <w:gridCol w:w="5491"/>
        <w:gridCol w:w="346"/>
        <w:gridCol w:w="229"/>
        <w:gridCol w:w="599"/>
        <w:gridCol w:w="405"/>
        <w:gridCol w:w="229"/>
        <w:gridCol w:w="651"/>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486785" cy="175260"/>
                      <wp:effectExtent l="0" t="0" r="0" b="0"/>
                      <wp:wrapNone/>
                      <wp:docPr id="125" name="Frame125"/>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5415" cy="175260"/>
                      <wp:effectExtent l="0" t="0" r="0" b="0"/>
                      <wp:wrapNone/>
                      <wp:docPr id="127" name="Frame12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80365" cy="175260"/>
                      <wp:effectExtent l="0" t="0" r="0" b="0"/>
                      <wp:wrapNone/>
                      <wp:docPr id="128" name="Frame128"/>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57175" cy="175260"/>
                      <wp:effectExtent l="0" t="0" r="0" b="0"/>
                      <wp:wrapNone/>
                      <wp:docPr id="129" name="Frame129"/>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5415" cy="175260"/>
                      <wp:effectExtent l="0" t="0" r="0" b="0"/>
                      <wp:wrapNone/>
                      <wp:docPr id="130" name="Frame13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13385" cy="175260"/>
                      <wp:effectExtent l="0" t="0" r="0" b="0"/>
                      <wp:wrapNone/>
                      <wp:docPr id="131" name="Frame131"/>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9" w:type="dxa"/>
            <w:tcBorders/>
            <w:vAlign w:val="center"/>
          </w:tcPr>
          <w:p>
            <w:pPr>
              <w:pStyle w:val="TableContents"/>
              <w:bidi w:val="0"/>
              <w:spacing w:before="0" w:after="0"/>
              <w:ind w:left="0" w:right="0" w:hanging="0"/>
              <w:jc w:val="center"/>
              <w:rPr/>
            </w:pPr>
            <w:r>
              <w:rPr/>
              <w:t>​</w:t>
            </w:r>
          </w:p>
        </w:tc>
        <w:tc>
          <w:tcPr>
            <w:tcW w:w="599"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center"/>
              <w:rPr/>
            </w:pPr>
            <w:r>
              <w:rPr/>
              <w:t>​</w:t>
            </w:r>
          </w:p>
        </w:tc>
        <w:tc>
          <w:tcPr>
            <w:tcW w:w="229"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5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paid for amounts included in the measurement of lease liabilities</w:t>
            </w:r>
          </w:p>
        </w:tc>
        <w:tc>
          <w:tcPr>
            <w:tcW w:w="346" w:type="dxa"/>
            <w:tcBorders/>
            <w:vAlign w:val="center"/>
          </w:tcPr>
          <w:p>
            <w:pPr>
              <w:pStyle w:val="TableContents"/>
              <w:bidi w:val="0"/>
              <w:spacing w:before="0" w:after="0"/>
              <w:ind w:left="0" w:right="0" w:hanging="0"/>
              <w:jc w:val="center"/>
              <w:rPr/>
            </w:pPr>
            <w:r>
              <w:rPr/>
              <w:t>  ​ ​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5" w:type="dxa"/>
            <w:tcBorders/>
            <w:vAlign w:val="center"/>
          </w:tcPr>
          <w:p>
            <w:pPr>
              <w:pStyle w:val="TableContents"/>
              <w:bidi w:val="0"/>
              <w:spacing w:before="0" w:after="0"/>
              <w:ind w:left="0" w:right="0" w:hanging="0"/>
              <w:jc w:val="center"/>
              <w:rPr/>
            </w:pPr>
            <w:r>
              <w:rPr/>
              <w:t>  ​ ​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95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5,099</w:t>
            </w:r>
          </w:p>
        </w:tc>
        <w:tc>
          <w:tcPr>
            <w:tcW w:w="40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5,080</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finance leases</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2,231</w:t>
            </w:r>
          </w:p>
        </w:tc>
        <w:tc>
          <w:tcPr>
            <w:tcW w:w="405"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outflows from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40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 obtained in exchange for operating lease liabilities</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1,587</w:t>
            </w:r>
          </w:p>
        </w:tc>
        <w:tc>
          <w:tcPr>
            <w:tcW w:w="405"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righ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 obtained in exchange for new finance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599"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right"/>
              <w:rPr/>
            </w:pPr>
            <w:r>
              <w:rPr/>
              <w:t> </w:t>
            </w:r>
          </w:p>
        </w:tc>
        <w:tc>
          <w:tcPr>
            <w:tcW w:w="651" w:type="dxa"/>
            <w:tcBorders/>
            <w:shd w:fill="CCEEFF" w:val="clear"/>
            <w:vAlign w:val="center"/>
          </w:tcPr>
          <w:p>
            <w:pPr>
              <w:pStyle w:val="TableContents"/>
              <w:bidi w:val="0"/>
              <w:spacing w:before="0" w:after="0"/>
              <w:ind w:left="0" w:right="5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89" w:name="Tc_1jHad64tDE6JtdS0aU76mQ_7_11"/>
      <w:bookmarkStart w:id="890" w:name="Tc_y2ZL54YLT0CV3gfZ7TFMog_7_8"/>
      <w:bookmarkStart w:id="891" w:name="Tc_tAjitVV6E0aKbk77NDSsNg_7_5"/>
      <w:bookmarkStart w:id="892" w:name="Tc_ZSYWL8BY0UiX0Rq4umWIEw_7_2"/>
      <w:bookmarkStart w:id="893" w:name="Tc_asFbYnnPbEaVwUHX0SpOWQ_7_0"/>
      <w:bookmarkStart w:id="894" w:name="Tc_dfQs7Kty_EKvwdUjZ0hgpw_6_0"/>
      <w:bookmarkStart w:id="895" w:name="Tc_Xri1mC5hd06EZjo7I2qtnQ_5_11"/>
      <w:bookmarkStart w:id="896" w:name="Tc_xEFCKVurCkiw5uhObHuU0g_5_8"/>
      <w:bookmarkStart w:id="897" w:name="Tc_qNiKFa01_EOSgWupv2gXAw_5_5"/>
      <w:bookmarkStart w:id="898" w:name="Tc_TwRwzGPM1k-vZ_vwyUzgaw_5_2"/>
      <w:bookmarkStart w:id="899" w:name="Tc_szSqtAap5Ui8Yya2ttb7og_5_0"/>
      <w:bookmarkStart w:id="900" w:name="Tc_wLrY6QncGkqGnLEs21sr9w_4_2"/>
      <w:bookmarkStart w:id="901" w:name="Tc_JFVxtKe0R0aLW1P68kYbeQ_3_11"/>
      <w:bookmarkStart w:id="902" w:name="Tc_YXe928twSEeR4_QFs5S6iA_3_8"/>
      <w:bookmarkStart w:id="903" w:name="Tc_mYlherVXEUS81Gj1-P0GOg_3_5"/>
      <w:bookmarkStart w:id="904" w:name="Tc_yPD60Tx530Gl1MMFXtJeCw_3_2"/>
      <w:bookmarkStart w:id="905" w:name="Tc_e94ASPsjPECLdeF8vWfAfg_2_8"/>
      <w:bookmarkStart w:id="906" w:name="Tc_GHwI-SW_uEqtsoxCq546GQ_2_2"/>
      <w:bookmarkStart w:id="907" w:name="Tc_T9MG-KVdcU-G5A9-KbWpsg_1_8"/>
      <w:bookmarkStart w:id="908" w:name="Tc_2wgo-Bo5kkKuzaa5XpKNMw_1_2"/>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Times New Roman;Times;serif" w:hAnsi="Times New Roman;Times;serif"/>
          <w:b/>
          <w:sz w:val="20"/>
        </w:rPr>
        <w:t>Note 4. Revenue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reflect the organization of our business operations, we divide revenue into two categories: (i) revenue from sales of new systems and (ii) revenue arising from the sale of used systems, parts, and labor to customers who own systems, which we refer to as “Aftermarket.”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by categories used by management are as follows:</w:t>
      </w:r>
    </w:p>
    <w:p>
      <w:pPr>
        <w:pStyle w:val="TextBody"/>
        <w:bidi w:val="0"/>
        <w:spacing w:before="0" w:after="0"/>
        <w:ind w:left="0" w:right="0" w:hanging="0"/>
        <w:jc w:val="left"/>
        <w:rPr/>
      </w:pPr>
      <w:r>
        <w:rPr/>
        <w:t>​</w:t>
      </w:r>
    </w:p>
    <w:tbl>
      <w:tblPr>
        <w:tblW w:w="5459" w:type="dxa"/>
        <w:jc w:val="left"/>
        <w:tblInd w:w="0" w:type="dxa"/>
        <w:tblLayout w:type="fixed"/>
        <w:tblCellMar>
          <w:top w:w="0" w:type="dxa"/>
          <w:left w:w="0" w:type="dxa"/>
          <w:bottom w:w="0" w:type="dxa"/>
          <w:right w:w="0" w:type="dxa"/>
        </w:tblCellMar>
      </w:tblPr>
      <w:tblGrid>
        <w:gridCol w:w="1141"/>
        <w:gridCol w:w="109"/>
        <w:gridCol w:w="196"/>
        <w:gridCol w:w="736"/>
        <w:gridCol w:w="109"/>
        <w:gridCol w:w="196"/>
        <w:gridCol w:w="736"/>
        <w:gridCol w:w="109"/>
        <w:gridCol w:w="196"/>
        <w:gridCol w:w="736"/>
        <w:gridCol w:w="109"/>
        <w:gridCol w:w="196"/>
        <w:gridCol w:w="736"/>
        <w:gridCol w:w="154"/>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24535" cy="175260"/>
                      <wp:effectExtent l="0" t="0" r="0" b="0"/>
                      <wp:wrapNone/>
                      <wp:docPr id="132" name="Frame1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34"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67360" cy="175260"/>
                      <wp:effectExtent l="0" t="0" r="0" b="0"/>
                      <wp:wrapNone/>
                      <wp:docPr id="135" name="Frame13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4460" cy="175260"/>
                      <wp:effectExtent l="0" t="0" r="0" b="0"/>
                      <wp:wrapNone/>
                      <wp:docPr id="137"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7360" cy="175260"/>
                      <wp:effectExtent l="0" t="0" r="0" b="0"/>
                      <wp:wrapNone/>
                      <wp:docPr id="138" name="Frame1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4460" cy="175260"/>
                      <wp:effectExtent l="0" t="0" r="0" b="0"/>
                      <wp:wrapNone/>
                      <wp:docPr id="140"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67360" cy="175260"/>
                      <wp:effectExtent l="0" t="0" r="0" b="0"/>
                      <wp:wrapNone/>
                      <wp:docPr id="141" name="Frame14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67360" cy="175260"/>
                      <wp:effectExtent l="0" t="0" r="0" b="0"/>
                      <wp:wrapNone/>
                      <wp:docPr id="144" name="Frame1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7790" cy="175260"/>
                      <wp:effectExtent l="0" t="0" r="0" b="0"/>
                      <wp:wrapNone/>
                      <wp:docPr id="145" name="Frame14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127"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21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545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09" w:type="dxa"/>
            <w:gridSpan w:val="1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Systems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132,374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133,288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258,700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270,897 </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Aftermarket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82,801</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61,256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155,431</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116,210</w:t>
            </w:r>
          </w:p>
        </w:tc>
        <w:tc>
          <w:tcPr>
            <w:tcW w:w="154" w:type="dxa"/>
            <w:tcBorders/>
            <w:vAlign w:val="center"/>
          </w:tcPr>
          <w:p>
            <w:pPr>
              <w:pStyle w:val="TableContents"/>
              <w:bidi w:val="0"/>
              <w:spacing w:before="0" w:after="0"/>
              <w:ind w:left="0" w:right="0" w:hanging="0"/>
              <w:jc w:val="center"/>
              <w:rPr/>
            </w:pPr>
            <w:r>
              <w:rPr/>
              <w:t>​</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215,175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194,544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414,131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387,107 </w:t>
            </w:r>
          </w:p>
        </w:tc>
        <w:tc>
          <w:tcPr>
            <w:tcW w:w="154"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09" w:name="Tc_ziygIb_DI0Wa_06fU-sNgw_9_11"/>
      <w:bookmarkStart w:id="910" w:name="Tc_FoeSdAfhXEyKoa9gFuDxwQ_9_8"/>
      <w:bookmarkStart w:id="911" w:name="Tc_5RkNyRqBwEW7JYzK1z49IA_9_5"/>
      <w:bookmarkStart w:id="912" w:name="Tc_DMYuCtz8ukG6jF_EUWZDFA_9_2"/>
      <w:bookmarkStart w:id="913" w:name="Tc_RQt_bkDw0E2jEKI1RQeZSw_9_0"/>
      <w:bookmarkStart w:id="914" w:name="Tc_e8ym0HXcbU6Xt_ExzBKhPg_8_0"/>
      <w:bookmarkStart w:id="915" w:name="Tc_MrEffQwwokulpJwnVYrYvQ_7_3"/>
      <w:bookmarkStart w:id="916" w:name="Tc_NUpK8dcLokaQaPEj2OAEyQ_7_0"/>
      <w:bookmarkStart w:id="917" w:name="Tc_IvLaI5V4Z0WF1J0Hcd_MhA_6_0"/>
      <w:bookmarkStart w:id="918" w:name="Tc_pb5KtCHyWUuXHSy6zQQwzA_5_11"/>
      <w:bookmarkStart w:id="919" w:name="Tc_bfkFd9-reUSs2AK8XXk9iw_5_8"/>
      <w:bookmarkStart w:id="920" w:name="Tc_8osLyn3xIkWYS6C-bjPF0g_5_5"/>
      <w:bookmarkStart w:id="921" w:name="Tc_rcjCO8zCK0SkY1eG0rs9Kw_5_2"/>
      <w:bookmarkStart w:id="922" w:name="Tc_dNN_qAMxvEGnI-qDqIURtw_5_0"/>
      <w:bookmarkStart w:id="923" w:name="Tc_ciu4FTARgUWXLSNT3dgBcg_4_2"/>
      <w:bookmarkStart w:id="924" w:name="Tc_nJ0p0mPL6kKiDdQmk_mZ6g_3_11"/>
      <w:bookmarkStart w:id="925" w:name="Tc_x-AxLb5NEUeokkr5E5WE-Q_3_8"/>
      <w:bookmarkStart w:id="926" w:name="Tc_d2feoGUdj0GSv1iLz4rGtw_3_5"/>
      <w:bookmarkStart w:id="927" w:name="Tc_Nz25j32OJk2FiN8-DUnEnw_3_2"/>
      <w:bookmarkStart w:id="928" w:name="Tc_mM_e7mbdwEqo7RrsqbIhFw_2_8"/>
      <w:bookmarkStart w:id="929" w:name="Tc_x0ftFS164UmYOnSKIOCZmw_2_2"/>
      <w:bookmarkStart w:id="930" w:name="Tc_3lj1C40HVEKu813TorKhOA_1_8"/>
      <w:bookmarkStart w:id="931" w:name="Tc_9IM3e8Ekqku0EI4klrkZPw_1_2"/>
      <w:bookmarkStart w:id="932" w:name="_2e5a57d7_0637_4587_9f1d_d030f2861869"/>
      <w:bookmarkStart w:id="933" w:name="Tc_vQ93HAn7okeIKvaPxtlyTg_4_5"/>
      <w:bookmarkStart w:id="934" w:name="Tc_wafJfRq_ukWo31xRQpdK_Q_4_2"/>
      <w:bookmarkStart w:id="935" w:name="Tc_MY8-gg0oCUWZdpKFHoDagQ_4_0"/>
      <w:bookmarkStart w:id="936" w:name="Tc_93t07r4uA0ql4Td6BXy8Tg_3_2"/>
      <w:bookmarkStart w:id="937" w:name="Tc_egi0nl5f6U28APOgI87_BA_2_5"/>
      <w:bookmarkStart w:id="938" w:name="Tc_iOM_yQENJE6ucjEAbKzpwg_2_2"/>
      <w:bookmarkStart w:id="939" w:name="Tc_k-RfIGR410C1cMTwpzOa0Q_1_5"/>
      <w:bookmarkStart w:id="940" w:name="Tc_reQRRuY1wUe7enBRAI5vwA_1_2"/>
      <w:bookmarkStart w:id="941" w:name="Tc_Nul15f27tk6s7d4vOYLloQ_8_11"/>
      <w:bookmarkStart w:id="942" w:name="Tc_nRdUuZQpOEC6qmrK-1mW-A_8_8"/>
      <w:bookmarkStart w:id="943" w:name="Tc_KAwPu3xgekeB5yy4nCOJMA_8_5"/>
      <w:bookmarkStart w:id="944" w:name="Tc_pZM5GiOYAkqd6dJpi0hDzQ_8_2"/>
      <w:bookmarkStart w:id="945" w:name="Tc_kgaHlQwH9kGZOU10ROq7WA_8_0"/>
      <w:bookmarkStart w:id="946" w:name="Tc_rFnTcoq3m0qh6h97BIilXg_7_0"/>
      <w:bookmarkStart w:id="947" w:name="Tc_ABnjZETH5E2kk-Q8JRulww_6_0"/>
      <w:bookmarkStart w:id="948" w:name="Tc_nuNEzJIPWk6Vfn0kLGmj8g_5_11"/>
      <w:bookmarkStart w:id="949" w:name="Tc_2TMh88W3MEmXWo806WYIlQ_5_8"/>
      <w:bookmarkStart w:id="950" w:name="Tc_xVrNJqvExEO1d_kVzvOwEQ_5_5"/>
      <w:bookmarkStart w:id="951" w:name="Tc_piClpEe0M0e24CexnOXvSA_5_2"/>
      <w:bookmarkStart w:id="952" w:name="Tc_FSDdZd1VgEKpqZuKinzthw_5_0"/>
      <w:bookmarkStart w:id="953" w:name="Tc_Y_70BhNfY0qNynpIesvp6Q_4_2"/>
      <w:bookmarkStart w:id="954" w:name="Tc_ma99qptaM0CAocwNTIwD2w_3_11"/>
      <w:bookmarkStart w:id="955" w:name="Tc_Ys1kOiUd5Ee4NZaBVI1ftQ_3_8"/>
      <w:bookmarkStart w:id="956" w:name="Tc_XFoap26KvUySgP44Sq6BuQ_3_5"/>
      <w:bookmarkStart w:id="957" w:name="Tc_myPR3tCotUK06-aP9F3MEg_3_2"/>
      <w:bookmarkStart w:id="958" w:name="Tc_oLzgQ1zhWkupYz81tk_DCw_2_8"/>
      <w:bookmarkStart w:id="959" w:name="Tc_PDdPLop2ukKATkl4KROW9Q_2_2"/>
      <w:bookmarkStart w:id="960" w:name="Tc_2nzMsqfvh0e2mF5gZYfhCA_1_8"/>
      <w:bookmarkStart w:id="961" w:name="Tc_Q6_-TEMCOEqk6IUJi2yItQ_1_2"/>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sz w:val="20"/>
        </w:rPr>
        <w:t>We also consider revenue by geography. Revenue is allocated to geographic markets based upon the location to which our products are shipped and in which our services are performed. Revenue in our principal geographic markets is as follows:</w:t>
      </w:r>
    </w:p>
    <w:p>
      <w:pPr>
        <w:pStyle w:val="TextBody"/>
        <w:bidi w:val="0"/>
        <w:spacing w:before="0" w:after="0"/>
        <w:ind w:left="0" w:right="0" w:hanging="0"/>
        <w:jc w:val="left"/>
        <w:rPr/>
      </w:pPr>
      <w:r>
        <w:rPr/>
        <w:t>​</w:t>
      </w:r>
    </w:p>
    <w:tbl>
      <w:tblPr>
        <w:tblW w:w="5369" w:type="dxa"/>
        <w:jc w:val="left"/>
        <w:tblInd w:w="0" w:type="dxa"/>
        <w:tblLayout w:type="fixed"/>
        <w:tblCellMar>
          <w:top w:w="0" w:type="dxa"/>
          <w:left w:w="0" w:type="dxa"/>
          <w:bottom w:w="0" w:type="dxa"/>
          <w:right w:w="0" w:type="dxa"/>
        </w:tblCellMar>
      </w:tblPr>
      <w:tblGrid>
        <w:gridCol w:w="1231"/>
        <w:gridCol w:w="109"/>
        <w:gridCol w:w="196"/>
        <w:gridCol w:w="691"/>
        <w:gridCol w:w="109"/>
        <w:gridCol w:w="196"/>
        <w:gridCol w:w="691"/>
        <w:gridCol w:w="109"/>
        <w:gridCol w:w="196"/>
        <w:gridCol w:w="691"/>
        <w:gridCol w:w="109"/>
        <w:gridCol w:w="196"/>
        <w:gridCol w:w="691"/>
        <w:gridCol w:w="154"/>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81685" cy="175260"/>
                      <wp:effectExtent l="0" t="0" r="0" b="0"/>
                      <wp:wrapNone/>
                      <wp:docPr id="146" name="Frame14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8"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9" name="Frame1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1"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52" name="Frame1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4"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785" cy="175260"/>
                      <wp:effectExtent l="0" t="0" r="0" b="0"/>
                      <wp:wrapNone/>
                      <wp:docPr id="155" name="Frame1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38785" cy="175260"/>
                      <wp:effectExtent l="0" t="0" r="0" b="0"/>
                      <wp:wrapNone/>
                      <wp:docPr id="158" name="Frame1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7790" cy="175260"/>
                      <wp:effectExtent l="0" t="0" r="0" b="0"/>
                      <wp:wrapNone/>
                      <wp:docPr id="159" name="Frame15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037"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20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536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7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North America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36,182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74,748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Asia Pacific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177,873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145,628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322,291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280,053</w:t>
            </w:r>
          </w:p>
        </w:tc>
        <w:tc>
          <w:tcPr>
            <w:tcW w:w="154" w:type="dxa"/>
            <w:tcBorders/>
            <w:vAlign w:val="center"/>
          </w:tcPr>
          <w:p>
            <w:pPr>
              <w:pStyle w:val="TableContents"/>
              <w:bidi w:val="0"/>
              <w:spacing w:before="0" w:after="0"/>
              <w:ind w:left="0" w:right="0" w:hanging="0"/>
              <w:jc w:val="right"/>
              <w:rPr/>
            </w:pPr>
            <w:r>
              <w:rPr/>
              <w:t>​</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Europe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23,887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14,693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55,658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32,306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215,175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194,544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414,131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387,107</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system sales revenue transactions give rise to contract liabilities (in the case of pre-payments and the fair value of goods and services to be delivered after the system delivery, such as installation and certain warranty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 are as follows:</w:t>
      </w:r>
    </w:p>
    <w:p>
      <w:pPr>
        <w:pStyle w:val="TextBody"/>
        <w:bidi w:val="0"/>
        <w:spacing w:before="0" w:after="0"/>
        <w:ind w:left="0" w:right="0" w:hanging="0"/>
        <w:jc w:val="left"/>
        <w:rPr/>
      </w:pPr>
      <w:r>
        <w:rPr/>
        <w:t>​</w:t>
      </w:r>
    </w:p>
    <w:tbl>
      <w:tblPr>
        <w:tblW w:w="3686" w:type="dxa"/>
        <w:jc w:val="left"/>
        <w:tblInd w:w="0" w:type="dxa"/>
        <w:tblLayout w:type="fixed"/>
        <w:tblCellMar>
          <w:top w:w="0" w:type="dxa"/>
          <w:left w:w="0" w:type="dxa"/>
          <w:bottom w:w="0" w:type="dxa"/>
          <w:right w:w="0" w:type="dxa"/>
        </w:tblCellMar>
      </w:tblPr>
      <w:tblGrid>
        <w:gridCol w:w="1396"/>
        <w:gridCol w:w="109"/>
        <w:gridCol w:w="196"/>
        <w:gridCol w:w="691"/>
        <w:gridCol w:w="109"/>
        <w:gridCol w:w="249"/>
        <w:gridCol w:w="93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886460" cy="175260"/>
                      <wp:effectExtent l="0" t="0" r="0" b="0"/>
                      <wp:wrapNone/>
                      <wp:docPr id="160" name="Frame16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24460" cy="175260"/>
                      <wp:effectExtent l="0" t="0" r="0" b="0"/>
                      <wp:wrapNone/>
                      <wp:docPr id="162" name="Frame1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3"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8115" cy="175260"/>
                      <wp:effectExtent l="0" t="0" r="0" b="0"/>
                      <wp:wrapNone/>
                      <wp:docPr id="165" name="Frame1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94360" cy="175260"/>
                      <wp:effectExtent l="0" t="0" r="0" b="0"/>
                      <wp:wrapNone/>
                      <wp:docPr id="166" name="Frame166"/>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8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118,542</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108,939</w:t>
            </w:r>
          </w:p>
        </w:tc>
      </w:tr>
      <w:tr>
        <w:trPr/>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851" w:type="dxa"/>
        <w:jc w:val="left"/>
        <w:tblInd w:w="0" w:type="dxa"/>
        <w:tblLayout w:type="fixed"/>
        <w:tblCellMar>
          <w:top w:w="0" w:type="dxa"/>
          <w:left w:w="0" w:type="dxa"/>
          <w:bottom w:w="0" w:type="dxa"/>
          <w:right w:w="0" w:type="dxa"/>
        </w:tblCellMar>
      </w:tblPr>
      <w:tblGrid>
        <w:gridCol w:w="2416"/>
        <w:gridCol w:w="109"/>
        <w:gridCol w:w="196"/>
        <w:gridCol w:w="721"/>
        <w:gridCol w:w="109"/>
        <w:gridCol w:w="196"/>
        <w:gridCol w:w="721"/>
        <w:gridCol w:w="286"/>
        <w:gridCol w:w="196"/>
        <w:gridCol w:w="721"/>
        <w:gridCol w:w="109"/>
        <w:gridCol w:w="196"/>
        <w:gridCol w:w="721"/>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34160" cy="175260"/>
                      <wp:effectExtent l="0" t="0" r="0" b="0"/>
                      <wp:wrapNone/>
                      <wp:docPr id="167" name="Frame167"/>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57835" cy="175260"/>
                      <wp:effectExtent l="0" t="0" r="0" b="0"/>
                      <wp:wrapNone/>
                      <wp:docPr id="170" name="Frame1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57835" cy="175260"/>
                      <wp:effectExtent l="0" t="0" r="0" b="0"/>
                      <wp:wrapNone/>
                      <wp:docPr id="173" name="Frame17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81610" cy="175260"/>
                      <wp:effectExtent l="0" t="0" r="0" b="0"/>
                      <wp:wrapNone/>
                      <wp:docPr id="174" name="Frame1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57835" cy="175260"/>
                      <wp:effectExtent l="0" t="0" r="0" b="0"/>
                      <wp:wrapNone/>
                      <wp:docPr id="176" name="Frame1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57835" cy="175260"/>
                      <wp:effectExtent l="0" t="0" r="0" b="0"/>
                      <wp:wrapNone/>
                      <wp:docPr id="179" name="Frame17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7790" cy="175260"/>
                      <wp:effectExtent l="0" t="0" r="0" b="0"/>
                      <wp:wrapNone/>
                      <wp:docPr id="180" name="Frame18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86" w:type="dxa"/>
            <w:tcBorders/>
            <w:vAlign w:val="center"/>
          </w:tcPr>
          <w:p>
            <w:pPr>
              <w:pStyle w:val="TableContents"/>
              <w:bidi w:val="0"/>
              <w:spacing w:before="0" w:after="0"/>
              <w:ind w:left="0" w:right="0" w:hanging="0"/>
              <w:jc w:val="left"/>
              <w:rPr/>
            </w:pPr>
            <w:r>
              <w:rPr/>
              <w:t>​</w:t>
            </w:r>
          </w:p>
        </w:tc>
        <w:tc>
          <w:tcPr>
            <w:tcW w:w="2097"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86" w:type="dxa"/>
            <w:tcBorders/>
            <w:vAlign w:val="center"/>
          </w:tcPr>
          <w:p>
            <w:pPr>
              <w:pStyle w:val="TableContents"/>
              <w:bidi w:val="0"/>
              <w:spacing w:before="0" w:after="0"/>
              <w:ind w:left="0" w:right="0" w:hanging="0"/>
              <w:jc w:val="left"/>
              <w:rPr/>
            </w:pPr>
            <w:r>
              <w:rPr/>
              <w:t>  ​ ​</w:t>
            </w:r>
          </w:p>
        </w:tc>
        <w:tc>
          <w:tcPr>
            <w:tcW w:w="20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28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6851"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109,566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139,324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108,939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138,174</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Deferral of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29,047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42,089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42,207</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Recognition of deferred revenue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(36,356)</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(32,036)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(48,367)</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118,542</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129,742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Adjustment to contracts with customers are assessed to determine if amounts paid by customers represent deferred revenue or liabilities payable to customers and such amounts are accordingly reclassified pursuant to our revenue recognition policy and ASC 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5.  Receivables and Allowances for Credit Losses</w:t>
      </w:r>
    </w:p>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All trade receivables are reported on the consolidated balance sheets at their amortized cost adjusted for any write-offs and net of allowances for credit losses.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did not incur any credit losses or recoveries for the three-month period ended June 30, 2026. We recorded $0.1 million of bad debt expense for the six-month period ended June 30, 2026. We did not incur any credit losses or recoveries for the three and six-month periods ended June 30, 2025. As of both June 30, 2026 and June 30, 2025, we had no allowance for credit losses. </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962" w:name="Tc_Vb77C5FcZUi9_E8Q0_s4jQ_11_11"/>
      <w:bookmarkStart w:id="963" w:name="Tc_s3_KOUovc02-cunv-lztvQ_11_8"/>
      <w:bookmarkStart w:id="964" w:name="Tc_u5oCNQiN0UexohwWEvn3hw_11_5"/>
      <w:bookmarkStart w:id="965" w:name="Tc_jFbzixH750CZMpUlwOLrzg_11_2"/>
      <w:bookmarkStart w:id="966" w:name="Tc_LVCNbrhf2EipkBa7eO3GkQ_11_0"/>
      <w:bookmarkStart w:id="967" w:name="Tc_UyhH1dgqdk6s0DF3pdFQAw_10_11"/>
      <w:bookmarkStart w:id="968" w:name="Tc_3SAv3Lpa006EHnjIv_r0aw_10_8"/>
      <w:bookmarkStart w:id="969" w:name="Tc_1DPswGydgE-2IIWiGovrGg_10_5"/>
      <w:bookmarkStart w:id="970" w:name="Tc_0FGrDJ3tsE6PpCrJ7MuN-Q_10_2"/>
      <w:bookmarkStart w:id="971" w:name="Tc_pYq0TEl-kk-chsF3h57E1w_10_0"/>
      <w:bookmarkStart w:id="972" w:name="Tc_DGGM2v1zi0qlWmuRV_hCug_9_0"/>
      <w:bookmarkStart w:id="973" w:name="Tc_b5ezSfhbsEOYD9er30_nlw_8_0"/>
      <w:bookmarkStart w:id="974" w:name="Tc_f2Cll2_5vUuSLJDa_XNDAQ_7_0"/>
      <w:bookmarkStart w:id="975" w:name="Tc_fWJst5L75EKthL8D7XNtRg_6_0"/>
      <w:bookmarkStart w:id="976" w:name="Tc_J3CAuCCOvkyWs5A-GS5KYw_5_11"/>
      <w:bookmarkStart w:id="977" w:name="Tc_4y96ErCmhEu4t7GvLdRy8Q_5_8"/>
      <w:bookmarkStart w:id="978" w:name="Tc_OhUKAn4FnEGgHzyMfyJ7Tw_5_5"/>
      <w:bookmarkStart w:id="979" w:name="Tc_LQZIIjzqDUS9GPy_Ixq8xA_5_2"/>
      <w:bookmarkStart w:id="980" w:name="Tc_Jm3sUWO25EGl67H8HC7Xag_5_0"/>
      <w:bookmarkStart w:id="981" w:name="Tc_Np87wE7G90uV4sxM0IJ_aA_4_2"/>
      <w:bookmarkStart w:id="982" w:name="Tc_X1ZBS944bk-o9Pp65EE9yA_3_11"/>
      <w:bookmarkStart w:id="983" w:name="Tc_y2KNftwzLEulBPbCwB5B-Q_3_8"/>
      <w:bookmarkStart w:id="984" w:name="Tc_gAwi4uBDjkm2lHNX08J-6w_3_5"/>
      <w:bookmarkStart w:id="985" w:name="Tc_GobkzGj5rkuOClrWn_VVMQ_3_2"/>
      <w:bookmarkStart w:id="986" w:name="Tc_M5B2RD5-006PsoujMmLe2g_2_8"/>
      <w:bookmarkStart w:id="987" w:name="Tc_eyfEDp2aikiXMabOZkbsYg_2_2"/>
      <w:bookmarkStart w:id="988" w:name="Tc_iyY8ju1RNUGoL168srJAVw_1_8"/>
      <w:bookmarkStart w:id="989" w:name="Tc_q-P18quUXkyQJEBs0Mi0yw_1_2"/>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Times New Roman;Times;serif" w:hAnsi="Times New Roman;Times;serif"/>
          <w:b/>
          <w:sz w:val="20"/>
        </w:rPr>
        <w:t>Note 6.  Computation of Net Earnings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Basic earnings per share is computed by dividing income available to common stockholders (the numerator) by the weighted 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vesting of RSUs had been issued, calculated using the treasury stock method. </w:t>
      </w:r>
    </w:p>
    <w:p>
      <w:pPr>
        <w:pStyle w:val="TextBody"/>
        <w:bidi w:val="0"/>
        <w:spacing w:before="0" w:after="0"/>
        <w:ind w:left="0" w:right="0" w:firstLine="547"/>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earnings per share are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242"/>
        <w:gridCol w:w="346"/>
        <w:gridCol w:w="196"/>
        <w:gridCol w:w="601"/>
        <w:gridCol w:w="346"/>
        <w:gridCol w:w="196"/>
        <w:gridCol w:w="601"/>
        <w:gridCol w:w="346"/>
        <w:gridCol w:w="196"/>
        <w:gridCol w:w="601"/>
        <w:gridCol w:w="346"/>
        <w:gridCol w:w="196"/>
        <w:gridCol w:w="601"/>
        <w:gridCol w:w="391"/>
      </w:tblGrid>
      <w:tr>
        <w:trPr/>
        <w:tc>
          <w:tcPr>
            <w:tcW w:w="5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328670" cy="175260"/>
                      <wp:effectExtent l="0" t="0" r="0" b="0"/>
                      <wp:wrapNone/>
                      <wp:docPr id="181" name="Frame181"/>
                      <a:graphic xmlns:a="http://schemas.openxmlformats.org/drawingml/2006/main">
                        <a:graphicData uri="http://schemas.microsoft.com/office/word/2010/wordprocessingShape">
                          <wps:wsp>
                            <wps:cNvSpPr txBox="1"/>
                            <wps:spPr>
                              <a:xfrm>
                                <a:off x="0" y="0"/>
                                <a:ext cx="3328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81635" cy="175260"/>
                      <wp:effectExtent l="0" t="0" r="0" b="0"/>
                      <wp:wrapNone/>
                      <wp:docPr id="184" name="Frame1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86" name="Frame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81635" cy="175260"/>
                      <wp:effectExtent l="0" t="0" r="0" b="0"/>
                      <wp:wrapNone/>
                      <wp:docPr id="187" name="Frame1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81635" cy="175260"/>
                      <wp:effectExtent l="0" t="0" r="0" b="0"/>
                      <wp:wrapNone/>
                      <wp:docPr id="190" name="Frame19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4460" cy="175260"/>
                      <wp:effectExtent l="0" t="0" r="0" b="0"/>
                      <wp:wrapNone/>
                      <wp:docPr id="192" name="Frame1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81635" cy="175260"/>
                      <wp:effectExtent l="0" t="0" r="0" b="0"/>
                      <wp:wrapNone/>
                      <wp:docPr id="193" name="Frame19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48285" cy="175260"/>
                      <wp:effectExtent l="0" t="0" r="0" b="0"/>
                      <wp:wrapNone/>
                      <wp:docPr id="194" name="Frame19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center"/>
              <w:rPr/>
            </w:pPr>
            <w:r>
              <w:rPr/>
              <w:t>​</w:t>
            </w:r>
          </w:p>
        </w:tc>
      </w:tr>
      <w:tr>
        <w:trPr/>
        <w:tc>
          <w:tcPr>
            <w:tcW w:w="52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91" w:type="dxa"/>
            <w:tcBorders/>
            <w:vAlign w:val="center"/>
          </w:tcPr>
          <w:p>
            <w:pPr>
              <w:pStyle w:val="TableContents"/>
              <w:bidi w:val="0"/>
              <w:spacing w:before="0" w:after="0"/>
              <w:ind w:left="0" w:right="0" w:hanging="0"/>
              <w:jc w:val="center"/>
              <w:rPr/>
            </w:pPr>
            <w:r>
              <w:rPr/>
              <w:t>​</w:t>
            </w:r>
          </w:p>
        </w:tc>
      </w:tr>
      <w:tr>
        <w:trPr/>
        <w:tc>
          <w:tcPr>
            <w:tcW w:w="52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2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2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 thousands, except per share amounts) </w:t>
            </w:r>
          </w:p>
        </w:tc>
        <w:tc>
          <w:tcPr>
            <w:tcW w:w="391" w:type="dxa"/>
            <w:tcBorders/>
            <w:vAlign w:val="center"/>
          </w:tcPr>
          <w:p>
            <w:pPr>
              <w:pStyle w:val="TableContents"/>
              <w:bidi w:val="0"/>
              <w:spacing w:before="0" w:after="0"/>
              <w:ind w:left="0" w:right="0" w:hanging="0"/>
              <w:jc w:val="center"/>
              <w:rPr/>
            </w:pPr>
            <w:r>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59,955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of common stock outstanding used in computing basic income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32,051</w:t>
            </w:r>
          </w:p>
        </w:tc>
        <w:tc>
          <w:tcPr>
            <w:tcW w:w="391" w:type="dxa"/>
            <w:tcBorders/>
            <w:vAlign w:val="center"/>
          </w:tcPr>
          <w:p>
            <w:pPr>
              <w:pStyle w:val="TableContents"/>
              <w:bidi w:val="0"/>
              <w:spacing w:before="0" w:after="0"/>
              <w:ind w:left="0" w:right="0" w:hanging="0"/>
              <w:jc w:val="left"/>
              <w:rPr/>
            </w:pPr>
            <w:r>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Incremental RSUs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of common stock used in computing diluted net income per share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32,103</w:t>
            </w:r>
          </w:p>
        </w:tc>
        <w:tc>
          <w:tcPr>
            <w:tcW w:w="391" w:type="dxa"/>
            <w:tcBorders/>
            <w:vAlign w:val="center"/>
          </w:tcPr>
          <w:p>
            <w:pPr>
              <w:pStyle w:val="TableContents"/>
              <w:bidi w:val="0"/>
              <w:spacing w:before="0" w:after="0"/>
              <w:ind w:left="0" w:right="0" w:hanging="0"/>
              <w:jc w:val="left"/>
              <w:rPr/>
            </w:pPr>
            <w:r>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391" w:type="dxa"/>
            <w:tcBorders/>
            <w:vAlign w:val="center"/>
          </w:tcPr>
          <w:p>
            <w:pPr>
              <w:pStyle w:val="TableContents"/>
              <w:bidi w:val="0"/>
              <w:spacing w:before="0" w:after="0"/>
              <w:ind w:left="0" w:right="0" w:hanging="0"/>
              <w:jc w:val="left"/>
              <w:rPr/>
            </w:pPr>
            <w:r>
              <w:rPr/>
              <w:t>​</w:t>
            </w:r>
          </w:p>
        </w:tc>
      </w:tr>
      <w:tr>
        <w:trPr/>
        <w:tc>
          <w:tcPr>
            <w:tcW w:w="52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Diluted weighted average shares of common stock outstanding does not include 93,931 and 509,998 common equivalent shares issuable with respect to outstanding equity awards for the three-month periods ended June 30, 2026 and 2025, respectively, and 51,588 and 411,238 common equivalent shares issuable with respect to outstanding equity awards for the six-month periods ended June 30, 2026 and 2025, respectively, as their effect would have been anti-dilutive.</w:t>
      </w:r>
    </w:p>
    <w:p>
      <w:pPr>
        <w:pStyle w:val="TextBody"/>
        <w:bidi w:val="0"/>
        <w:spacing w:before="0" w:after="0"/>
        <w:ind w:left="0" w:right="0" w:hanging="0"/>
        <w:jc w:val="left"/>
        <w:rPr/>
      </w:pPr>
      <w:r>
        <w:rPr/>
        <w:t>​</w:t>
      </w:r>
    </w:p>
    <w:p>
      <w:pPr>
        <w:pStyle w:val="TextBody"/>
        <w:bidi w:val="0"/>
        <w:spacing w:before="0" w:after="0"/>
        <w:ind w:left="0" w:right="0" w:firstLine="54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720"/>
        <w:jc w:val="left"/>
        <w:rPr>
          <w:rFonts w:ascii="Times New Roman;Times;serif" w:hAnsi="Times New Roman;Times;serif"/>
          <w:b/>
          <w:sz w:val="20"/>
        </w:rPr>
      </w:pPr>
      <w:bookmarkStart w:id="990" w:name="Tc_SpgLSKlJRUe_-D8KclOo_g_7_11"/>
      <w:bookmarkStart w:id="991" w:name="Tc_rsqWzm4IHkmUpcw3zGOD9g_7_8"/>
      <w:bookmarkStart w:id="992" w:name="Tc_wSWFyI096EOJsN6skvAtug_7_6"/>
      <w:bookmarkStart w:id="993" w:name="Tc_0zW9eK16MES0JhoUysAa1w_7_5"/>
      <w:bookmarkStart w:id="994" w:name="Tc_8DyTqwMGhUiTOfQy6e_Bug_7_2"/>
      <w:bookmarkStart w:id="995" w:name="Tc_LfIfEF1K6UCp7j99KrtUfw_7_0"/>
      <w:bookmarkStart w:id="996" w:name="Tc_GnTAMJtpn0i976uALmjpeA_6_0"/>
      <w:bookmarkStart w:id="997" w:name="Tc_7zj-t42eMkacL-K5JOqrkA_5_11"/>
      <w:bookmarkStart w:id="998" w:name="Tc_36zI24_xqkq7fVtT6AQI1g_5_8"/>
      <w:bookmarkStart w:id="999" w:name="Tc_iruy40iNBEOSE27zyS2opw_5_5"/>
      <w:bookmarkStart w:id="1000" w:name="Tc_0xlrwmo-Y0KQjzrdpAT_CQ_5_2"/>
      <w:bookmarkStart w:id="1001" w:name="Tc_kaKSnOXLAEeXhMWC1ebMqg_5_0"/>
      <w:bookmarkStart w:id="1002" w:name="Tc_TOIk7qtuTU6CDnbcD1YttA_4_2"/>
      <w:bookmarkStart w:id="1003" w:name="Tc_66WWAxoKDkCn7WmXSbGF8Q_3_11"/>
      <w:bookmarkStart w:id="1004" w:name="Tc__99TQD93mUmDCHcYq6ZRaw_3_8"/>
      <w:bookmarkStart w:id="1005" w:name="Tc_rghQto2PtkesRRV0LBgvVQ_3_5"/>
      <w:bookmarkStart w:id="1006" w:name="Tc_Z0L2bvFbCkaASUcd8a9yfQ_3_2"/>
      <w:bookmarkStart w:id="1007" w:name="Tc_8M-uYYNdREikT89U2U6GUg_2_8"/>
      <w:bookmarkStart w:id="1008" w:name="Tc_ajyFChfqREKZcm-yPI_5ew_2_5"/>
      <w:bookmarkStart w:id="1009" w:name="Tc_beXv_W32Mk-nu1rUsThxqw_2_2"/>
      <w:bookmarkStart w:id="1010" w:name="Tc_9sQanigBQkaW2hi4O8fY-g_1_8"/>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ascii="Times New Roman;Times;serif" w:hAnsi="Times New Roman;Times;serif"/>
          <w:b/>
          <w:sz w:val="20"/>
        </w:rPr>
        <w:t xml:space="preserve">Note 7.  Accumulated Other Comprehensive Loss </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changes in accumulated other comprehensive loss, by component, for the six months ended June 30, 2026:</w:t>
      </w:r>
    </w:p>
    <w:p>
      <w:pPr>
        <w:pStyle w:val="TextBody"/>
        <w:bidi w:val="0"/>
        <w:spacing w:before="0" w:after="0"/>
        <w:ind w:left="0" w:right="0" w:firstLine="720"/>
        <w:jc w:val="left"/>
        <w:rPr/>
      </w:pPr>
      <w:r>
        <w:rPr/>
        <w:t>​</w:t>
      </w:r>
    </w:p>
    <w:tbl>
      <w:tblPr>
        <w:tblW w:w="10176" w:type="dxa"/>
        <w:jc w:val="left"/>
        <w:tblInd w:w="0" w:type="dxa"/>
        <w:tblLayout w:type="fixed"/>
        <w:tblCellMar>
          <w:top w:w="0" w:type="dxa"/>
          <w:left w:w="0" w:type="dxa"/>
          <w:bottom w:w="0" w:type="dxa"/>
          <w:right w:w="0" w:type="dxa"/>
        </w:tblCellMar>
      </w:tblPr>
      <w:tblGrid>
        <w:gridCol w:w="3661"/>
        <w:gridCol w:w="346"/>
        <w:gridCol w:w="196"/>
        <w:gridCol w:w="631"/>
        <w:gridCol w:w="346"/>
        <w:gridCol w:w="434"/>
        <w:gridCol w:w="767"/>
        <w:gridCol w:w="346"/>
        <w:gridCol w:w="532"/>
        <w:gridCol w:w="1553"/>
        <w:gridCol w:w="346"/>
        <w:gridCol w:w="196"/>
        <w:gridCol w:w="631"/>
        <w:gridCol w:w="19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324735" cy="175260"/>
                      <wp:effectExtent l="0" t="0" r="0" b="0"/>
                      <wp:wrapNone/>
                      <wp:docPr id="195" name="Frame195"/>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00685" cy="175260"/>
                      <wp:effectExtent l="0" t="0" r="0" b="0"/>
                      <wp:wrapNone/>
                      <wp:docPr id="198" name="Frame19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5590" cy="175260"/>
                      <wp:effectExtent l="0" t="0" r="0" b="0"/>
                      <wp:wrapNone/>
                      <wp:docPr id="200" name="Frame200"/>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87045" cy="175260"/>
                      <wp:effectExtent l="0" t="0" r="0" b="0"/>
                      <wp:wrapNone/>
                      <wp:docPr id="201" name="Frame20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37820" cy="175260"/>
                      <wp:effectExtent l="0" t="0" r="0" b="0"/>
                      <wp:wrapNone/>
                      <wp:docPr id="203" name="Frame203"/>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86155" cy="175260"/>
                      <wp:effectExtent l="0" t="0" r="0" b="0"/>
                      <wp:wrapNone/>
                      <wp:docPr id="204" name="Frame204"/>
                      <a:graphic xmlns:a="http://schemas.openxmlformats.org/drawingml/2006/main">
                        <a:graphicData uri="http://schemas.microsoft.com/office/word/2010/wordprocessingShape">
                          <wps:wsp>
                            <wps:cNvSpPr txBox="1"/>
                            <wps:spPr>
                              <a:xfrm>
                                <a:off x="0" y="0"/>
                                <a:ext cx="986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206"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00685" cy="175260"/>
                      <wp:effectExtent l="0" t="0" r="0" b="0"/>
                      <wp:wrapNone/>
                      <wp:docPr id="207" name="Frame20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1285" cy="175260"/>
                      <wp:effectExtent l="0" t="0" r="0" b="0"/>
                      <wp:wrapNone/>
                      <wp:docPr id="208" name="Frame20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0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 (losses) on</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46" w:type="dxa"/>
            <w:tcBorders/>
            <w:vAlign w:val="center"/>
          </w:tcPr>
          <w:p>
            <w:pPr>
              <w:pStyle w:val="TableContents"/>
              <w:bidi w:val="0"/>
              <w:spacing w:before="0" w:after="0"/>
              <w:ind w:left="0" w:right="0" w:hanging="0"/>
              <w:jc w:val="center"/>
              <w:rPr/>
            </w:pPr>
            <w:r>
              <w:rPr/>
              <w:t>​</w:t>
            </w:r>
          </w:p>
        </w:tc>
        <w:tc>
          <w:tcPr>
            <w:tcW w:w="20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plan</w:t>
            </w:r>
          </w:p>
        </w:tc>
        <w:tc>
          <w:tcPr>
            <w:tcW w:w="346" w:type="dxa"/>
            <w:tcBorders/>
            <w:vAlign w:val="center"/>
          </w:tcPr>
          <w:p>
            <w:pPr>
              <w:pStyle w:val="TableContents"/>
              <w:bidi w:val="0"/>
              <w:spacing w:before="0" w:after="0"/>
              <w:ind w:left="0" w:right="0" w:hanging="0"/>
              <w:jc w:val="center"/>
              <w:rPr/>
            </w:pPr>
            <w:r>
              <w:rPr/>
              <w:t>​</w:t>
            </w:r>
          </w:p>
        </w:tc>
        <w:tc>
          <w:tcPr>
            <w:tcW w:w="2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10176"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9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(2,657)</w:t>
            </w:r>
          </w:p>
        </w:tc>
        <w:tc>
          <w:tcPr>
            <w:tcW w:w="34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and reclassifications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(2,662)</w:t>
            </w:r>
          </w:p>
        </w:tc>
        <w:tc>
          <w:tcPr>
            <w:tcW w:w="346" w:type="dxa"/>
            <w:tcBorders/>
            <w:vAlign w:val="center"/>
          </w:tcPr>
          <w:p>
            <w:pPr>
              <w:pStyle w:val="TableContents"/>
              <w:bidi w:val="0"/>
              <w:spacing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5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(4,204)</w:t>
            </w:r>
          </w:p>
        </w:tc>
        <w:tc>
          <w:tcPr>
            <w:tcW w:w="191" w:type="dxa"/>
            <w:tcBorders/>
            <w:vAlign w:val="center"/>
          </w:tcPr>
          <w:p>
            <w:pPr>
              <w:pStyle w:val="TableContents"/>
              <w:bidi w:val="0"/>
              <w:spacing w:before="0" w:after="0"/>
              <w:ind w:left="0" w:right="0" w:hanging="0"/>
              <w:jc w:val="left"/>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(5,319)</w:t>
            </w:r>
          </w:p>
        </w:tc>
        <w:tc>
          <w:tcPr>
            <w:tcW w:w="346" w:type="dxa"/>
            <w:tcBorders/>
            <w:shd w:fill="CCEEFF" w:val="clear"/>
            <w:vAlign w:val="center"/>
          </w:tcPr>
          <w:p>
            <w:pPr>
              <w:pStyle w:val="TableContents"/>
              <w:bidi w:val="0"/>
              <w:spacing w:before="0" w:after="0"/>
              <w:ind w:left="0" w:right="0" w:hanging="0"/>
              <w:jc w:val="left"/>
              <w:rPr/>
            </w:pPr>
            <w:r>
              <w:rPr/>
              <w:t>​</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11" w:name="Tc_jFpNd51SE0CvP_oON431Lg_6_4"/>
      <w:bookmarkStart w:id="1012" w:name="Tc_-49u6WPQk0-BG4QHNMpQVA_6_1"/>
      <w:bookmarkStart w:id="1013" w:name="Tc_xzTmhXOQM06K1ns2b0stIA_6_0"/>
      <w:bookmarkStart w:id="1014" w:name="Tc_wSRZsqxtEUO7siOtixZ7bQ_5_0"/>
      <w:bookmarkStart w:id="1015" w:name="Tc_EGAB87D5j0-Al6RYhLRujA_4_4"/>
      <w:bookmarkStart w:id="1016" w:name="Tc_Of6ofmjkTUWA7GZt4CLg8A_4_1"/>
      <w:bookmarkStart w:id="1017" w:name="Tc_9Yq8Oprq9UKW7j0zzhvVIQ_4_0"/>
      <w:bookmarkStart w:id="1018" w:name="Tc_71QGKQymtUuhe2bkcd1i-w_3_1"/>
      <w:bookmarkStart w:id="1019" w:name="Tc_K8PsMXNo6E-lS2A8Jt2Lzw_2_5"/>
      <w:bookmarkStart w:id="1020" w:name="Tc_jgmhrpi8_U-fZ3MrQN9ltw_2_1"/>
      <w:bookmarkStart w:id="1021" w:name="Tc_9FV0Jjfy6EScODVJ9LJdGw_1_4"/>
      <w:bookmarkStart w:id="1022" w:name="Tc_YAVQ13-lJk2kX7LE6Bjw6g_1_1"/>
      <w:bookmarkEnd w:id="1011"/>
      <w:bookmarkEnd w:id="1012"/>
      <w:bookmarkEnd w:id="1013"/>
      <w:bookmarkEnd w:id="1014"/>
      <w:bookmarkEnd w:id="1015"/>
      <w:bookmarkEnd w:id="1016"/>
      <w:bookmarkEnd w:id="1017"/>
      <w:bookmarkEnd w:id="1018"/>
      <w:bookmarkEnd w:id="1019"/>
      <w:bookmarkEnd w:id="1020"/>
      <w:bookmarkEnd w:id="1021"/>
      <w:bookmarkEnd w:id="1022"/>
      <w:r>
        <w:rPr>
          <w:rFonts w:ascii="Times New Roman;Times;serif" w:hAnsi="Times New Roman;Times;serif"/>
          <w:b/>
          <w:sz w:val="20"/>
        </w:rPr>
        <w:t>Note 8.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balances on hand, cash equivalents, which include short-term investments having a maturity of 90 days or less at time of purchase, and restricted cash reported within the consolidated balance sheets to the total of the amounts shown in the statement of cash flows:</w:t>
      </w:r>
    </w:p>
    <w:p>
      <w:pPr>
        <w:pStyle w:val="TextBody"/>
        <w:bidi w:val="0"/>
        <w:spacing w:before="0" w:after="0"/>
        <w:ind w:left="0" w:right="0" w:hanging="0"/>
        <w:jc w:val="left"/>
        <w:rPr/>
      </w:pPr>
      <w:r>
        <w:rPr/>
        <w:t>​</w:t>
      </w:r>
    </w:p>
    <w:tbl>
      <w:tblPr>
        <w:tblW w:w="5662" w:type="dxa"/>
        <w:jc w:val="left"/>
        <w:tblInd w:w="0" w:type="dxa"/>
        <w:tblLayout w:type="fixed"/>
        <w:tblCellMar>
          <w:top w:w="0" w:type="dxa"/>
          <w:left w:w="0" w:type="dxa"/>
          <w:bottom w:w="0" w:type="dxa"/>
          <w:right w:w="0" w:type="dxa"/>
        </w:tblCellMar>
      </w:tblPr>
      <w:tblGrid>
        <w:gridCol w:w="3436"/>
        <w:gridCol w:w="196"/>
        <w:gridCol w:w="736"/>
        <w:gridCol w:w="109"/>
        <w:gridCol w:w="224"/>
        <w:gridCol w:w="96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81860" cy="175260"/>
                      <wp:effectExtent l="0" t="0" r="0" b="0"/>
                      <wp:wrapNone/>
                      <wp:docPr id="209" name="Frame209"/>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67360" cy="175260"/>
                      <wp:effectExtent l="0" t="0" r="0" b="0"/>
                      <wp:wrapNone/>
                      <wp:docPr id="211" name="Frame21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2240" cy="175260"/>
                      <wp:effectExtent l="0" t="0" r="0" b="0"/>
                      <wp:wrapNone/>
                      <wp:docPr id="213" name="Frame21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10235" cy="175260"/>
                      <wp:effectExtent l="0" t="0" r="0" b="0"/>
                      <wp:wrapNone/>
                      <wp:docPr id="214" name="Frame2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343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62"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w:t>
            </w:r>
          </w:p>
        </w:tc>
        <w:tc>
          <w:tcPr>
            <w:tcW w:w="222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154,996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145,451 </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restricted cash</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10,633 </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10,627 </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165,629 </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156,078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had $10.6 million in restricted cash representing the total of (i) a $5.9 million cash collateralized letter of credit serving as a security deposit for our headquarters lease in Beverly, Massachusetts, (ii) a $3.9 million letter of credit for customs purposes, (iii) a $0.7 million cash collateralized letter of credit relating to workers’ compensation insurance and (iv) a $0.1 million deposit relating to customs activity. See Note 12 for further discussion on the $5.9 million cash collateralized letter of credit.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023" w:name="Tc_M0fkeyaPhEKmXJtk6r6tLw_7_5"/>
      <w:bookmarkStart w:id="1024" w:name="Tc_5fsyLFkkCk2I4YXDm5TsWQ_7_2"/>
      <w:bookmarkStart w:id="1025" w:name="Tc_ZZY4yBUcskuiEBVbZYEsRQ_7_0"/>
      <w:bookmarkStart w:id="1026" w:name="Tc_Pvqz6oqe3EeTn4L4gfyDBA_6_0"/>
      <w:bookmarkStart w:id="1027" w:name="Tc_VNVS2joyUE2O1DQhDnXNqQ_5_0"/>
      <w:bookmarkStart w:id="1028" w:name="Tc_t8MHMLAUsE6n2ZjhylLKTw_4_5"/>
      <w:bookmarkStart w:id="1029" w:name="Tc_65e1U1LZp0W634xq72Q4ng_4_2"/>
      <w:bookmarkStart w:id="1030" w:name="Tc_tMR1zK10KU-z1mvXP9IOPw_4_0"/>
      <w:bookmarkStart w:id="1031" w:name="Tc_nYj_cI1ZCUW1W8MRiLvS7w_3_2"/>
      <w:bookmarkStart w:id="1032" w:name="Tc_aK8WCX5a9kWYzp0Bko0S9A_2_5"/>
      <w:bookmarkStart w:id="1033" w:name="Tc_gOi8yOk7uEuB9MpFK8OuTA_2_2"/>
      <w:bookmarkStart w:id="1034" w:name="Tc_nMozwPta0ECZ0L_DIWeA3Q_1_5"/>
      <w:bookmarkStart w:id="1035" w:name="Tc_qEFWUzmc70-SlZKi07MknA_1_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Pr>
          <w:rFonts w:ascii="Times New Roman;Times;serif" w:hAnsi="Times New Roman;Times;serif"/>
          <w:b/>
          <w:sz w:val="20"/>
        </w:rPr>
        <w:t>Note 9.  Inventories,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bidi w:val="0"/>
        <w:spacing w:before="0" w:after="0"/>
        <w:ind w:left="0" w:right="0" w:hanging="0"/>
        <w:jc w:val="left"/>
        <w:rPr/>
      </w:pPr>
      <w:r>
        <w:rPr/>
        <w:t>​</w:t>
      </w:r>
    </w:p>
    <w:tbl>
      <w:tblPr>
        <w:tblW w:w="5826" w:type="dxa"/>
        <w:jc w:val="left"/>
        <w:tblInd w:w="0" w:type="dxa"/>
        <w:tblLayout w:type="fixed"/>
        <w:tblCellMar>
          <w:top w:w="0" w:type="dxa"/>
          <w:left w:w="0" w:type="dxa"/>
          <w:bottom w:w="0" w:type="dxa"/>
          <w:right w:w="0" w:type="dxa"/>
        </w:tblCellMar>
      </w:tblPr>
      <w:tblGrid>
        <w:gridCol w:w="2716"/>
        <w:gridCol w:w="346"/>
        <w:gridCol w:w="196"/>
        <w:gridCol w:w="691"/>
        <w:gridCol w:w="346"/>
        <w:gridCol w:w="252"/>
        <w:gridCol w:w="888"/>
        <w:gridCol w:w="39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724660" cy="175260"/>
                      <wp:effectExtent l="0" t="0" r="0" b="0"/>
                      <wp:wrapNone/>
                      <wp:docPr id="215" name="Frame215"/>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4460" cy="175260"/>
                      <wp:effectExtent l="0" t="0" r="0" b="0"/>
                      <wp:wrapNone/>
                      <wp:docPr id="217" name="Frame2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38785" cy="175260"/>
                      <wp:effectExtent l="0" t="0" r="0" b="0"/>
                      <wp:wrapNone/>
                      <wp:docPr id="218"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0020" cy="175260"/>
                      <wp:effectExtent l="0" t="0" r="0" b="0"/>
                      <wp:wrapNone/>
                      <wp:docPr id="220" name="Frame22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63880" cy="175260"/>
                      <wp:effectExtent l="0" t="0" r="0" b="0"/>
                      <wp:wrapNone/>
                      <wp:docPr id="221" name="Frame221"/>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8285" cy="175260"/>
                      <wp:effectExtent l="0" t="0" r="0" b="0"/>
                      <wp:wrapNone/>
                      <wp:docPr id="222" name="Frame2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91" w:type="dxa"/>
            <w:tcBorders/>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582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274,338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259,039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 in process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55,611</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51,761</w:t>
            </w:r>
          </w:p>
        </w:tc>
        <w:tc>
          <w:tcPr>
            <w:tcW w:w="391"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Finished goods (completed systems)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18,210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338,174</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329,010</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10.  Product Warranty</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generally offer a one-year warranty for all of our systems, the terms and conditions of which vary depending upon the product sold. For all systems sold, we accrue a liability for the estimated cost of standard warranty at the time of system shipment and, if applicable, defer the portion of systems revenue attributable to non-standard warranty. Costs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36" w:name="Tc_4IQxXJfUhE-EZOZ5k58ZRA_13_5"/>
      <w:bookmarkStart w:id="1037" w:name="Tc_3Rz9kJ6NZEKJNRm1wPGaiQ_13_2"/>
      <w:bookmarkStart w:id="1038" w:name="Tc_-4WMC8OeyUOlsMS_MU-hyw_13_0"/>
      <w:bookmarkStart w:id="1039" w:name="Tc_DhHvGCjeoUOAEW84V3mXPA_12_0"/>
      <w:bookmarkStart w:id="1040" w:name="Tc_uCNT63x5e0aXXJ4ZDOODHQ_11_5"/>
      <w:bookmarkStart w:id="1041" w:name="Tc_B3mzPMicfUSEbnhsOqWAXw_11_2"/>
      <w:bookmarkStart w:id="1042" w:name="Tc_-Aw5hwXt_UGt299-kosY1w_11_0"/>
      <w:bookmarkStart w:id="1043" w:name="Tc_kFWY-A6VT0Sb91wrUTq9vw_9_5"/>
      <w:bookmarkStart w:id="1044" w:name="Tc_s7FYgOZYlkyEzLL1aTbgcA_9_2"/>
      <w:bookmarkStart w:id="1045" w:name="Tc_a7Q1SsPpPEyoAaeg_aR3aQ_9_0"/>
      <w:bookmarkStart w:id="1046" w:name="Tc_VEqdq8xeX0eL9GNzi9Pw3Q_8_0"/>
      <w:bookmarkStart w:id="1047" w:name="Tc_rXv8JTXNBEOUeVEvucYTmQ_7_0"/>
      <w:bookmarkStart w:id="1048" w:name="Tc_6thHGcw7gkKRASuTSF4CTg_6_0"/>
      <w:bookmarkStart w:id="1049" w:name="Tc_m_ah-7dKn0e03K3E2ODZVQ_5_5"/>
      <w:bookmarkStart w:id="1050" w:name="Tc_J4HpUwMhlkmDnfcxn5D4xA_5_2"/>
      <w:bookmarkStart w:id="1051" w:name="Tc_Wz4-53PGDUa12nkoSZPk5w_5_0"/>
      <w:bookmarkStart w:id="1052" w:name="Tc_i_A-okIQRE2hCqGHtXYjuw_4_2"/>
      <w:bookmarkStart w:id="1053" w:name="Tc_6s1fSTaDQU2qluOszopbow_3_5"/>
      <w:bookmarkStart w:id="1054" w:name="Tc_8ZVW216TlU-lA6l30TStmg_3_2"/>
      <w:bookmarkStart w:id="1055" w:name="Tc_vupujBJR2kCO9m7zrddlgg_2_2"/>
      <w:bookmarkStart w:id="1056" w:name="Tc_WZe4JxFfz0Kus82kBW1yrw_1_2"/>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Pr>
          <w:rFonts w:ascii="Times New Roman;Times;serif" w:hAnsi="Times New Roman;Times;serif"/>
          <w:sz w:val="20"/>
        </w:rPr>
        <w:t>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our standard product warranty liability are as follows:</w:t>
      </w:r>
    </w:p>
    <w:p>
      <w:pPr>
        <w:pStyle w:val="TextBody"/>
        <w:bidi w:val="0"/>
        <w:spacing w:before="0" w:after="0"/>
        <w:ind w:left="0" w:right="0" w:hanging="0"/>
        <w:jc w:val="left"/>
        <w:rPr/>
      </w:pPr>
      <w:r>
        <w:rPr/>
        <w:t>​</w:t>
      </w:r>
    </w:p>
    <w:tbl>
      <w:tblPr>
        <w:tblW w:w="8213" w:type="dxa"/>
        <w:jc w:val="left"/>
        <w:tblInd w:w="0" w:type="dxa"/>
        <w:tblLayout w:type="fixed"/>
        <w:tblCellMar>
          <w:top w:w="0" w:type="dxa"/>
          <w:left w:w="0" w:type="dxa"/>
          <w:bottom w:w="0" w:type="dxa"/>
          <w:right w:w="0" w:type="dxa"/>
        </w:tblCellMar>
      </w:tblPr>
      <w:tblGrid>
        <w:gridCol w:w="5476"/>
        <w:gridCol w:w="346"/>
        <w:gridCol w:w="196"/>
        <w:gridCol w:w="631"/>
        <w:gridCol w:w="346"/>
        <w:gridCol w:w="196"/>
        <w:gridCol w:w="631"/>
        <w:gridCol w:w="391"/>
      </w:tblGrid>
      <w:tr>
        <w:trPr/>
        <w:tc>
          <w:tcPr>
            <w:tcW w:w="5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477260" cy="175260"/>
                      <wp:effectExtent l="0" t="0" r="0" b="0"/>
                      <wp:wrapNone/>
                      <wp:docPr id="223" name="Frame223"/>
                      <a:graphic xmlns:a="http://schemas.openxmlformats.org/drawingml/2006/main">
                        <a:graphicData uri="http://schemas.microsoft.com/office/word/2010/wordprocessingShape">
                          <wps:wsp>
                            <wps:cNvSpPr txBox="1"/>
                            <wps:spPr>
                              <a:xfrm>
                                <a:off x="0" y="0"/>
                                <a:ext cx="3477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25"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00685" cy="175260"/>
                      <wp:effectExtent l="0" t="0" r="0" b="0"/>
                      <wp:wrapNone/>
                      <wp:docPr id="226" name="Frame22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4460" cy="175260"/>
                      <wp:effectExtent l="0" t="0" r="0" b="0"/>
                      <wp:wrapNone/>
                      <wp:docPr id="228" name="Frame2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00685" cy="175260"/>
                      <wp:effectExtent l="0" t="0" r="0" b="0"/>
                      <wp:wrapNone/>
                      <wp:docPr id="229" name="Frame22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48285" cy="175260"/>
                      <wp:effectExtent l="0" t="0" r="0" b="0"/>
                      <wp:wrapNone/>
                      <wp:docPr id="230" name="Frame2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center"/>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91" w:type="dxa"/>
            <w:tcBorders/>
            <w:vAlign w:val="center"/>
          </w:tcPr>
          <w:p>
            <w:pPr>
              <w:pStyle w:val="TableContents"/>
              <w:bidi w:val="0"/>
              <w:spacing w:before="0" w:after="0"/>
              <w:ind w:left="0" w:right="0" w:hanging="0"/>
              <w:jc w:val="center"/>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821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center"/>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January 1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15,183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Warranties issued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4,334</w:t>
            </w:r>
          </w:p>
        </w:tc>
        <w:tc>
          <w:tcPr>
            <w:tcW w:w="3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Settlements made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estimate of liability for pre-existing warranties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June 30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long-term (within other long-term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1,688</w:t>
            </w:r>
          </w:p>
        </w:tc>
        <w:tc>
          <w:tcPr>
            <w:tcW w:w="3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warranty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12,591</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11.  Fair Value Measurements</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before="0" w:after="0"/>
        <w:ind w:left="0" w:right="0" w:firstLine="54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(a)  Fair Value Hierarchy</w:t>
      </w:r>
    </w:p>
    <w:p>
      <w:pPr>
        <w:pStyle w:val="TextBody"/>
        <w:pBdr/>
        <w:bidi w:val="0"/>
        <w:spacing w:before="0" w:after="0"/>
        <w:ind w:left="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1 - applies to assets or liabilities for which there are quoted prices in active markets for identical assets or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 applies to assets or liabilities for which there are unobservable inputs to the valuation methodology that are significant to the measurement of the fair value of the assets or liabilities.</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b/>
          <w:sz w:val="20"/>
        </w:rPr>
        <w:t>(b)  Fair Value Measurements</w:t>
      </w:r>
      <w:r>
        <w:rPr>
          <w:rFonts w:ascii="Times New Roman;Times;serif" w:hAnsi="Times New Roman;Times;serif"/>
          <w:color w:val="FF0000"/>
          <w:sz w:val="20"/>
        </w:rPr>
        <w:t xml:space="preserve"> </w:t>
      </w:r>
    </w:p>
    <w:p>
      <w:pPr>
        <w:pStyle w:val="TextBody"/>
        <w:pBdr/>
        <w:bidi w:val="0"/>
        <w:spacing w:before="0" w:after="0"/>
        <w:ind w:left="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 Investments that have a maturity of greater than one year are included within long-term investments in the consolidated balance sheets.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057" w:name="Tc_kbNASN3MF0qSqG-ykZuFlg_5_5"/>
      <w:bookmarkStart w:id="1058" w:name="Tc_6xz5uGQelU-wcF4_kN4lFQ_5_2"/>
      <w:bookmarkStart w:id="1059" w:name="Tc_H8y4NZrAUEO4hQSMR4hHFA_5_0"/>
      <w:bookmarkStart w:id="1060" w:name="Tc__kvrNpLVckKr15TIw6fBhg_4_0"/>
      <w:bookmarkStart w:id="1061" w:name="Tc_he73L6pD2EG2qUEM9jF13g_3_5"/>
      <w:bookmarkStart w:id="1062" w:name="Tc_qcOgTeaskkeIncbAGNIggA_3_2"/>
      <w:bookmarkStart w:id="1063" w:name="Tc_HwUaUWq4pEi2RyZARFtkFA_3_0"/>
      <w:bookmarkStart w:id="1064" w:name="Tc_Cc8L5A4RXEGQ0he-gnmTqg_2_2"/>
      <w:bookmarkStart w:id="1065" w:name="Tc_tJ06Jr9JLEu7na0vB_XC1g_1_5"/>
      <w:bookmarkStart w:id="1066" w:name="Tc_75TyQ3U_WkiXQl1zu3h3-Q_1_2"/>
      <w:bookmarkStart w:id="1067" w:name="_0d2d302c_2736_4683_8e2f_6abda8f22d39"/>
      <w:bookmarkStart w:id="1068" w:name="Tc_VEDJM_DWW0unDohic1zZnQ_11_11"/>
      <w:bookmarkStart w:id="1069" w:name="Tc_uaJbqefWYkG5ItSpXWlqzw_11_9"/>
      <w:bookmarkStart w:id="1070" w:name="Tc__o2p08woNEGTRhILV0B04Q_11_8"/>
      <w:bookmarkStart w:id="1071" w:name="Tc_I2g522FiCUGd2_vv8Ay2Og_11_5"/>
      <w:bookmarkStart w:id="1072" w:name="Tc_OiEjQb7af0SAQqoOUyeL6A_11_2"/>
      <w:bookmarkStart w:id="1073" w:name="Tc_NfNTAWfodUmO-xcZ71KWAg_11_0"/>
      <w:bookmarkStart w:id="1074" w:name="Tc_BgJ0fPOPjEqj7xZJz_5KCA_10_9"/>
      <w:bookmarkStart w:id="1075" w:name="Tc_9S8hsjhbX0m7DTFKLM4HOw_10_6"/>
      <w:bookmarkStart w:id="1076" w:name="Tc_JV4m2Jq_50G1-vQOV53y_g_10_0"/>
      <w:bookmarkStart w:id="1077" w:name="Tc_6JDIpxEYWUGssoRD3tlGEA_9_9"/>
      <w:bookmarkStart w:id="1078" w:name="Tc_k475oIwZwUubrEGfoJQiSA_9_3"/>
      <w:bookmarkStart w:id="1079" w:name="Tc_oLkuq_NmCkeHVrN92Dj0sQ_8_9"/>
      <w:bookmarkStart w:id="1080" w:name="Tc_Ssxcn2Ti80ec-vF5GRIb0Q_8_6"/>
      <w:bookmarkStart w:id="1081" w:name="Tc_7wuL-8iFCkW2nJf9aURQFA_8_0"/>
      <w:bookmarkStart w:id="1082" w:name="Tc_kQlHAfhsekiEjVClfH_Raw_7_11"/>
      <w:bookmarkStart w:id="1083" w:name="Tc_lZyvrm_8vUmMDzhO8ifW-g_7_9"/>
      <w:bookmarkStart w:id="1084" w:name="Tc_Nk0IEUY38UeXhmSAM8EOjw_7_8"/>
      <w:bookmarkStart w:id="1085" w:name="Tc_7gJk_R4YBECCICTJJivpEQ_7_6"/>
      <w:bookmarkStart w:id="1086" w:name="Tc_YidzkDcFvEatOBxMGXSPEg_7_5"/>
      <w:bookmarkStart w:id="1087" w:name="Tc_Hr7v7QNxvEOAyH9toNTbBw_7_2"/>
      <w:bookmarkStart w:id="1088" w:name="Tc_yL-tvAUe_0eeg8dW2T7mCg_7_0"/>
      <w:bookmarkStart w:id="1089" w:name="Tc_rTFOPANYbkOk3gIXrQ0mIg_6_0"/>
      <w:bookmarkStart w:id="1090" w:name="Tc_lyceNsVunEexkqWpDGrAeQ_5_0"/>
      <w:bookmarkStart w:id="1091" w:name="Tc_ugtWmk6IV0O8HOKL61Xi2w_4_2"/>
      <w:bookmarkStart w:id="1092" w:name="Tc_FRhgG_Up10eehR41Iiz8Tw_3_11"/>
      <w:bookmarkStart w:id="1093" w:name="Tc_0EY_qFIvT06gORVyZ_eE3g_3_8"/>
      <w:bookmarkStart w:id="1094" w:name="Tc_O340W3p3Z0qRqVLikgwBjA_3_5"/>
      <w:bookmarkStart w:id="1095" w:name="Tc_MvUnPLwhaEuRp0lgFdQFew_3_2"/>
      <w:bookmarkStart w:id="1096" w:name="Tc_LPNWPXPMHkaVKovdDibgmw_2_2"/>
      <w:bookmarkStart w:id="1097" w:name="Tc_MyG124luYUasheORybhtCg_1_2"/>
      <w:bookmarkStart w:id="1098" w:name="_08564c05_a993_43cf_b655_9a9c544a2e50"/>
      <w:bookmarkStart w:id="1099" w:name="Tc_36vgRxyuE0aG4-UXeQgoiw_11_11"/>
      <w:bookmarkStart w:id="1100" w:name="Tc_D-gF4LM7fkeI8pqTToPnLA_11_9"/>
      <w:bookmarkStart w:id="1101" w:name="Tc_ZfO0fZhSLEqnfzJoFfhvOQ_11_8"/>
      <w:bookmarkStart w:id="1102" w:name="Tc_2KlbGh3OcEukAubhHW9nVA_11_5"/>
      <w:bookmarkStart w:id="1103" w:name="Tc_V-EPzxtS5UCGD9oOqpi7hQ_11_2"/>
      <w:bookmarkStart w:id="1104" w:name="Tc_tjATutmLVEmhUNOAuZu5qA_11_0"/>
      <w:bookmarkStart w:id="1105" w:name="Tc__Dm2EPLOuUe59wo5Zttd0A_10_9"/>
      <w:bookmarkStart w:id="1106" w:name="Tc_IsFurudg70eafr1OxrZZeg_10_6"/>
      <w:bookmarkStart w:id="1107" w:name="Tc_0z359I_zSE2K-zuCYBlF3g_10_0"/>
      <w:bookmarkStart w:id="1108" w:name="Tc_ONr7DYtc_Uykjwdrt80iFw_9_9"/>
      <w:bookmarkStart w:id="1109" w:name="Tc_iC2J2l9qQEm5irtd0eAKxg_9_3"/>
      <w:bookmarkStart w:id="1110" w:name="Tc_C6Hd46UUfEmSTTPbUFfs3Q_8_9"/>
      <w:bookmarkStart w:id="1111" w:name="Tc_GLhmrTaKPE2fnAjCAH_Fyw_8_6"/>
      <w:bookmarkStart w:id="1112" w:name="Tc_tksR4SUZ1UKJYYhCAEF_tw_8_0"/>
      <w:bookmarkStart w:id="1113" w:name="Tc_MWTwXR0-k0-gGZyENiJWIA_7_11"/>
      <w:bookmarkStart w:id="1114" w:name="Tc_wsh8C-lNFEGaBn9vasUxKQ_7_9"/>
      <w:bookmarkStart w:id="1115" w:name="Tc_IQwx95GUvE-njEja3Ziw7w_7_8"/>
      <w:bookmarkStart w:id="1116" w:name="Tc_HHgFkxCigUWGmUpJtf-b0A_7_6"/>
      <w:bookmarkStart w:id="1117" w:name="Tc_Gg5jxHF9LkuLFO80ZG8ExA_7_5"/>
      <w:bookmarkStart w:id="1118" w:name="Tc__w7l9K13g0u5yvF2sVEbxg_7_2"/>
      <w:bookmarkStart w:id="1119" w:name="Tc_WN6uWl5xaEeGnpUeVgjnOQ_7_0"/>
      <w:bookmarkStart w:id="1120" w:name="Tc_mzAB-khQTEyuGyzl7mgMsA_6_0"/>
      <w:bookmarkStart w:id="1121" w:name="Tc_UXPVtXJD1kOR3jnXMo43Kg_5_0"/>
      <w:bookmarkStart w:id="1122" w:name="Tc_Y7AzOK095kCW4SLm9tBwCw_4_2"/>
      <w:bookmarkStart w:id="1123" w:name="Tc_6plug5htGkKwdLYqgI2VQA_3_11"/>
      <w:bookmarkStart w:id="1124" w:name="Tc_tGXvHKpDK0eep2VHZ4yFDg_3_8"/>
      <w:bookmarkStart w:id="1125" w:name="Tc_AF2XjPVcU0WYDO-NasLm-A_3_5"/>
      <w:bookmarkStart w:id="1126" w:name="Tc_v7nAsgI3QUW03sPJ5MBSIA_3_2"/>
      <w:bookmarkStart w:id="1127" w:name="Tc_KUBZVYlpVkKyt3U-Zj4aSQ_2_2"/>
      <w:bookmarkStart w:id="1128" w:name="Tc_nSkl4uP_8E2YgxAH3_jwYw_1_2"/>
      <w:bookmarkStart w:id="1129" w:name="_92d7069e_82f5_4ece_a00f_1e464312ddbf"/>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Times New Roman;Times;serif" w:hAnsi="Times New Roman;Times;serif"/>
          <w:sz w:val="20"/>
        </w:rPr>
        <w:t>The following tables set forth our assets which are measured at fair value by level within the fair value hierarchy:</w:t>
      </w:r>
    </w:p>
    <w:p>
      <w:pPr>
        <w:pStyle w:val="TextBody"/>
        <w:bidi w:val="0"/>
        <w:spacing w:before="0" w:after="0"/>
        <w:ind w:left="0" w:right="0" w:firstLine="490"/>
        <w:jc w:val="left"/>
        <w:rPr/>
      </w:pPr>
      <w:r>
        <w:rPr/>
        <w:t>​</w:t>
      </w:r>
    </w:p>
    <w:tbl>
      <w:tblPr>
        <w:tblW w:w="10205" w:type="dxa"/>
        <w:jc w:val="left"/>
        <w:tblInd w:w="0" w:type="dxa"/>
        <w:tblLayout w:type="fixed"/>
        <w:tblCellMar>
          <w:top w:w="0" w:type="dxa"/>
          <w:left w:w="0" w:type="dxa"/>
          <w:bottom w:w="0" w:type="dxa"/>
          <w:right w:w="0" w:type="dxa"/>
        </w:tblCellMar>
      </w:tblPr>
      <w:tblGrid>
        <w:gridCol w:w="5383"/>
        <w:gridCol w:w="346"/>
        <w:gridCol w:w="211"/>
        <w:gridCol w:w="781"/>
        <w:gridCol w:w="346"/>
        <w:gridCol w:w="211"/>
        <w:gridCol w:w="421"/>
        <w:gridCol w:w="346"/>
        <w:gridCol w:w="239"/>
        <w:gridCol w:w="392"/>
        <w:gridCol w:w="346"/>
        <w:gridCol w:w="211"/>
        <w:gridCol w:w="781"/>
        <w:gridCol w:w="191"/>
      </w:tblGrid>
      <w:tr>
        <w:trPr/>
        <w:tc>
          <w:tcPr>
            <w:tcW w:w="5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418205" cy="175260"/>
                      <wp:effectExtent l="0" t="0" r="0" b="0"/>
                      <wp:wrapNone/>
                      <wp:docPr id="231" name="Frame231"/>
                      <a:graphic xmlns:a="http://schemas.openxmlformats.org/drawingml/2006/main">
                        <a:graphicData uri="http://schemas.microsoft.com/office/word/2010/wordprocessingShape">
                          <wps:wsp>
                            <wps:cNvSpPr txBox="1"/>
                            <wps:spPr>
                              <a:xfrm>
                                <a:off x="0" y="0"/>
                                <a:ext cx="3418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95935" cy="175260"/>
                      <wp:effectExtent l="0" t="0" r="0" b="0"/>
                      <wp:wrapNone/>
                      <wp:docPr id="234" name="Frame2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67335" cy="175260"/>
                      <wp:effectExtent l="0" t="0" r="0" b="0"/>
                      <wp:wrapNone/>
                      <wp:docPr id="237" name="Frame23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1765" cy="175260"/>
                      <wp:effectExtent l="0" t="0" r="0" b="0"/>
                      <wp:wrapNone/>
                      <wp:docPr id="239" name="Frame23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48920" cy="175260"/>
                      <wp:effectExtent l="0" t="0" r="0" b="0"/>
                      <wp:wrapNone/>
                      <wp:docPr id="240" name="Frame24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95935" cy="175260"/>
                      <wp:effectExtent l="0" t="0" r="0" b="0"/>
                      <wp:wrapNone/>
                      <wp:docPr id="243" name="Frame2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1285" cy="175260"/>
                      <wp:effectExtent l="0" t="0" r="0" b="0"/>
                      <wp:wrapNone/>
                      <wp:docPr id="244" name="Frame2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91" w:type="dxa"/>
            <w:tcBorders/>
            <w:vAlign w:val="center"/>
          </w:tcPr>
          <w:p>
            <w:pPr>
              <w:pStyle w:val="TableContents"/>
              <w:bidi w:val="0"/>
              <w:spacing w:before="0" w:after="0"/>
              <w:ind w:left="0" w:right="0" w:hanging="0"/>
              <w:jc w:val="center"/>
              <w:rPr/>
            </w:pPr>
            <w:r>
              <w:rPr/>
              <w:t> </w:t>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vAlign w:val="center"/>
          </w:tcPr>
          <w:p>
            <w:pPr>
              <w:pStyle w:val="TableContents"/>
              <w:bidi w:val="0"/>
              <w:spacing w:before="0" w:after="0"/>
              <w:ind w:left="0" w:right="0" w:hanging="0"/>
              <w:jc w:val="center"/>
              <w:rPr/>
            </w:pPr>
            <w:r>
              <w:rPr/>
              <w:t> </w:t>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247,220</w:t>
            </w:r>
          </w:p>
        </w:tc>
        <w:tc>
          <w:tcPr>
            <w:tcW w:w="191" w:type="dxa"/>
            <w:tcBorders/>
            <w:vAlign w:val="center"/>
          </w:tcPr>
          <w:p>
            <w:pPr>
              <w:pStyle w:val="TableContents"/>
              <w:bidi w:val="0"/>
              <w:spacing w:before="0" w:after="0"/>
              <w:ind w:left="0" w:right="0" w:hanging="0"/>
              <w:jc w:val="left"/>
              <w:rPr/>
            </w:pPr>
            <w:r>
              <w:rPr/>
              <w:t>​</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Mark-to-market adjustment on forward exchange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 (U.S. Government Securities and Agency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174,829</w:t>
            </w:r>
          </w:p>
        </w:tc>
        <w:tc>
          <w:tcPr>
            <w:tcW w:w="191" w:type="dxa"/>
            <w:tcBorders/>
            <w:vAlign w:val="center"/>
          </w:tcPr>
          <w:p>
            <w:pPr>
              <w:pStyle w:val="TableContents"/>
              <w:bidi w:val="0"/>
              <w:spacing w:before="0" w:after="0"/>
              <w:ind w:left="0" w:right="0" w:hanging="0"/>
              <w:jc w:val="left"/>
              <w:rPr/>
            </w:pPr>
            <w:r>
              <w:rPr/>
              <w:t>​</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518,962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83"/>
        <w:gridCol w:w="346"/>
        <w:gridCol w:w="211"/>
        <w:gridCol w:w="781"/>
        <w:gridCol w:w="346"/>
        <w:gridCol w:w="211"/>
        <w:gridCol w:w="421"/>
        <w:gridCol w:w="346"/>
        <w:gridCol w:w="239"/>
        <w:gridCol w:w="392"/>
        <w:gridCol w:w="346"/>
        <w:gridCol w:w="211"/>
        <w:gridCol w:w="781"/>
        <w:gridCol w:w="191"/>
      </w:tblGrid>
      <w:tr>
        <w:trPr/>
        <w:tc>
          <w:tcPr>
            <w:tcW w:w="5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418205" cy="175260"/>
                      <wp:effectExtent l="0" t="0" r="0" b="0"/>
                      <wp:wrapNone/>
                      <wp:docPr id="245" name="Frame245"/>
                      <a:graphic xmlns:a="http://schemas.openxmlformats.org/drawingml/2006/main">
                        <a:graphicData uri="http://schemas.microsoft.com/office/word/2010/wordprocessingShape">
                          <wps:wsp>
                            <wps:cNvSpPr txBox="1"/>
                            <wps:spPr>
                              <a:xfrm>
                                <a:off x="0" y="0"/>
                                <a:ext cx="3418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5935" cy="175260"/>
                      <wp:effectExtent l="0" t="0" r="0" b="0"/>
                      <wp:wrapNone/>
                      <wp:docPr id="248"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67335" cy="175260"/>
                      <wp:effectExtent l="0" t="0" r="0" b="0"/>
                      <wp:wrapNone/>
                      <wp:docPr id="251" name="Frame25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1765" cy="175260"/>
                      <wp:effectExtent l="0" t="0" r="0" b="0"/>
                      <wp:wrapNone/>
                      <wp:docPr id="253" name="Frame25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48920" cy="175260"/>
                      <wp:effectExtent l="0" t="0" r="0" b="0"/>
                      <wp:wrapNone/>
                      <wp:docPr id="254" name="Frame25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21285" cy="175260"/>
                      <wp:effectExtent l="0" t="0" r="0" b="0"/>
                      <wp:wrapNone/>
                      <wp:docPr id="258" name="Frame2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center"/>
              <w:rPr/>
            </w:pPr>
            <w:r>
              <w:rPr/>
              <w:t> </w:t>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vAlign w:val="center"/>
          </w:tcPr>
          <w:p>
            <w:pPr>
              <w:pStyle w:val="TableContents"/>
              <w:bidi w:val="0"/>
              <w:spacing w:before="0" w:after="0"/>
              <w:ind w:left="0" w:right="0" w:hanging="0"/>
              <w:jc w:val="center"/>
              <w:rPr/>
            </w:pPr>
            <w:r>
              <w:rPr/>
              <w:t> </w:t>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28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228,802</w:t>
            </w:r>
          </w:p>
        </w:tc>
        <w:tc>
          <w:tcPr>
            <w:tcW w:w="191" w:type="dxa"/>
            <w:tcBorders/>
            <w:vAlign w:val="center"/>
          </w:tcPr>
          <w:p>
            <w:pPr>
              <w:pStyle w:val="TableContents"/>
              <w:bidi w:val="0"/>
              <w:spacing w:before="0" w:after="0"/>
              <w:ind w:left="0" w:right="0" w:hanging="0"/>
              <w:jc w:val="left"/>
              <w:rPr/>
            </w:pPr>
            <w:r>
              <w:rPr/>
              <w:t>​</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Mark-to-market adjustment on forward exchange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 (U.S. Government Securities and Agency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182,396</w:t>
            </w:r>
          </w:p>
        </w:tc>
        <w:tc>
          <w:tcPr>
            <w:tcW w:w="191" w:type="dxa"/>
            <w:tcBorders/>
            <w:vAlign w:val="center"/>
          </w:tcPr>
          <w:p>
            <w:pPr>
              <w:pStyle w:val="TableContents"/>
              <w:bidi w:val="0"/>
              <w:spacing w:before="0" w:after="0"/>
              <w:ind w:left="0" w:right="0" w:hanging="0"/>
              <w:jc w:val="left"/>
              <w:rPr/>
            </w:pPr>
            <w:r>
              <w:rPr/>
              <w:t>​</w:t>
            </w:r>
          </w:p>
        </w:tc>
      </w:tr>
      <w:tr>
        <w:trPr/>
        <w:tc>
          <w:tcPr>
            <w:tcW w:w="5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504,981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contractual maturities of our cash equivalents and investments as of June 30, 2026:</w:t>
      </w:r>
    </w:p>
    <w:tbl>
      <w:tblPr>
        <w:tblW w:w="5805" w:type="dxa"/>
        <w:jc w:val="left"/>
        <w:tblInd w:w="0" w:type="dxa"/>
        <w:tblLayout w:type="fixed"/>
        <w:tblCellMar>
          <w:top w:w="0" w:type="dxa"/>
          <w:left w:w="0" w:type="dxa"/>
          <w:bottom w:w="0" w:type="dxa"/>
          <w:right w:w="0" w:type="dxa"/>
        </w:tblCellMar>
      </w:tblPr>
      <w:tblGrid>
        <w:gridCol w:w="2761"/>
        <w:gridCol w:w="346"/>
        <w:gridCol w:w="249"/>
        <w:gridCol w:w="996"/>
        <w:gridCol w:w="346"/>
        <w:gridCol w:w="211"/>
        <w:gridCol w:w="89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753235" cy="175260"/>
                      <wp:effectExtent l="0" t="0" r="0" b="0"/>
                      <wp:wrapNone/>
                      <wp:docPr id="259" name="Frame25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58115" cy="175260"/>
                      <wp:effectExtent l="0" t="0" r="0" b="0"/>
                      <wp:wrapNone/>
                      <wp:docPr id="261" name="Frame26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32460" cy="175260"/>
                      <wp:effectExtent l="0" t="0" r="0" b="0"/>
                      <wp:wrapNone/>
                      <wp:docPr id="262" name="Frame262"/>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68960" cy="175260"/>
                      <wp:effectExtent l="0" t="0" r="0" b="0"/>
                      <wp:wrapNone/>
                      <wp:docPr id="265" name="Frame26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58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within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344,033</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one year through two years</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174,829</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519,950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518,862</w:t>
            </w:r>
          </w:p>
        </w:tc>
      </w:tr>
    </w:tbl>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(c)  Other Financial Instruments</w:t>
      </w:r>
    </w:p>
    <w:p>
      <w:pPr>
        <w:pStyle w:val="TextBody"/>
        <w:pBdr/>
        <w:bidi w:val="0"/>
        <w:spacing w:before="0" w:after="0"/>
        <w:ind w:left="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pStyle w:val="TextBody"/>
        <w:bidi w:val="0"/>
        <w:spacing w:before="0" w:after="0"/>
        <w:ind w:left="0" w:right="0" w:firstLine="72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(d)  Forward Currency Exchange Contracts</w:t>
      </w:r>
    </w:p>
    <w:p>
      <w:pPr>
        <w:pStyle w:val="TextBody"/>
        <w:pBdr/>
        <w:bidi w:val="0"/>
        <w:spacing w:before="0" w:after="0"/>
        <w:ind w:left="0" w:right="0" w:hanging="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enter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are marked-to-market and the valuation adjustments related to these open contracts are recorded in the current asset or current liability account. Any unrealized gain or loss on the open contracts is recognized and recorded within Other, net in our Consolidated Statement of Operations. These contracts are measured at fair value using observable market inputs such as forward currency exchange rates and our counterparties’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risks. Based on these inputs, the derivative instruments are classified within Level 2 of the valuation hierarchy. At June 30, 2026, the recognized unrealized gain on these forward exchange contracts was approximately $0.1 million. Based on our continued ability to trade and enter into forward contracts, we consider the markets for our fair value instruments to be active. We evaluated the credit risk associated with the counterparties to these derivative instruments and determined that as of June 30, 2026, such credit risks have not had an adverse impact on the fair value of these instruments.</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12.  Financing Arrangements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30, 2015, we sold our corporate headquarters facility in Beverly, Massachusetts for $48.9 million. As part of the sale, we also entered into a 22-year lease agreement of our headquarters facility. This sale-leaseback is accounted for as a finance lease under generally accepted accounting principles and, as such, we have recorded a finance lease obligation of $41.6 million as of June 30, 2026. The associated lease payments include both an interest component and payment of principal, with the remaining liability being extinguished at the end of the original lease term. As of June 30, 2026, we had a security deposit of $5.9 million related to this lease in the form of a cash collateralized letter of credit, which is classified as long-term restricted cash on our balance sheet. </w:t>
      </w:r>
    </w:p>
    <w:p>
      <w:pPr>
        <w:pStyle w:val="TextBody"/>
        <w:pBdr/>
        <w:bidi w:val="0"/>
        <w:spacing w:before="0" w:after="0"/>
        <w:ind w:left="0" w:right="0" w:hanging="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was $2.1 million for the three months ended June 30, 2026, compared to $3.6 million for the three months ended June 30, 2025. The $1.6 million decrease was primarily due to the decrease in pre-tax book income and an increase in stock-based compensation deduction. The reported effective tax rate (“ETR”) for the three months ended June 30, 2026 was 8.1% compared to 10.3% for the three months ended June 30, 2025. The ETR for the six months ended June 30, 2026 was less than the U.S. statutory rate of 21%, primarily attributable to the Foreign Derived Intangible Income deduction and Federal research and development tax credits.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4, 2025, legislation known as the One Big Beautiful Bill Act (the “OBBBA”) was signed into law. The OBBBA includes significant provisions, such as the permanent extension of certain expiring provisions of the Tax Cuts and Jobs Act. The legislation has multiple effective dates, with certain provisions being implemented through 2027. The impacts of the portions of the OBBBA that have come into effect are reflected in our results for the quarter ended June 30, 2026. We will continue to evaluate the full impact of these legislative changes as additional guidance becomes available.</w:t>
      </w:r>
    </w:p>
    <w:p>
      <w:pPr>
        <w:pStyle w:val="TextBody"/>
        <w:bidi w:val="0"/>
        <w:spacing w:before="0" w:after="0"/>
        <w:ind w:left="0" w:right="0" w:firstLine="720"/>
        <w:jc w:val="left"/>
        <w:rPr/>
      </w:pPr>
      <w:r>
        <w:rPr/>
        <w:t>​</w:t>
      </w:r>
    </w:p>
    <w:p>
      <w:pPr>
        <w:pStyle w:val="TextBody"/>
        <w:pBdr/>
        <w:bidi w:val="0"/>
        <w:spacing w:before="0" w:after="0"/>
        <w:ind w:left="0" w:right="0" w:hanging="806"/>
        <w:jc w:val="left"/>
        <w:rPr>
          <w:rFonts w:ascii="Times New Roman;Times;serif" w:hAnsi="Times New Roman;Times;serif"/>
          <w:b/>
          <w:sz w:val="20"/>
        </w:rPr>
      </w:pPr>
      <w:r>
        <w:rPr>
          <w:rFonts w:ascii="Times New Roman;Times;serif" w:hAnsi="Times New Roman;Times;serif"/>
          <w:b/>
          <w:sz w:val="20"/>
        </w:rPr>
        <w:t>Note 14.  Concentration of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2026, two customers accounted for 21.6% and 15.9% of total revenue. For the three months ended June 30, 2025, no individual customer accounted for greater than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percent of total 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w:t>
      </w:r>
      <w:r>
        <w:rPr>
          <w:rFonts w:ascii="Times New Roman;Times;serif" w:hAnsi="Times New Roman;Times;serif"/>
          <w:b w:val="false"/>
          <w:i w:val="false"/>
          <w:caps w:val="false"/>
          <w:smallCaps w:val="false"/>
          <w:sz w:val="20"/>
        </w:rPr>
        <w:t>June 30, 2026</w:t>
      </w:r>
      <w:r>
        <w:rPr>
          <w:rFonts w:ascii="Times New Roman;Times;serif" w:hAnsi="Times New Roman;Times;serif"/>
          <w:sz w:val="20"/>
        </w:rPr>
        <w:t>, two customers each accounted for 17.8% of total revenue. For the six months ended June 30, 2025, two customers accounted for 11.6% and 11.2% of total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2026, two customers accounted for 15.3% and 11.4% of accounts receivable. At December 31, 2025, three customers accounted for 14.7%, 13.5%, and 10.3% of accounts receivable.</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 Share Repurchase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March 2025, our Board of Directors approved an additional funding of $100 million for our stock repurchase program. This approval brings the current outstanding repurchase authorization to $215 million, with $110 million available for future stock repurchases as of June 30, 2026. During the six months ended June 30, 2026, no shares of common stock were repurchased. The timing and actual number of any additional shares to be repurchased under this program will depend on various factors including price, corporate and regulatory requirements, alternative investment opportunities and other market conditions.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 over par value is deducted from retained earnings. Direct costs incurred to acquire the shares are included in the total cost of the 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Litigation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Indemnifications</w:t>
      </w:r>
    </w:p>
    <w:p>
      <w:pPr>
        <w:pStyle w:val="TextBody"/>
        <w:bidi w:val="0"/>
        <w:spacing w:lineRule="atLeast" w:line="210"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30" w:name="Tc_FYUGL0CKVU21-M--Ch76uw_14_11"/>
      <w:bookmarkStart w:id="1131" w:name="Tc_gDrJbHECgEC576KQcIEW9g_14_8"/>
      <w:bookmarkStart w:id="1132" w:name="Tc_XYJnu0_kH0-juTsFOflwQg_14_5"/>
      <w:bookmarkStart w:id="1133" w:name="Tc_3_BSKn0uUkijPI_NI4P08g_14_2"/>
      <w:bookmarkStart w:id="1134" w:name="Tc_UJClVsvFjEWzFwZlchkeIQ_14_0"/>
      <w:bookmarkStart w:id="1135" w:name="Tc_3rEztrrDtkap978mH_x1mg_13_12"/>
      <w:bookmarkStart w:id="1136" w:name="Tc_dUFNLRLSWUWxfX-p89ACCg_13_9"/>
      <w:bookmarkStart w:id="1137" w:name="Tc_aCCvMm8VSk6I7xlLSidVnw_13_6"/>
      <w:bookmarkStart w:id="1138" w:name="Tc_86LQT2-NYUG-yO1ZwDecKw_13_3"/>
      <w:bookmarkStart w:id="1139" w:name="Tc_fYsbzROOj0qNjzk06Xq5oA_13_0"/>
      <w:bookmarkStart w:id="1140" w:name="Tc_v9pE00d9k0i821CBSH6Mhw_12_0"/>
      <w:bookmarkStart w:id="1141" w:name="Tc_csbdEluhoUuBHU4xLhCltw_11_0"/>
      <w:bookmarkStart w:id="1142" w:name="Tc_9LqBS4mR406u68r6rdM1TA_10_0"/>
      <w:bookmarkStart w:id="1143" w:name="Tc_wfv2ettdsE-EZwm2dsJhRg_9_0"/>
      <w:bookmarkStart w:id="1144" w:name="Tc_fCMdNE2_60aotq2WWMsUPg_8_0"/>
      <w:bookmarkStart w:id="1145" w:name="Tc_EHpScJmd-EaxW_nZMWn6JA_7_0"/>
      <w:bookmarkStart w:id="1146" w:name="Tc_fhopMpunYUKC7RfFPb4_Jg_6_0"/>
      <w:bookmarkStart w:id="1147" w:name="Tc_Ao6ie8TRhEeZe559bEOxqw_5_0"/>
      <w:bookmarkStart w:id="1148" w:name="Tc_sQGHPd2tOEKhPB7T2AT3Qw_4_11"/>
      <w:bookmarkStart w:id="1149" w:name="Tc_29-rO13X5kaQqJ9dfakOjQ_4_8"/>
      <w:bookmarkStart w:id="1150" w:name="Tc_5pvECZiVqUGlwLBNLMvAsA_4_5"/>
      <w:bookmarkStart w:id="1151" w:name="Tc_NYfCkANzX0K7tvoD7bBEIA_4_2"/>
      <w:bookmarkStart w:id="1152" w:name="Tc_XvBY6suC70eV9-FAdE1OZg_4_0"/>
      <w:bookmarkStart w:id="1153" w:name="Tc_Ri6hdmoqdkOBcoyuLWdaPg_3_2"/>
      <w:bookmarkStart w:id="1154" w:name="Tc__D9zi_CoWUWxlCxbZbZLrA_2_11"/>
      <w:bookmarkStart w:id="1155" w:name="Tc_DGBvRyxBAkOdKjeSXNlXzw_2_8"/>
      <w:bookmarkStart w:id="1156" w:name="Tc_zIkklDLagkuJqS8PFjSnkw_2_5"/>
      <w:bookmarkStart w:id="1157" w:name="Tc_IdHr9bcQAEO334C0Y5hj0Q_2_2"/>
      <w:bookmarkStart w:id="1158" w:name="Tc_JV9vw_d2qkm8gjqamWLTKA_1_8"/>
      <w:bookmarkStart w:id="1159" w:name="Tc_WmLYOgctXkO1G2qrakrKtA_1_2"/>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ascii="Times New Roman;Times;serif" w:hAnsi="Times New Roman;Times;serif"/>
          <w:b/>
          <w:sz w:val="20"/>
        </w:rPr>
        <w:t>Note 17. Business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operates as one operating segment. The Company’s chief operating decision maker (“CODM”) is our chief executive officer, who assesses financial performance for the Company and decides how to allocate resources based on consolidated net income. Segment asset information is provided to the CODM but it is not used to allocate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selected financial information with respect to the Company’s single operating segment for the three and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86"/>
        <w:gridCol w:w="346"/>
        <w:gridCol w:w="211"/>
        <w:gridCol w:w="818"/>
        <w:gridCol w:w="346"/>
        <w:gridCol w:w="211"/>
        <w:gridCol w:w="818"/>
        <w:gridCol w:w="109"/>
        <w:gridCol w:w="211"/>
        <w:gridCol w:w="818"/>
        <w:gridCol w:w="346"/>
        <w:gridCol w:w="211"/>
        <w:gridCol w:w="818"/>
        <w:gridCol w:w="156"/>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039110" cy="175260"/>
                      <wp:effectExtent l="0" t="0" r="0" b="0"/>
                      <wp:wrapNone/>
                      <wp:docPr id="266" name="Frame266"/>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19430" cy="175260"/>
                      <wp:effectExtent l="0" t="0" r="0" b="0"/>
                      <wp:wrapNone/>
                      <wp:docPr id="269" name="Frame269"/>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19430" cy="175260"/>
                      <wp:effectExtent l="0" t="0" r="0" b="0"/>
                      <wp:wrapNone/>
                      <wp:docPr id="272" name="Frame272"/>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19430" cy="175260"/>
                      <wp:effectExtent l="0" t="0" r="0" b="0"/>
                      <wp:wrapNone/>
                      <wp:docPr id="275" name="Frame275"/>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19430" cy="175260"/>
                      <wp:effectExtent l="0" t="0" r="0" b="0"/>
                      <wp:wrapNone/>
                      <wp:docPr id="278" name="Frame278"/>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99060" cy="175260"/>
                      <wp:effectExtent l="0" t="0" r="0" b="0"/>
                      <wp:wrapNone/>
                      <wp:docPr id="279" name="Frame279"/>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c>
          <w:tcPr>
            <w:tcW w:w="15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1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6" w:type="dxa"/>
            <w:tcBorders/>
            <w:vAlign w:val="center"/>
          </w:tcPr>
          <w:p>
            <w:pPr>
              <w:pStyle w:val="TableContents"/>
              <w:bidi w:val="0"/>
              <w:spacing w:before="0" w:after="0"/>
              <w:ind w:left="0" w:right="0" w:hanging="0"/>
              <w:jc w:val="center"/>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215,175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194,544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414,131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387,107 </w:t>
            </w:r>
          </w:p>
        </w:tc>
        <w:tc>
          <w:tcPr>
            <w:tcW w:w="156" w:type="dxa"/>
            <w:tcBorders/>
            <w:shd w:fill="CCEEFF" w:val="cle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123,986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107,201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242,361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210,996 </w:t>
            </w:r>
          </w:p>
        </w:tc>
        <w:tc>
          <w:tcPr>
            <w:tcW w:w="156" w:type="dxa"/>
            <w:tcBorders/>
            <w:shd w:fill="CCEEFF" w:val="cle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28,977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27,064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57,493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54,192 </w:t>
            </w:r>
          </w:p>
        </w:tc>
        <w:tc>
          <w:tcPr>
            <w:tcW w:w="156"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19,554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15,003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36,908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30,127 </w:t>
            </w:r>
          </w:p>
        </w:tc>
        <w:tc>
          <w:tcPr>
            <w:tcW w:w="156" w:type="dxa"/>
            <w:tcBorders/>
            <w:shd w:fill="CCEEFF" w:val="cle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22,377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16,311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49,138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33,668 </w:t>
            </w:r>
          </w:p>
        </w:tc>
        <w:tc>
          <w:tcPr>
            <w:tcW w:w="156"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5,067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6,032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7,742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9,957 </w:t>
            </w:r>
          </w:p>
        </w:tc>
        <w:tc>
          <w:tcPr>
            <w:tcW w:w="156" w:type="dxa"/>
            <w:tcBorders/>
            <w:shd w:fill="CCEEFF" w:val="cle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2,057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3,621 </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3,468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8,126 </w:t>
            </w:r>
          </w:p>
        </w:tc>
        <w:tc>
          <w:tcPr>
            <w:tcW w:w="156"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23,291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31,376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32,505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59,955 </w:t>
            </w:r>
          </w:p>
        </w:tc>
        <w:tc>
          <w:tcPr>
            <w:tcW w:w="156" w:type="dxa"/>
            <w:tcBorders/>
            <w:shd w:fill="CCEEFF" w:val="cle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of profit or loss Adjustments and reconciling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56"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59,955</w:t>
            </w:r>
          </w:p>
        </w:tc>
        <w:tc>
          <w:tcPr>
            <w:tcW w:w="15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above table includes depreciation expense and amortization expense of $4.4 million and $8.9 million for the three and six-month periods ended June 30, 2026, respectively, and depreciation expense and amortization expense of $4.5 million and $8.8 million for the three and six-month periods ended June 30,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18.  Recent Accounting Guidance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Financial Accounting Standards Board (“FASB”) issued Accounting Standards Update 2024-03, Income Statement—Reporting Comprehensive Income—Expense Disaggregation Disclosures (Subtopic 220-40): Disaggregation of Income Statement Expenses (“ASU 2024-03”). ASU 2024-03 is intended to enhance the disclosures for expenses for all public entities in accordance with ASC Topic 220, Income Statement-Reporting Comprehensive Income. ASU 2024-03 addresses investor requests for more detailed information about expenses, specifically cost of sales and selling, general, and administrative expenses. ASU 2024-03 requires a public entity to disclose the amounts of (a) purchases of inventory, (b) employee compensation, (c) depreciation, (d) intangible asset amortization, and (e) depreciation, depletion, and amortization recognized as part of oil- and gas-producing activities (or other amounts of depletion expense)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ASU 2024-03 is effective for fiscal years beginning after December 15, 2026, and interim periods within fiscal years beginning after December 15, 2027. Early adoption is permitted. A public entity should apply ASU 2024-03 either prospectively to 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Accounting Standards Update 2025-06, </w:t>
      </w:r>
      <w:r>
        <w:rPr>
          <w:rFonts w:ascii="Times New Roman;Times;serif" w:hAnsi="Times New Roman;Times;serif"/>
          <w:i/>
          <w:sz w:val="20"/>
        </w:rPr>
        <w:t>Intangibles – Goodwill and Other – Internal-Use Software (Subtopic 350-40): Targeted Improvements to the Accounting for Internal-Use Software</w:t>
      </w:r>
      <w:r>
        <w:rPr>
          <w:rFonts w:ascii="Times New Roman;Times;serif" w:hAnsi="Times New Roman;Times;serif"/>
          <w:sz w:val="20"/>
        </w:rPr>
        <w:t xml:space="preserve"> (“ASU 2025-06”). ASU 2025-06 requires companies to start capitalizing eligible software costs when management has authorized and committed to funding the software project, and it is probable that the project will be completed and the software will be used to perform the function intended. The guidance is effective for annual reporting periods beginning after December 15, 2027, and interim reporting periods within those annual reporting periods. Early adoption is permitted and may be applied using a prospective, retrospective or modified transition approach. The Company is currently evaluating the impact of ASU 2025-06 on its future consolidated financial statements and related disclosures.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September 2025, the FASB issued Accounting Standards Update 2025-07</w:t>
      </w:r>
      <w:r>
        <w:rPr>
          <w:rFonts w:ascii="Times New Roman;Times;serif" w:hAnsi="Times New Roman;Times;serif"/>
          <w:i/>
          <w:sz w:val="20"/>
        </w:rPr>
        <w:t xml:space="preserve">, Derivatives and Hedging (Topic 815) and Revenue from Contracts with Customers (Topic 606) – Derivatives Scope Refinements and Scope Clarification for Share-Based Noncash Consideration from a Customer in a Revenue Contract </w:t>
      </w:r>
      <w:r>
        <w:rPr>
          <w:rFonts w:ascii="Times New Roman;Times;serif" w:hAnsi="Times New Roman;Times;serif"/>
          <w:sz w:val="20"/>
        </w:rPr>
        <w:t>(“ASU 2025-07”). ASU 2025-07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periods within those annual reporting periods. Early adoption is permitted. The Company is currently evaluating the impact of ASU 2025-07 on its future consolidated financial statements and related disclosures.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2025, the FASB issued Accounting Standards Update 2025-11</w:t>
      </w:r>
      <w:r>
        <w:rPr>
          <w:rFonts w:ascii="Times New Roman;Times;serif" w:hAnsi="Times New Roman;Times;serif"/>
          <w:i/>
          <w:sz w:val="20"/>
        </w:rPr>
        <w:t xml:space="preserve">, Interim Reporting (Topic 270) – Narrow-Scope Improvements </w:t>
      </w:r>
      <w:r>
        <w:rPr>
          <w:rFonts w:ascii="Times New Roman;Times;serif" w:hAnsi="Times New Roman;Times;serif"/>
          <w:sz w:val="20"/>
        </w:rPr>
        <w:t xml:space="preserve">(“ASU 2025-11”). ASU 2025-11 applies to all entities that provide interim financial statements and notes in accordance with generally accepted accounting principles. The new guidance improves the navigability of the required interim disclosures, clarifies when that guidance is applicable and provides additional guidance on what disclosures should be provided in interim reporting periods. ASU 2025-11 also adds a principle that requires entities to disclose events since the end of the last annual reporting period that have a material impact on the entity. ASU 2025-11 is effective for interim and annual reporting periods beginning after December 15, 2027. Early adoption is permitted. The Company is currently evaluating the impact of ASU 2025-11 on its future consolidated financial statements and related disclosures. </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19.  Merger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30, 2025, the Company, Victory Merger Sub, Inc., a Delaware corporation and a wholly-owned subsidiary of the Company (“Merger Sub”), and Veeco Instruments Inc., a Delaware corporation (“Veeco”), entered into an Agreement and Plan of Merger (the “Merger Agreement”). Pursuant to the Merger Agreement, and subject to the satisfaction or waiver of the conditions specified therein, Merger Sub shall be merged with and into Veeco (the “Merger”), with Veeco surviving as a wholly-owned subsidiary of the Company.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the effective time of the Merger (the “Effective Time”), each share of common stock, par value $0.01 per share, of Veeco, issued and outstanding immediately prior to the Effective Time (other than shares that are owned by the Company, Veeco or Merger Sub or any wholly owned subsidiary of the Company, Veeco or Merger Sub) will be converted into the right to receive 0.3575 newly issued shares of Company common stock (the “Company Common Stock”) (the “Common Stock Merger Consideration”). No fractional shares of the Company will be issued in the Merger, and Veeco stockholders will receive cash in lieu of fractional shares as part of the merger consideration, as specified in the Merger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Merger Agreement may be terminated upon the mutual written consent of Axcelis and Veeco. In addition, either Axcelis or Veeco may terminate the Merger Agreement in certain circumstances, including if (a) certain governmental entities have issued a final and non-appealable governmental order or enacted a law prohibiting the Merger or making the closing of the Merger illegal, (b) the Merger is not consummated by September 30, 2026, subject to successive automatic extensions until as late as June 30, 2027 if the only remaining conditions to be satisfied are regulatory approvals, (c) the other party is in breach of the Merger Agreement in a manner that would result in a failure of an applicable closing condition (subject to the applicable cure period set forth in the Merger Agreement) or (d) the other party’s board of directors has changed its recommendation with respect to the Merger.</w:t>
      </w:r>
    </w:p>
    <w:p>
      <w:pPr>
        <w:pStyle w:val="TextBody"/>
        <w:bidi w:val="0"/>
        <w:spacing w:before="280" w:after="0"/>
        <w:ind w:left="0" w:right="0" w:hanging="0"/>
        <w:jc w:val="left"/>
        <w:rPr/>
      </w:pPr>
      <w:r>
        <w:rPr>
          <w:caps w:val="false"/>
          <w:smallCaps w:val="false"/>
        </w:rPr>
        <w:t> </w:t>
      </w:r>
      <w:r>
        <w:rPr>
          <w:rFonts w:ascii="Times New Roman;Times;serif" w:hAnsi="Times New Roman;Times;serif"/>
          <w:sz w:val="20"/>
        </w:rPr>
        <w:t>If the Merger Agreement is terminated by a party following a recommendation change of the board of directors of the other party, the non-terminating party will be required to pay the other party the following termination fee: (i) if the non-terminating party is Axcelis, a termination fee of $108.7</w:t>
      </w:r>
      <w:r>
        <w:rPr>
          <w:rFonts w:ascii="Aptos" w:hAnsi="Aptos"/>
          <w:sz w:val="20"/>
        </w:rPr>
        <w:t xml:space="preserve"> </w:t>
      </w:r>
      <w:r>
        <w:rPr>
          <w:rFonts w:ascii="Times New Roman;Times;serif" w:hAnsi="Times New Roman;Times;serif"/>
          <w:sz w:val="20"/>
        </w:rPr>
        <w:t>million; and (ii) if the non-terminating party is Veeco, a termination fee of $77.5</w:t>
      </w:r>
      <w:r>
        <w:rPr>
          <w:rFonts w:ascii="Aptos" w:hAnsi="Aptos"/>
          <w:sz w:val="20"/>
        </w:rPr>
        <w:t xml:space="preserve"> </w:t>
      </w:r>
      <w:r>
        <w:rPr>
          <w:rFonts w:ascii="Times New Roman;Times;serif" w:hAnsi="Times New Roman;Times;serif"/>
          <w:sz w:val="20"/>
        </w:rPr>
        <w:t>million. Each party may also be required to pay such termination fee if such party enters into a competing proposal within twelve months of termination of the Merger Agreement under certain circumstances. In addition, if the Merger Agreement is terminated by a party due to the other party’s breach of the Merger Agreement that would result in a failure of an applicable closing condition (subject to the applicable cure period set forth in the Merger Agreement), then the non-terminating party will be required to pay a fixed expense reimbursement amount of $15.0</w:t>
      </w:r>
      <w:r>
        <w:rPr>
          <w:rFonts w:ascii="Aptos" w:hAnsi="Aptos"/>
          <w:sz w:val="20"/>
        </w:rPr>
        <w:t xml:space="preserve"> </w:t>
      </w:r>
      <w:r>
        <w:rPr>
          <w:rFonts w:ascii="Times New Roman;Times;serif" w:hAnsi="Times New Roman;Times;serif"/>
          <w:sz w:val="20"/>
        </w:rPr>
        <w:t>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a special meeting of stockholders held on February 6, 2026, Axcelis stockholders approved the issuance of shares of Company Common Stock in connection with the Merger.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completion of the Merger remains subject to other customary closing conditions, including the final pending regulatory approval from the State Administration for Market Regulation of the People’s Republic of China. Axcelis and Veeco continue to expect that the Merger will be completed in the second half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b/>
          <w:sz w:val="20"/>
        </w:rPr>
      </w:pPr>
      <w:bookmarkStart w:id="1160" w:name="Item2ManagementsDiscussionandAnalysisofF"/>
      <w:bookmarkStart w:id="1161" w:name="_2c8e7646_9d36_4ce1_ba10_6d73763aad9c"/>
      <w:bookmarkEnd w:id="1160"/>
      <w:bookmarkEnd w:id="116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Quarterly Report on Form 10-Q.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62" w:name="Overview_288809"/>
      <w:bookmarkEnd w:id="1162"/>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68.5% of total revenue for the six months ended June 30, 2026.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Sales of our systems in the first half of 2026 were down slightly compared to the same period in the prior year. During the six months ended June 30, 2026</w:t>
      </w:r>
      <w:r>
        <w:rPr>
          <w:rFonts w:ascii="Times New Roman;Times;serif" w:hAnsi="Times New Roman;Times;serif"/>
          <w:sz w:val="20"/>
        </w:rPr>
        <w:t xml:space="preserve">, the overall mature process segment represented 77% of our shipped systems revenue, with the remainder represented by 22% of shipments to dynamic random-access memory (“DRAM”) applications and 1% of shipments to advanced logic. Of the mature process segment, power device shipments comprised 38% of total systems revenue with the general mature segment representing 39%, which includes image sensor applications.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30, 2025, the Company, Victory Merger Sub, Inc., a Delaware corporation and a wholly-owned subsidiary of the Company (“Merger Sub”), and Veeco Instruments Inc., a Delaware corporation (“Veeco”), entered into an Agreement and Plan of Merger (the “Merger Agreement”). Pursuant to the Merger Agreement, and subject to the satisfaction or waiver of the conditions specified therein, Merger Sub shall be merged with and into Veeco (the “Merger”), with Veeco surviving as a wholly-owned subsidiary of the Company. For further information regarding the Merger, see Note 19 to the consolidated financial statements included in this report. On February 6, 2026, Axcelis held a special meeting of stockholders at which the issuance of Company common stock to the Veeco stockholders in the Merger was approved. The completion of the Merger remains subject to other customary closing conditions, including the final pending regulatory approval from the State Administration for Market Regulation of the People’s Republic of China. Axcelis and Veeco continue to expect that the Merger will be completed in the second half of 2026.</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63" w:name="CriticalAccountingEstimates_482826"/>
      <w:bookmarkEnd w:id="1163"/>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included herein and in our 2025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has not identified any need to make any material change in, and has not changed, any of our critical accounting estimates and judgments as described in “Management’s Discussion and Analysis of Financial Condition and Results of Operations” included in our 2025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64" w:name="ResultsofOperations_659595"/>
      <w:bookmarkEnd w:id="1164"/>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results of operations as a percentage of total revenue:</w:t>
      </w:r>
    </w:p>
    <w:p>
      <w:pPr>
        <w:pStyle w:val="TextBody"/>
        <w:bidi w:val="0"/>
        <w:spacing w:before="0" w:after="0"/>
        <w:ind w:left="0" w:right="0" w:firstLine="720"/>
        <w:jc w:val="left"/>
        <w:rPr/>
      </w:pPr>
      <w:r>
        <w:rPr/>
        <w:t>​</w:t>
      </w:r>
    </w:p>
    <w:tbl>
      <w:tblPr>
        <w:tblW w:w="6890" w:type="dxa"/>
        <w:jc w:val="left"/>
        <w:tblInd w:w="0" w:type="dxa"/>
        <w:tblLayout w:type="fixed"/>
        <w:tblCellMar>
          <w:top w:w="0" w:type="dxa"/>
          <w:left w:w="0" w:type="dxa"/>
          <w:bottom w:w="0" w:type="dxa"/>
          <w:right w:w="0" w:type="dxa"/>
        </w:tblCellMar>
      </w:tblPr>
      <w:tblGrid>
        <w:gridCol w:w="2101"/>
        <w:gridCol w:w="346"/>
        <w:gridCol w:w="599"/>
        <w:gridCol w:w="406"/>
        <w:gridCol w:w="599"/>
        <w:gridCol w:w="346"/>
        <w:gridCol w:w="346"/>
        <w:gridCol w:w="527"/>
        <w:gridCol w:w="356"/>
        <w:gridCol w:w="527"/>
        <w:gridCol w:w="346"/>
        <w:gridCol w:w="39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4135" cy="175260"/>
                      <wp:effectExtent l="0" t="0" r="0" b="0"/>
                      <wp:wrapNone/>
                      <wp:docPr id="280" name="Frame280"/>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80365" cy="175260"/>
                      <wp:effectExtent l="0" t="0" r="0" b="0"/>
                      <wp:wrapNone/>
                      <wp:docPr id="282" name="Frame282"/>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57810" cy="175260"/>
                      <wp:effectExtent l="0" t="0" r="0" b="0"/>
                      <wp:wrapNone/>
                      <wp:docPr id="283" name="Frame28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80365" cy="175260"/>
                      <wp:effectExtent l="0" t="0" r="0" b="0"/>
                      <wp:wrapNone/>
                      <wp:docPr id="284" name="Frame284"/>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34645" cy="175260"/>
                      <wp:effectExtent l="0" t="0" r="0" b="0"/>
                      <wp:wrapNone/>
                      <wp:docPr id="287" name="Frame287"/>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26060" cy="175260"/>
                      <wp:effectExtent l="0" t="0" r="0" b="0"/>
                      <wp:wrapNone/>
                      <wp:docPr id="288" name="Frame28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34645" cy="175260"/>
                      <wp:effectExtent l="0" t="0" r="0" b="0"/>
                      <wp:wrapNone/>
                      <wp:docPr id="289" name="Frame289"/>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48285" cy="175260"/>
                      <wp:effectExtent l="0" t="0" r="0" b="0"/>
                      <wp:wrapNone/>
                      <wp:docPr id="291" name="Frame29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left"/>
              <w:rPr/>
            </w:pPr>
            <w:r>
              <w:rPr/>
              <w:t>  ​ ​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  ​ ​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before="0" w:after="0"/>
              <w:ind w:left="0" w:right="0" w:hanging="0"/>
              <w:jc w:val="left"/>
              <w:rPr/>
            </w:pPr>
            <w:r>
              <w:rPr/>
              <w:t>  ​ ​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391" w:type="dxa"/>
            <w:tcBorders/>
            <w:vAlign w:val="center"/>
          </w:tcPr>
          <w:p>
            <w:pPr>
              <w:pStyle w:val="TableContents"/>
              <w:bidi w:val="0"/>
              <w:spacing w:before="0" w:after="0"/>
              <w:ind w:left="0" w:right="0" w:hanging="0"/>
              <w:jc w:val="left"/>
              <w:rPr/>
            </w:pPr>
            <w:r>
              <w:rPr/>
              <w:t>  ​ ​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4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w:t>
            </w:r>
          </w:p>
        </w:tc>
        <w:tc>
          <w:tcPr>
            <w:tcW w:w="3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40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5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5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40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w:t>
            </w:r>
          </w:p>
        </w:tc>
        <w:tc>
          <w:tcPr>
            <w:tcW w:w="35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w:t>
            </w:r>
          </w:p>
        </w:tc>
        <w:tc>
          <w:tcPr>
            <w:tcW w:w="3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w:t>
            </w:r>
          </w:p>
        </w:tc>
        <w:tc>
          <w:tcPr>
            <w:tcW w:w="40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w:t>
            </w:r>
          </w:p>
        </w:tc>
        <w:tc>
          <w:tcPr>
            <w:tcW w:w="35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40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5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vAlign w:val="center"/>
          </w:tcPr>
          <w:p>
            <w:pPr>
              <w:pStyle w:val="TableContents"/>
              <w:bidi w:val="0"/>
              <w:spacing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w:t>
            </w:r>
          </w:p>
        </w:tc>
        <w:tc>
          <w:tcPr>
            <w:tcW w:w="406" w:type="dxa"/>
            <w:tcBorders/>
            <w:vAlign w:val="center"/>
          </w:tcPr>
          <w:p>
            <w:pPr>
              <w:pStyle w:val="TableContents"/>
              <w:bidi w:val="0"/>
              <w:spacing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c>
          <w:tcPr>
            <w:tcW w:w="356" w:type="dxa"/>
            <w:tcBorders/>
            <w:vAlign w:val="center"/>
          </w:tcPr>
          <w:p>
            <w:pPr>
              <w:pStyle w:val="TableContents"/>
              <w:bidi w:val="0"/>
              <w:spacing w:before="0" w:after="0"/>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4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w:t>
            </w:r>
          </w:p>
        </w:tc>
        <w:tc>
          <w:tcPr>
            <w:tcW w:w="406"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w:t>
            </w:r>
          </w:p>
        </w:tc>
        <w:tc>
          <w:tcPr>
            <w:tcW w:w="35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w:t>
            </w:r>
          </w:p>
        </w:tc>
        <w:tc>
          <w:tcPr>
            <w:tcW w:w="346" w:type="dxa"/>
            <w:tcBorders/>
            <w:vAlign w:val="center"/>
          </w:tcPr>
          <w:p>
            <w:pPr>
              <w:pStyle w:val="TableContents"/>
              <w:bidi w:val="0"/>
              <w:spacing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406" w:type="dxa"/>
            <w:tcBorders/>
            <w:vAlign w:val="center"/>
          </w:tcPr>
          <w:p>
            <w:pPr>
              <w:pStyle w:val="TableContents"/>
              <w:bidi w:val="0"/>
              <w:spacing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56" w:type="dxa"/>
            <w:tcBorders/>
            <w:vAlign w:val="center"/>
          </w:tcPr>
          <w:p>
            <w:pPr>
              <w:pStyle w:val="TableContents"/>
              <w:bidi w:val="0"/>
              <w:spacing w:before="0" w:after="0"/>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406" w:type="dxa"/>
            <w:tcBorders/>
            <w:shd w:fill="CCEEFF" w:val="clear"/>
            <w:vAlign w:val="center"/>
          </w:tcPr>
          <w:p>
            <w:pPr>
              <w:pStyle w:val="TableContents"/>
              <w:bidi w:val="0"/>
              <w:spacing w:before="0" w:after="0"/>
              <w:ind w:left="0" w:right="0" w:hanging="0"/>
              <w:jc w:val="left"/>
              <w:rPr/>
            </w:pPr>
            <w:r>
              <w:rPr/>
              <w:t> </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356"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46"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w:t>
            </w:r>
          </w:p>
        </w:tc>
        <w:tc>
          <w:tcPr>
            <w:tcW w:w="346" w:type="dxa"/>
            <w:tcBorders/>
            <w:vAlign w:val="center"/>
          </w:tcPr>
          <w:p>
            <w:pPr>
              <w:pStyle w:val="TableContents"/>
              <w:bidi w:val="0"/>
              <w:spacing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406" w:type="dxa"/>
            <w:tcBorders/>
            <w:vAlign w:val="center"/>
          </w:tcPr>
          <w:p>
            <w:pPr>
              <w:pStyle w:val="TableContents"/>
              <w:bidi w:val="0"/>
              <w:spacing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w:t>
            </w:r>
          </w:p>
        </w:tc>
        <w:tc>
          <w:tcPr>
            <w:tcW w:w="356" w:type="dxa"/>
            <w:tcBorders/>
            <w:vAlign w:val="center"/>
          </w:tcPr>
          <w:p>
            <w:pPr>
              <w:pStyle w:val="TableContents"/>
              <w:bidi w:val="0"/>
              <w:spacing w:before="0" w:after="0"/>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5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product and services revenue: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34"/>
        <w:gridCol w:w="346"/>
        <w:gridCol w:w="196"/>
        <w:gridCol w:w="691"/>
        <w:gridCol w:w="346"/>
        <w:gridCol w:w="196"/>
        <w:gridCol w:w="691"/>
        <w:gridCol w:w="346"/>
        <w:gridCol w:w="196"/>
        <w:gridCol w:w="601"/>
        <w:gridCol w:w="346"/>
        <w:gridCol w:w="421"/>
        <w:gridCol w:w="346"/>
        <w:gridCol w:w="196"/>
        <w:gridCol w:w="691"/>
        <w:gridCol w:w="346"/>
        <w:gridCol w:w="196"/>
        <w:gridCol w:w="691"/>
        <w:gridCol w:w="346"/>
        <w:gridCol w:w="197"/>
        <w:gridCol w:w="605"/>
        <w:gridCol w:w="109"/>
        <w:gridCol w:w="425"/>
        <w:gridCol w:w="256"/>
        <w:gridCol w:w="391"/>
      </w:tblGrid>
      <w:tr>
        <w:trPr/>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56590" cy="175260"/>
                      <wp:effectExtent l="0" t="0" r="0" b="0"/>
                      <wp:wrapNone/>
                      <wp:docPr id="292" name="Frame292"/>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4460" cy="175260"/>
                      <wp:effectExtent l="0" t="0" r="0" b="0"/>
                      <wp:wrapNone/>
                      <wp:docPr id="294" name="Frame2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38785" cy="175260"/>
                      <wp:effectExtent l="0" t="0" r="0" b="0"/>
                      <wp:wrapNone/>
                      <wp:docPr id="295" name="Frame2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4460" cy="175260"/>
                      <wp:effectExtent l="0" t="0" r="0" b="0"/>
                      <wp:wrapNone/>
                      <wp:docPr id="297" name="Frame2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8785" cy="175260"/>
                      <wp:effectExtent l="0" t="0" r="0" b="0"/>
                      <wp:wrapNone/>
                      <wp:docPr id="298" name="Frame2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4460" cy="175260"/>
                      <wp:effectExtent l="0" t="0" r="0" b="0"/>
                      <wp:wrapNone/>
                      <wp:docPr id="300" name="Frame3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81635" cy="175260"/>
                      <wp:effectExtent l="0" t="0" r="0" b="0"/>
                      <wp:wrapNone/>
                      <wp:docPr id="301" name="Frame30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67335" cy="175260"/>
                      <wp:effectExtent l="0" t="0" r="0" b="0"/>
                      <wp:wrapNone/>
                      <wp:docPr id="303" name="Frame30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5"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8785" cy="175260"/>
                      <wp:effectExtent l="0" t="0" r="0" b="0"/>
                      <wp:wrapNone/>
                      <wp:docPr id="306"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24460" cy="175260"/>
                      <wp:effectExtent l="0" t="0" r="0" b="0"/>
                      <wp:wrapNone/>
                      <wp:docPr id="308" name="Frame3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785" cy="175260"/>
                      <wp:effectExtent l="0" t="0" r="0" b="0"/>
                      <wp:wrapNone/>
                      <wp:docPr id="309"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5095" cy="175260"/>
                      <wp:effectExtent l="0" t="0" r="0" b="0"/>
                      <wp:wrapNone/>
                      <wp:docPr id="311" name="Frame311"/>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84175" cy="175260"/>
                      <wp:effectExtent l="0" t="0" r="0" b="0"/>
                      <wp:wrapNone/>
                      <wp:docPr id="312" name="Frame31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69875" cy="175260"/>
                      <wp:effectExtent l="0" t="0" r="0" b="0"/>
                      <wp:wrapNone/>
                      <wp:docPr id="314" name="Frame314"/>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62560" cy="175260"/>
                      <wp:effectExtent l="0" t="0" r="0" b="0"/>
                      <wp:wrapNone/>
                      <wp:docPr id="315" name="Frame31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48285" cy="175260"/>
                      <wp:effectExtent l="0" t="0" r="0" b="0"/>
                      <wp:wrapNone/>
                      <wp:docPr id="316" name="Frame31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0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0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034" w:type="dxa"/>
            <w:tcBorders/>
            <w:vAlign w:val="center"/>
          </w:tcPr>
          <w:p>
            <w:pPr>
              <w:pStyle w:val="TableContents"/>
              <w:bidi w:val="0"/>
              <w:spacing w:before="0" w:after="0"/>
              <w:ind w:left="0" w:right="0" w:hanging="0"/>
              <w:jc w:val="left"/>
              <w:rPr/>
            </w:pPr>
            <w:r>
              <w:rPr/>
              <w:t>​</w:t>
            </w:r>
          </w:p>
        </w:tc>
        <w:tc>
          <w:tcPr>
            <w:tcW w:w="8780"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0"/>
              <w:ind w:left="0" w:right="0" w:hanging="0"/>
              <w:jc w:val="left"/>
              <w:rPr/>
            </w:pPr>
            <w:r>
              <w:rPr/>
              <w:t>​</w:t>
            </w:r>
          </w:p>
        </w:tc>
      </w:tr>
      <w:tr>
        <w:trPr/>
        <w:tc>
          <w:tcPr>
            <w:tcW w:w="10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right"/>
              <w:rPr/>
            </w:pPr>
            <w:r>
              <w:rPr/>
              <w:t>  ​ ​ ​</w:t>
            </w:r>
          </w:p>
        </w:tc>
        <w:tc>
          <w:tcPr>
            <w:tcW w:w="25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  ​ ​ ​</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200,488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17,086</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388,497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366,226</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22,271</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6.1</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391" w:type="dxa"/>
            <w:tcBorders/>
            <w:vAlign w:val="center"/>
          </w:tcPr>
          <w:p>
            <w:pPr>
              <w:pStyle w:val="TableContents"/>
              <w:bidi w:val="0"/>
              <w:spacing w:before="0" w:after="0"/>
              <w:ind w:left="0" w:right="0" w:hanging="0"/>
              <w:jc w:val="left"/>
              <w:rPr/>
            </w:pPr>
            <w:r>
              <w:rPr/>
              <w:t>​</w:t>
            </w:r>
          </w:p>
        </w:tc>
      </w:tr>
      <w:tr>
        <w:trPr/>
        <w:tc>
          <w:tcPr>
            <w:tcW w:w="1034"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93.2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94.3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93.8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3,545</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31.8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20,881</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4,753</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22.8</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391" w:type="dxa"/>
            <w:tcBorders/>
            <w:vAlign w:val="center"/>
          </w:tcPr>
          <w:p>
            <w:pPr>
              <w:pStyle w:val="TableContents"/>
              <w:bidi w:val="0"/>
              <w:spacing w:before="0" w:after="0"/>
              <w:ind w:left="0" w:right="0" w:hanging="0"/>
              <w:jc w:val="left"/>
              <w:rPr/>
            </w:pPr>
            <w:r>
              <w:rPr/>
              <w:t>​</w:t>
            </w:r>
          </w:p>
        </w:tc>
      </w:tr>
      <w:tr>
        <w:trPr/>
        <w:tc>
          <w:tcPr>
            <w:tcW w:w="1034"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215,175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194,544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20,631</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414,131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387,107</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27,024</w:t>
            </w:r>
          </w:p>
        </w:tc>
        <w:tc>
          <w:tcPr>
            <w:tcW w:w="109"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with Three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revenue, which includes systems sales, sales of spare parts, product upgrades and used systems, was $200.5 million, or 93.2% of revenue, during the three months ended June 30, 2026, compared with $183.4 million, or 94.3% of revenue, for the three months ended June 30, 2025. The $17.1 million increase in product revenue for the three-month period ended June 30, 2026, in comparison to the same period in 2025, was primarily driven by an increase in Aftermarket sales.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Deferred revenue includes payments received in advance of system sales as well as deferral of revenue from systems sales for installation and other future performance obligations. The total amount of deferred revenue at June 30, 2026 and December 31, 2025 was $118.5 million and $108.9 million, respectively. </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Services revenue, which includes the labor component of maintenance and service contracts and fees for service hours provided by on-site service personnel, was $14.7 million, or 6.8% of revenue, for the three months ended June 30, 2026, compared with $11.1 million, or 5.7% of revenue, for the three months ended June 30, 2025. Although services revenue typically increases with the expansion of the installed base of systems, it can fluctuate from period to period based on capacity utilization at customers’ manufacturing facilities, which affects the need for equipment service.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with Six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revenue was $388.5 million, or 93.8% of revenue, during the six months ended June 30, 2026, compared with $366.2 million, or 94.6% of revenue, for the six months ended June 30, 2025. The $22.3 million increase in product revenue for the six-month period ended June 30, 2026, in comparison to the same period in 2025, was primarily driven by an increase in Aftermarket sales, partially offset by a customer settlement of $4.9 million.</w:t>
      </w:r>
    </w:p>
    <w:p>
      <w:pPr>
        <w:pStyle w:val="TextBody"/>
        <w:bidi w:val="0"/>
        <w:spacing w:before="0" w:after="0"/>
        <w:ind w:left="0" w:right="0" w:firstLine="54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Services revenue was $25.6 million, or 6.2% of revenue, for the six months ended June 30, 2026, compared with $20.9 million, or 5.4% of revenue, for the six months ended June 30, 2025.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Categories used by Management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line item revenue categories discussed above, management also regularly disaggregates revenue in the following categories, which it finds relevant and useful:</w:t>
      </w:r>
    </w:p>
    <w:p>
      <w:pPr>
        <w:pStyle w:val="TextBody"/>
        <w:bidi w:val="0"/>
        <w:spacing w:before="0" w:after="0"/>
        <w:ind w:left="0" w:right="0" w:firstLine="720"/>
        <w:jc w:val="left"/>
        <w:rPr/>
      </w:pPr>
      <w:r>
        <w:rPr/>
        <w:t>​</w:t>
      </w:r>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Systems and Aftermarket revenues, in which “Aftermarket” is: </w:t>
            </w:r>
          </w:p>
        </w:tc>
      </w:tr>
    </w:tbl>
    <w:tbl>
      <w:tblPr>
        <w:tblW w:w="9411" w:type="dxa"/>
        <w:jc w:val="left"/>
        <w:tblInd w:w="0" w:type="dxa"/>
        <w:tblLayout w:type="fixed"/>
        <w:tblCellMar>
          <w:top w:w="28" w:type="dxa"/>
          <w:left w:w="28" w:type="dxa"/>
          <w:bottom w:w="28" w:type="dxa"/>
          <w:right w:w="28" w:type="dxa"/>
        </w:tblCellMar>
      </w:tblPr>
      <w:tblGrid>
        <w:gridCol w:w="124"/>
        <w:gridCol w:w="28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portion of Product revenue relating to spare parts, product upgrades and used equipment, combined with </w:t>
            </w:r>
          </w:p>
        </w:tc>
      </w:tr>
    </w:tbl>
    <w:tbl>
      <w:tblPr>
        <w:tblW w:w="6456" w:type="dxa"/>
        <w:jc w:val="left"/>
        <w:tblInd w:w="0" w:type="dxa"/>
        <w:tblLayout w:type="fixed"/>
        <w:tblCellMar>
          <w:top w:w="28" w:type="dxa"/>
          <w:left w:w="28" w:type="dxa"/>
          <w:bottom w:w="28" w:type="dxa"/>
          <w:right w:w="28" w:type="dxa"/>
        </w:tblCellMar>
      </w:tblPr>
      <w:tblGrid>
        <w:gridCol w:w="124"/>
        <w:gridCol w:w="28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which is the labor component of Aftermarket revenues;</w:t>
            </w:r>
          </w:p>
        </w:tc>
      </w:tr>
    </w:tbl>
    <w:p>
      <w:pPr>
        <w:pStyle w:val="TextBody"/>
        <w:bidi w:val="0"/>
        <w:spacing w:before="0" w:after="0"/>
        <w:ind w:left="216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 xml:space="preserve">(Aftermarket purchases reflect current fab utilization as opposed to Systems purchases which reflect capital investment decisions by our customers, which have differing economic drivers); </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Revenue by geographic regions, since economic factors impacting customer purchasing decisions may vary by geographic region; and</w:t>
              <w:br/>
            </w: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advanced logic. </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Aftermarket and Systems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with Three months ended June 30,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Included in total revenue of $215.2 million during the three months ended June 30, 2026 is revenue from our Aftermarket business of $82.8 million, compared with $61.3 million of Aftermarket revenue for the three months ended June 30, 2025. Aftermarket revenue fluctuates from period to period primarily based on capacity utilization at customers’ manufacturing facilities, which affects the sale of spare parts and demand for equipment service. Aftermarket revenue can also fluctuate from period to period based on the demand for system upgrades or used equipment. The remaining $132.4 million of revenue for the three months ended June 30, 2026 was systems revenue, compared with $133.2 million of systems revenue for the three months ended June 30, 2025. Systems revenue fluctuates from period to period based on our customers’ capital spending.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with Six months ended June 30,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Included in total revenue of $414.1 million during the six months ended June 30, 2026 is revenue from our Aftermarket business of $155.4 million, compared with $116.2 million of Aftermarket revenue for the six months ended June 30, 2025. The remaining $258.7 million of revenue for the six months ended June 30, 2026 was systems revenue, compared with $270.9 million of systems revenue for the six months ended June 30, 2025.</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 / Gross Margin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gross profit / gross margin: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5"/>
        <w:gridCol w:w="346"/>
        <w:gridCol w:w="196"/>
        <w:gridCol w:w="607"/>
        <w:gridCol w:w="346"/>
        <w:gridCol w:w="196"/>
        <w:gridCol w:w="601"/>
        <w:gridCol w:w="346"/>
        <w:gridCol w:w="196"/>
        <w:gridCol w:w="583"/>
        <w:gridCol w:w="346"/>
        <w:gridCol w:w="511"/>
        <w:gridCol w:w="346"/>
        <w:gridCol w:w="196"/>
        <w:gridCol w:w="691"/>
        <w:gridCol w:w="346"/>
        <w:gridCol w:w="196"/>
        <w:gridCol w:w="691"/>
        <w:gridCol w:w="346"/>
        <w:gridCol w:w="196"/>
        <w:gridCol w:w="583"/>
        <w:gridCol w:w="109"/>
        <w:gridCol w:w="646"/>
        <w:gridCol w:w="256"/>
        <w:gridCol w:w="394"/>
      </w:tblGrid>
      <w:tr>
        <w:trPr/>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93725" cy="175260"/>
                      <wp:effectExtent l="0" t="0" r="0" b="0"/>
                      <wp:wrapNone/>
                      <wp:docPr id="317" name="Frame317"/>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4460" cy="175260"/>
                      <wp:effectExtent l="0" t="0" r="0" b="0"/>
                      <wp:wrapNone/>
                      <wp:docPr id="319" name="Frame3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85445" cy="175260"/>
                      <wp:effectExtent l="0" t="0" r="0" b="0"/>
                      <wp:wrapNone/>
                      <wp:docPr id="320" name="Frame320"/>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4460" cy="175260"/>
                      <wp:effectExtent l="0" t="0" r="0" b="0"/>
                      <wp:wrapNone/>
                      <wp:docPr id="322" name="Frame3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81635" cy="175260"/>
                      <wp:effectExtent l="0" t="0" r="0" b="0"/>
                      <wp:wrapNone/>
                      <wp:docPr id="323" name="Frame32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4460" cy="175260"/>
                      <wp:effectExtent l="0" t="0" r="0" b="0"/>
                      <wp:wrapNone/>
                      <wp:docPr id="325" name="Frame3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70205" cy="175260"/>
                      <wp:effectExtent l="0" t="0" r="0" b="0"/>
                      <wp:wrapNone/>
                      <wp:docPr id="326" name="Frame326"/>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24485" cy="175260"/>
                      <wp:effectExtent l="0" t="0" r="0" b="0"/>
                      <wp:wrapNone/>
                      <wp:docPr id="328" name="Frame32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38785" cy="175260"/>
                      <wp:effectExtent l="0" t="0" r="0" b="0"/>
                      <wp:wrapNone/>
                      <wp:docPr id="331" name="Frame33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8785" cy="175260"/>
                      <wp:effectExtent l="0" t="0" r="0" b="0"/>
                      <wp:wrapNone/>
                      <wp:docPr id="334" name="Frame3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36" name="Frame3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70205" cy="175260"/>
                      <wp:effectExtent l="0" t="0" r="0" b="0"/>
                      <wp:wrapNone/>
                      <wp:docPr id="337" name="Frame337"/>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10210" cy="175260"/>
                      <wp:effectExtent l="0" t="0" r="0" b="0"/>
                      <wp:wrapNone/>
                      <wp:docPr id="339" name="Frame33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2560" cy="175260"/>
                      <wp:effectExtent l="0" t="0" r="0" b="0"/>
                      <wp:wrapNone/>
                      <wp:docPr id="340" name="Frame34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50190" cy="175260"/>
                      <wp:effectExtent l="0" t="0" r="0" b="0"/>
                      <wp:wrapNone/>
                      <wp:docPr id="341" name="Frame341"/>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6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w:t>
            </w:r>
          </w:p>
        </w:tc>
      </w:tr>
      <w:tr>
        <w:trPr/>
        <w:tc>
          <w:tcPr>
            <w:tcW w:w="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6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w:t>
            </w:r>
          </w:p>
        </w:tc>
      </w:tr>
      <w:tr>
        <w:trPr/>
        <w:tc>
          <w:tcPr>
            <w:tcW w:w="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 ​ ​</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935" w:type="dxa"/>
            <w:tcBorders/>
            <w:vAlign w:val="center"/>
          </w:tcPr>
          <w:p>
            <w:pPr>
              <w:pStyle w:val="TableContents"/>
              <w:bidi w:val="0"/>
              <w:spacing w:before="0" w:after="0"/>
              <w:ind w:left="0" w:right="0" w:hanging="0"/>
              <w:jc w:val="left"/>
              <w:rPr/>
            </w:pPr>
            <w:r>
              <w:rPr/>
              <w:t>​</w:t>
            </w:r>
          </w:p>
        </w:tc>
        <w:tc>
          <w:tcPr>
            <w:tcW w:w="8876"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4" w:type="dxa"/>
            <w:tcBorders/>
            <w:vAlign w:val="center"/>
          </w:tcPr>
          <w:p>
            <w:pPr>
              <w:pStyle w:val="TableContents"/>
              <w:bidi w:val="0"/>
              <w:spacing w:before="0" w:after="0"/>
              <w:ind w:left="0" w:right="0" w:hanging="0"/>
              <w:jc w:val="left"/>
              <w:rPr/>
            </w:pPr>
            <w:r>
              <w:rPr/>
              <w:t>​</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1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  ​ ​ ​</w:t>
            </w:r>
          </w:p>
        </w:tc>
        <w:tc>
          <w:tcPr>
            <w:tcW w:w="25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  ​ ​ ​</w:t>
            </w:r>
          </w:p>
        </w:tc>
      </w:tr>
      <w:tr>
        <w:trPr/>
        <w:tc>
          <w:tcPr>
            <w:tcW w:w="9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5,550</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176,264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4" w:type="dxa"/>
            <w:tcBorders/>
            <w:vAlign w:val="center"/>
          </w:tcPr>
          <w:p>
            <w:pPr>
              <w:pStyle w:val="TableContents"/>
              <w:bidi w:val="0"/>
              <w:spacing w:before="0" w:after="0"/>
              <w:ind w:left="0" w:right="0" w:hanging="0"/>
              <w:jc w:val="left"/>
              <w:rPr/>
            </w:pPr>
            <w:r>
              <w:rPr/>
              <w:t>​</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Product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46.6</w:t>
            </w:r>
          </w:p>
        </w:tc>
        <w:tc>
          <w:tcPr>
            <w:tcW w:w="34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45.2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(1,704)</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285.4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2,509.8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935"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Services gross margin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(15.7)</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r>
        <w:trPr/>
        <w:tc>
          <w:tcPr>
            <w:tcW w:w="9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3,846</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171,770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(4,341)</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9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42.4</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41.4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with Three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product revenue was 46.6% for the three months ended June 30, 2026, compared to 47.9% for the three months ended June 30, 2025. </w:t>
      </w:r>
      <w:r>
        <w:rPr>
          <w:rFonts w:ascii="Times" w:hAnsi="Times"/>
          <w:sz w:val="20"/>
        </w:rPr>
        <w:t>The decrease in gross margin resulted from a less favorable mix of system shipments.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firstLine="54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services revenue was (15.7)% for the three months ended June 30, 2026, compared to (5.4)% for the three months ended June 30, 2025. </w:t>
      </w:r>
      <w:r>
        <w:rPr>
          <w:rFonts w:ascii="Times" w:hAnsi="Times"/>
          <w:sz w:val="20"/>
        </w:rPr>
        <w:t>The decrease in gross margin is primarily attributable to changes in the mix of service contracts and fluctuations of service expenses</w:t>
      </w:r>
      <w:r>
        <w:rPr>
          <w:rFonts w:ascii="Times New Roman;Times;serif" w:hAnsi="Times New Roman;Times;serif"/>
          <w:sz w:val="20"/>
        </w:rPr>
        <w:t xml:space="preserve">. Occasionally, we experience negative gross margin on service revenue as contract costs can vary significantly from one period to another based on customer demand.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with Six months ended June 30, 2025</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product revenue was 45.2% for the six months ended June 30, 2026, compared to 48.1% for the six months ended June 30, 2025. </w:t>
      </w:r>
      <w:r>
        <w:rPr>
          <w:rFonts w:ascii="Times" w:hAnsi="Times"/>
          <w:sz w:val="20"/>
        </w:rPr>
        <w:t>The decrease in gross margin primarily resulted from a less favorable mix of system shipments.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services revenue was (15.6)% for the six months ended June 30, 2026, compared to (0.7)% for the six months ended June 30, 2025. </w:t>
      </w:r>
      <w:r>
        <w:rPr>
          <w:rFonts w:ascii="Times" w:hAnsi="Times"/>
          <w:sz w:val="20"/>
        </w:rPr>
        <w:t>The decrease in gross margin is primarily attributable to changes in the mix of service contracts and fluctuations of service expenses</w:t>
      </w:r>
      <w:r>
        <w:rPr>
          <w:rFonts w:ascii="Times New Roman;Times;serif" w:hAnsi="Times New Roman;Times;serif"/>
          <w:sz w:val="20"/>
        </w:rPr>
        <w:t>.</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operating expenses: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06"/>
        <w:gridCol w:w="346"/>
        <w:gridCol w:w="196"/>
        <w:gridCol w:w="601"/>
        <w:gridCol w:w="346"/>
        <w:gridCol w:w="196"/>
        <w:gridCol w:w="601"/>
        <w:gridCol w:w="346"/>
        <w:gridCol w:w="196"/>
        <w:gridCol w:w="601"/>
        <w:gridCol w:w="346"/>
        <w:gridCol w:w="421"/>
        <w:gridCol w:w="241"/>
        <w:gridCol w:w="196"/>
        <w:gridCol w:w="691"/>
        <w:gridCol w:w="346"/>
        <w:gridCol w:w="196"/>
        <w:gridCol w:w="691"/>
        <w:gridCol w:w="346"/>
        <w:gridCol w:w="196"/>
        <w:gridCol w:w="601"/>
        <w:gridCol w:w="346"/>
        <w:gridCol w:w="421"/>
        <w:gridCol w:w="241"/>
        <w:gridCol w:w="391"/>
      </w:tblGrid>
      <w:tr>
        <w:trPr/>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02310" cy="175260"/>
                      <wp:effectExtent l="0" t="0" r="0" b="0"/>
                      <wp:wrapNone/>
                      <wp:docPr id="342" name="Frame342"/>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4460" cy="175260"/>
                      <wp:effectExtent l="0" t="0" r="0" b="0"/>
                      <wp:wrapNone/>
                      <wp:docPr id="344" name="Frame3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81635" cy="175260"/>
                      <wp:effectExtent l="0" t="0" r="0" b="0"/>
                      <wp:wrapNone/>
                      <wp:docPr id="345" name="Frame34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81635" cy="175260"/>
                      <wp:effectExtent l="0" t="0" r="0" b="0"/>
                      <wp:wrapNone/>
                      <wp:docPr id="348" name="Frame34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4460" cy="175260"/>
                      <wp:effectExtent l="0" t="0" r="0" b="0"/>
                      <wp:wrapNone/>
                      <wp:docPr id="350" name="Frame3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81635" cy="175260"/>
                      <wp:effectExtent l="0" t="0" r="0" b="0"/>
                      <wp:wrapNone/>
                      <wp:docPr id="351" name="Frame35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67335" cy="175260"/>
                      <wp:effectExtent l="0" t="0" r="0" b="0"/>
                      <wp:wrapNone/>
                      <wp:docPr id="353" name="Frame35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53035" cy="175260"/>
                      <wp:effectExtent l="0" t="0" r="0" b="0"/>
                      <wp:wrapNone/>
                      <wp:docPr id="354" name="Frame35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4460" cy="175260"/>
                      <wp:effectExtent l="0" t="0" r="0" b="0"/>
                      <wp:wrapNone/>
                      <wp:docPr id="355" name="Frame3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38785" cy="175260"/>
                      <wp:effectExtent l="0" t="0" r="0" b="0"/>
                      <wp:wrapNone/>
                      <wp:docPr id="356" name="Frame3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4460" cy="175260"/>
                      <wp:effectExtent l="0" t="0" r="0" b="0"/>
                      <wp:wrapNone/>
                      <wp:docPr id="358" name="Frame3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38785" cy="175260"/>
                      <wp:effectExtent l="0" t="0" r="0" b="0"/>
                      <wp:wrapNone/>
                      <wp:docPr id="359" name="Frame3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24460" cy="175260"/>
                      <wp:effectExtent l="0" t="0" r="0" b="0"/>
                      <wp:wrapNone/>
                      <wp:docPr id="361" name="Frame3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81635" cy="175260"/>
                      <wp:effectExtent l="0" t="0" r="0" b="0"/>
                      <wp:wrapNone/>
                      <wp:docPr id="362" name="Frame3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67335" cy="175260"/>
                      <wp:effectExtent l="0" t="0" r="0" b="0"/>
                      <wp:wrapNone/>
                      <wp:docPr id="364" name="Frame36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53035" cy="175260"/>
                      <wp:effectExtent l="0" t="0" r="0" b="0"/>
                      <wp:wrapNone/>
                      <wp:docPr id="365" name="Frame36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48285" cy="175260"/>
                      <wp:effectExtent l="0" t="0" r="0" b="0"/>
                      <wp:wrapNone/>
                      <wp:docPr id="366" name="Frame36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41"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4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41"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4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4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4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06" w:type="dxa"/>
            <w:tcBorders/>
            <w:vAlign w:val="center"/>
          </w:tcPr>
          <w:p>
            <w:pPr>
              <w:pStyle w:val="TableContents"/>
              <w:bidi w:val="0"/>
              <w:spacing w:before="0" w:after="0"/>
              <w:ind w:left="0" w:right="0" w:hanging="0"/>
              <w:jc w:val="left"/>
              <w:rPr/>
            </w:pPr>
            <w:r>
              <w:rPr/>
              <w:t>​</w:t>
            </w:r>
          </w:p>
        </w:tc>
        <w:tc>
          <w:tcPr>
            <w:tcW w:w="8708"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0"/>
              <w:ind w:left="0" w:right="0" w:hanging="0"/>
              <w:jc w:val="left"/>
              <w:rPr/>
            </w:pPr>
            <w:r>
              <w:rPr/>
              <w:t>​</w:t>
            </w:r>
          </w:p>
        </w:tc>
      </w:tr>
      <w:tr>
        <w:trPr/>
        <w:tc>
          <w:tcPr>
            <w:tcW w:w="11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28,977</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27,064</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1,913</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57,493</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54,192</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3,301</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6.1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0"/>
              <w:ind w:left="0" w:right="0" w:hanging="0"/>
              <w:jc w:val="left"/>
              <w:rPr/>
            </w:pPr>
            <w:r>
              <w:rPr/>
              <w:t>  ​ ​ ​</w:t>
            </w:r>
          </w:p>
        </w:tc>
      </w:tr>
      <w:tr>
        <w:trPr/>
        <w:tc>
          <w:tcPr>
            <w:tcW w:w="110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13.5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13.9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13.9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14.0</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1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4,551</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30.3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6,781</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22.5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10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9.1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7.8</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1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6,066</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37.2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15,470</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45.9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10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10.4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11.9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1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12,530</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21.5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143,539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117,987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25,552</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21.7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10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33.0</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30.0</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34.7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30.5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Personnel costs are our largest expense, representing $39.2 million, or 55.3%, of our total operating expenses for the three months ended June 30, 2026, compared to $35.9 million, or 61.5%, of our total operating expenses for the three months ended June 30, 2025. Personnel costs were $74.9 million, or 52.2%, of our total operating expenses for the six months ended June 30, 2026, compared to $71.3 million, or 60.4%, of our total operating expenses for the six months ended June 30, 2025. The higher personnel costs for the three months ended June 30, 2026 are primarily due to increases in salary, benefits, commissions, and stock-based compensation expenses. The higher personnel costs for the six months ended June 30, 2026 are primarily due to increases in salary, benefits, commissions, and stock-based compensation expenses, slightly offset by a decrease in separation program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98"/>
        <w:gridCol w:w="346"/>
        <w:gridCol w:w="196"/>
        <w:gridCol w:w="601"/>
        <w:gridCol w:w="346"/>
        <w:gridCol w:w="196"/>
        <w:gridCol w:w="601"/>
        <w:gridCol w:w="346"/>
        <w:gridCol w:w="222"/>
        <w:gridCol w:w="580"/>
        <w:gridCol w:w="123"/>
        <w:gridCol w:w="411"/>
        <w:gridCol w:w="256"/>
        <w:gridCol w:w="109"/>
        <w:gridCol w:w="196"/>
        <w:gridCol w:w="601"/>
        <w:gridCol w:w="346"/>
        <w:gridCol w:w="196"/>
        <w:gridCol w:w="601"/>
        <w:gridCol w:w="346"/>
        <w:gridCol w:w="109"/>
        <w:gridCol w:w="196"/>
        <w:gridCol w:w="560"/>
        <w:gridCol w:w="379"/>
        <w:gridCol w:w="397"/>
        <w:gridCol w:w="256"/>
        <w:gridCol w:w="391"/>
      </w:tblGrid>
      <w:tr>
        <w:trPr/>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824230" cy="175260"/>
                      <wp:effectExtent l="0" t="0" r="0" b="0"/>
                      <wp:wrapNone/>
                      <wp:docPr id="367" name="Frame367"/>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24460" cy="175260"/>
                      <wp:effectExtent l="0" t="0" r="0" b="0"/>
                      <wp:wrapNone/>
                      <wp:docPr id="369" name="Frame3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81635" cy="175260"/>
                      <wp:effectExtent l="0" t="0" r="0" b="0"/>
                      <wp:wrapNone/>
                      <wp:docPr id="370" name="Frame37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4460" cy="175260"/>
                      <wp:effectExtent l="0" t="0" r="0" b="0"/>
                      <wp:wrapNone/>
                      <wp:docPr id="372" name="Frame3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81635" cy="175260"/>
                      <wp:effectExtent l="0" t="0" r="0" b="0"/>
                      <wp:wrapNone/>
                      <wp:docPr id="373" name="Frame37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40970" cy="175260"/>
                      <wp:effectExtent l="0" t="0" r="0" b="0"/>
                      <wp:wrapNone/>
                      <wp:docPr id="375" name="Frame37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68300" cy="175260"/>
                      <wp:effectExtent l="0" t="0" r="0" b="0"/>
                      <wp:wrapNone/>
                      <wp:docPr id="376" name="Frame376"/>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8105" cy="175260"/>
                      <wp:effectExtent l="0" t="0" r="0" b="0"/>
                      <wp:wrapNone/>
                      <wp:docPr id="377" name="Frame377"/>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60985" cy="175260"/>
                      <wp:effectExtent l="0" t="0" r="0" b="0"/>
                      <wp:wrapNone/>
                      <wp:docPr id="378" name="Frame378"/>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62560" cy="175260"/>
                      <wp:effectExtent l="0" t="0" r="0" b="0"/>
                      <wp:wrapNone/>
                      <wp:docPr id="379" name="Frame37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24460" cy="175260"/>
                      <wp:effectExtent l="0" t="0" r="0" b="0"/>
                      <wp:wrapNone/>
                      <wp:docPr id="381" name="Frame3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81635" cy="175260"/>
                      <wp:effectExtent l="0" t="0" r="0" b="0"/>
                      <wp:wrapNone/>
                      <wp:docPr id="382" name="Frame38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24460" cy="175260"/>
                      <wp:effectExtent l="0" t="0" r="0" b="0"/>
                      <wp:wrapNone/>
                      <wp:docPr id="384" name="Frame3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81635" cy="175260"/>
                      <wp:effectExtent l="0" t="0" r="0" b="0"/>
                      <wp:wrapNone/>
                      <wp:docPr id="385" name="Frame38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4460" cy="175260"/>
                      <wp:effectExtent l="0" t="0" r="0" b="0"/>
                      <wp:wrapNone/>
                      <wp:docPr id="388" name="Frame3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55600" cy="175260"/>
                      <wp:effectExtent l="0" t="0" r="0" b="0"/>
                      <wp:wrapNone/>
                      <wp:docPr id="389" name="Frame389"/>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40665" cy="175260"/>
                      <wp:effectExtent l="0" t="0" r="0" b="0"/>
                      <wp:wrapNone/>
                      <wp:docPr id="390" name="Frame39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52095" cy="175260"/>
                      <wp:effectExtent l="0" t="0" r="0" b="0"/>
                      <wp:wrapNone/>
                      <wp:docPr id="391" name="Frame391"/>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62560" cy="175260"/>
                      <wp:effectExtent l="0" t="0" r="0" b="0"/>
                      <wp:wrapNone/>
                      <wp:docPr id="392" name="Frame39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48285" cy="175260"/>
                      <wp:effectExtent l="0" t="0" r="0" b="0"/>
                      <wp:wrapNone/>
                      <wp:docPr id="393" name="Frame39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33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33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23" w:type="dxa"/>
            <w:tcBorders/>
            <w:vAlign w:val="center"/>
          </w:tcPr>
          <w:p>
            <w:pPr>
              <w:pStyle w:val="TableContents"/>
              <w:bidi w:val="0"/>
              <w:spacing w:before="0" w:after="0"/>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79"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0205" w:type="dxa"/>
            <w:gridSpan w:val="27"/>
            <w:tcBorders/>
            <w:vAlign w:val="center"/>
          </w:tcPr>
          <w:p>
            <w:pPr>
              <w:pStyle w:val="TableContents"/>
              <w:bidi w:val="0"/>
              <w:spacing w:before="0" w:after="283"/>
              <w:ind w:left="0" w:right="0" w:hanging="0"/>
              <w:jc w:val="left"/>
              <w:rPr>
                <w:sz w:val="4"/>
                <w:szCs w:val="4"/>
              </w:rPr>
            </w:pPr>
            <w:r>
              <w:rPr>
                <w:sz w:val="4"/>
                <w:szCs w:val="4"/>
              </w:rPr>
            </w:r>
          </w:p>
        </w:tc>
      </w:tr>
      <w:tr>
        <w:trPr/>
        <w:tc>
          <w:tcPr>
            <w:tcW w:w="1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14"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25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2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28,977</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27,064</w:t>
            </w:r>
          </w:p>
        </w:tc>
        <w:tc>
          <w:tcPr>
            <w:tcW w:w="346" w:type="dxa"/>
            <w:tcBorders/>
            <w:shd w:fill="CCEEFF" w:val="clear"/>
            <w:vAlign w:val="center"/>
          </w:tcPr>
          <w:p>
            <w:pPr>
              <w:pStyle w:val="TableContents"/>
              <w:bidi w:val="0"/>
              <w:spacing w:before="0" w:after="0"/>
              <w:ind w:left="0" w:right="0" w:hanging="0"/>
              <w:jc w:val="left"/>
              <w:rPr/>
            </w:pPr>
            <w:r>
              <w:rPr/>
              <w:t>  ​ ​ ​</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1,913</w:t>
            </w:r>
          </w:p>
        </w:tc>
        <w:tc>
          <w:tcPr>
            <w:tcW w:w="123"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57,493</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54,192</w:t>
            </w:r>
          </w:p>
        </w:tc>
        <w:tc>
          <w:tcPr>
            <w:tcW w:w="346" w:type="dxa"/>
            <w:tcBorders/>
            <w:shd w:fill="CCEEFF" w:val="clear"/>
            <w:vAlign w:val="center"/>
          </w:tcPr>
          <w:p>
            <w:pPr>
              <w:pStyle w:val="TableContents"/>
              <w:bidi w:val="0"/>
              <w:spacing w:before="0" w:after="0"/>
              <w:ind w:left="0" w:right="0" w:hanging="0"/>
              <w:jc w:val="lef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3,301</w:t>
            </w:r>
          </w:p>
        </w:tc>
        <w:tc>
          <w:tcPr>
            <w:tcW w:w="379" w:type="dxa"/>
            <w:tcBorders/>
            <w:shd w:fill="CCEEFF" w:val="clear"/>
            <w:vAlign w:val="center"/>
          </w:tcPr>
          <w:p>
            <w:pPr>
              <w:pStyle w:val="TableContents"/>
              <w:bidi w:val="0"/>
              <w:spacing w:before="0" w:after="0"/>
              <w:ind w:left="0" w:right="0" w:hanging="0"/>
              <w:jc w:val="left"/>
              <w:rPr/>
            </w:pPr>
            <w:r>
              <w:rPr/>
              <w:t>  ​ ​ ​</w:t>
            </w:r>
          </w:p>
        </w:tc>
        <w:tc>
          <w:tcPr>
            <w:tcW w:w="397"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rPr/>
            </w:pPr>
            <w:r>
              <w:rPr/>
              <w:t>  ​ ​ ​</w:t>
            </w:r>
          </w:p>
        </w:tc>
      </w:tr>
      <w:tr>
        <w:trPr/>
        <w:tc>
          <w:tcPr>
            <w:tcW w:w="129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13.5</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22"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right"/>
              <w:rPr/>
            </w:pPr>
            <w:r>
              <w:rPr/>
              <w:t>​</w:t>
            </w:r>
          </w:p>
        </w:tc>
        <w:tc>
          <w:tcPr>
            <w:tcW w:w="123"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13.9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14.0</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pPr>
            <w:r>
              <w:rPr/>
              <w:t>​</w:t>
            </w:r>
          </w:p>
        </w:tc>
        <w:tc>
          <w:tcPr>
            <w:tcW w:w="379"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with Three months ended June 30,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was $29.0 million during the three months ended June 30, 2026, an increase of $1.9 million, or 7.1%, compared with $27.1 million during the three months ended June 30, 2025. The increase is primarily due to higher personnel costs and an increase in consulting expenses.</w:t>
      </w:r>
    </w:p>
    <w:p>
      <w:pPr>
        <w:pStyle w:val="TextBody"/>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with Six months ended June 30, 2025</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 was $57.5 million during the six months ended June 30, 2026, an increase of $3.3 million, or 6.1%, compared with $54.2 million during the six months ended June 30, 2025. The increase is primarily due to higher personnel costs and an increase in consulting expenses.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4"/>
        <w:gridCol w:w="346"/>
        <w:gridCol w:w="196"/>
        <w:gridCol w:w="601"/>
        <w:gridCol w:w="346"/>
        <w:gridCol w:w="196"/>
        <w:gridCol w:w="601"/>
        <w:gridCol w:w="346"/>
        <w:gridCol w:w="263"/>
        <w:gridCol w:w="526"/>
        <w:gridCol w:w="112"/>
        <w:gridCol w:w="435"/>
        <w:gridCol w:w="346"/>
        <w:gridCol w:w="196"/>
        <w:gridCol w:w="601"/>
        <w:gridCol w:w="346"/>
        <w:gridCol w:w="196"/>
        <w:gridCol w:w="601"/>
        <w:gridCol w:w="346"/>
        <w:gridCol w:w="256"/>
        <w:gridCol w:w="511"/>
        <w:gridCol w:w="346"/>
        <w:gridCol w:w="421"/>
        <w:gridCol w:w="256"/>
        <w:gridCol w:w="391"/>
      </w:tblGrid>
      <w:tr>
        <w:trPr/>
        <w:tc>
          <w:tcPr>
            <w:tcW w:w="1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904240" cy="175260"/>
                      <wp:effectExtent l="0" t="0" r="0" b="0"/>
                      <wp:wrapNone/>
                      <wp:docPr id="394" name="Frame394"/>
                      <a:graphic xmlns:a="http://schemas.openxmlformats.org/drawingml/2006/main">
                        <a:graphicData uri="http://schemas.microsoft.com/office/word/2010/wordprocessingShape">
                          <wps:wsp>
                            <wps:cNvSpPr txBox="1"/>
                            <wps:spPr>
                              <a:xfrm>
                                <a:off x="0" y="0"/>
                                <a:ext cx="90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4460" cy="175260"/>
                      <wp:effectExtent l="0" t="0" r="0" b="0"/>
                      <wp:wrapNone/>
                      <wp:docPr id="396" name="Frame3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81635" cy="175260"/>
                      <wp:effectExtent l="0" t="0" r="0" b="0"/>
                      <wp:wrapNone/>
                      <wp:docPr id="397" name="Frame39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24460" cy="175260"/>
                      <wp:effectExtent l="0" t="0" r="0" b="0"/>
                      <wp:wrapNone/>
                      <wp:docPr id="399" name="Frame3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81635" cy="175260"/>
                      <wp:effectExtent l="0" t="0" r="0" b="0"/>
                      <wp:wrapNone/>
                      <wp:docPr id="400" name="Frame40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67005" cy="175260"/>
                      <wp:effectExtent l="0" t="0" r="0" b="0"/>
                      <wp:wrapNone/>
                      <wp:docPr id="402" name="Frame40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34010" cy="175260"/>
                      <wp:effectExtent l="0" t="0" r="0" b="0"/>
                      <wp:wrapNone/>
                      <wp:docPr id="403" name="Frame40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1120" cy="175260"/>
                      <wp:effectExtent l="0" t="0" r="0" b="0"/>
                      <wp:wrapNone/>
                      <wp:docPr id="404" name="Frame404"/>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76225" cy="175260"/>
                      <wp:effectExtent l="0" t="0" r="0" b="0"/>
                      <wp:wrapNone/>
                      <wp:docPr id="405" name="Frame405"/>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24460" cy="175260"/>
                      <wp:effectExtent l="0" t="0" r="0" b="0"/>
                      <wp:wrapNone/>
                      <wp:docPr id="407" name="Frame4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81635" cy="175260"/>
                      <wp:effectExtent l="0" t="0" r="0" b="0"/>
                      <wp:wrapNone/>
                      <wp:docPr id="408" name="Frame40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4460" cy="175260"/>
                      <wp:effectExtent l="0" t="0" r="0" b="0"/>
                      <wp:wrapNone/>
                      <wp:docPr id="410" name="Frame4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81635" cy="175260"/>
                      <wp:effectExtent l="0" t="0" r="0" b="0"/>
                      <wp:wrapNone/>
                      <wp:docPr id="411" name="Frame4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62560" cy="175260"/>
                      <wp:effectExtent l="0" t="0" r="0" b="0"/>
                      <wp:wrapNone/>
                      <wp:docPr id="413" name="Frame41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24485" cy="175260"/>
                      <wp:effectExtent l="0" t="0" r="0" b="0"/>
                      <wp:wrapNone/>
                      <wp:docPr id="414" name="Frame4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67335" cy="175260"/>
                      <wp:effectExtent l="0" t="0" r="0" b="0"/>
                      <wp:wrapNone/>
                      <wp:docPr id="416" name="Frame41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62560" cy="175260"/>
                      <wp:effectExtent l="0" t="0" r="0" b="0"/>
                      <wp:wrapNone/>
                      <wp:docPr id="417" name="Frame41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48285" cy="175260"/>
                      <wp:effectExtent l="0" t="0" r="0" b="0"/>
                      <wp:wrapNone/>
                      <wp:docPr id="418" name="Frame41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336"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33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12"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424" w:type="dxa"/>
            <w:tcBorders/>
            <w:vAlign w:val="center"/>
          </w:tcPr>
          <w:p>
            <w:pPr>
              <w:pStyle w:val="TableContents"/>
              <w:bidi w:val="0"/>
              <w:spacing w:before="0" w:after="0"/>
              <w:ind w:left="0" w:right="0" w:hanging="0"/>
              <w:jc w:val="left"/>
              <w:rPr/>
            </w:pPr>
            <w:r>
              <w:rPr/>
              <w:t>​</w:t>
            </w:r>
          </w:p>
        </w:tc>
        <w:tc>
          <w:tcPr>
            <w:tcW w:w="8390"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0"/>
              <w:ind w:left="0" w:right="0" w:hanging="0"/>
              <w:jc w:val="left"/>
              <w:rPr/>
            </w:pPr>
            <w:r>
              <w:rPr/>
              <w:t>​</w:t>
            </w:r>
          </w:p>
        </w:tc>
      </w:tr>
      <w:tr>
        <w:trP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19,554</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15,003</w:t>
            </w:r>
          </w:p>
        </w:tc>
        <w:tc>
          <w:tcPr>
            <w:tcW w:w="346" w:type="dxa"/>
            <w:tcBorders/>
            <w:shd w:fill="CCEEFF" w:val="clear"/>
            <w:vAlign w:val="center"/>
          </w:tcPr>
          <w:p>
            <w:pPr>
              <w:pStyle w:val="TableContents"/>
              <w:bidi w:val="0"/>
              <w:spacing w:before="0" w:after="0"/>
              <w:ind w:left="0" w:right="0" w:hanging="0"/>
              <w:jc w:val="left"/>
              <w:rPr/>
            </w:pPr>
            <w:r>
              <w:rPr/>
              <w:t>  ​ ​ ​</w:t>
            </w:r>
          </w:p>
        </w:tc>
        <w:tc>
          <w:tcPr>
            <w:tcW w:w="263"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4,551</w:t>
            </w:r>
          </w:p>
        </w:tc>
        <w:tc>
          <w:tcPr>
            <w:tcW w:w="11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36,908</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30,127</w:t>
            </w:r>
          </w:p>
        </w:tc>
        <w:tc>
          <w:tcPr>
            <w:tcW w:w="346" w:type="dxa"/>
            <w:tcBorders/>
            <w:shd w:fill="CCEEFF" w:val="clear"/>
            <w:vAlign w:val="center"/>
          </w:tcPr>
          <w:p>
            <w:pPr>
              <w:pStyle w:val="TableContents"/>
              <w:bidi w:val="0"/>
              <w:spacing w:before="0" w:after="0"/>
              <w:ind w:left="0" w:right="0" w:hanging="0"/>
              <w:jc w:val="left"/>
              <w:rPr/>
            </w:pPr>
            <w:r>
              <w:rPr/>
              <w:t>  ​ ​ ​</w:t>
            </w:r>
          </w:p>
        </w:tc>
        <w:tc>
          <w:tcPr>
            <w:tcW w:w="25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6,781</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22.5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rPr/>
            </w:pPr>
            <w:r>
              <w:rPr/>
              <w:t>  ​ ​ ​</w:t>
            </w:r>
          </w:p>
        </w:tc>
      </w:tr>
      <w:tr>
        <w:trPr/>
        <w:tc>
          <w:tcPr>
            <w:tcW w:w="1424"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9.1</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63"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7.8</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5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sales and marketing expenses result primarily from the sale of our equipment and services through our direct sales force.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with Three months ended June 30,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was $19.6 million during the three months ended June 30, 2026, an increase of $4.6 million, or 30.3%, compared with $15.0 million during the three months ended June 30, 2025. The increase is primarily due to higher personnel expenses and increases in freight expenses and evaluation tool costs.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with Six months ended June 30, 2025</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was $36.9 million during the six months ended June 30, 2026, an increase of $6.8 million, or 22.5%, compared with $30.1 million during the six months ended June 30, 2025. The increase is primarily due to higher personnel expenses and increases in freight expenses and evaluation tool costs.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96"/>
        <w:gridCol w:w="346"/>
        <w:gridCol w:w="196"/>
        <w:gridCol w:w="601"/>
        <w:gridCol w:w="346"/>
        <w:gridCol w:w="196"/>
        <w:gridCol w:w="601"/>
        <w:gridCol w:w="346"/>
        <w:gridCol w:w="256"/>
        <w:gridCol w:w="511"/>
        <w:gridCol w:w="346"/>
        <w:gridCol w:w="421"/>
        <w:gridCol w:w="346"/>
        <w:gridCol w:w="196"/>
        <w:gridCol w:w="601"/>
        <w:gridCol w:w="346"/>
        <w:gridCol w:w="196"/>
        <w:gridCol w:w="601"/>
        <w:gridCol w:w="346"/>
        <w:gridCol w:w="196"/>
        <w:gridCol w:w="601"/>
        <w:gridCol w:w="346"/>
        <w:gridCol w:w="421"/>
        <w:gridCol w:w="256"/>
        <w:gridCol w:w="391"/>
      </w:tblGrid>
      <w:tr>
        <w:trPr/>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759460" cy="175260"/>
                      <wp:effectExtent l="0" t="0" r="0" b="0"/>
                      <wp:wrapNone/>
                      <wp:docPr id="419" name="Frame419"/>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24460" cy="175260"/>
                      <wp:effectExtent l="0" t="0" r="0" b="0"/>
                      <wp:wrapNone/>
                      <wp:docPr id="421" name="Frame4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81635" cy="175260"/>
                      <wp:effectExtent l="0" t="0" r="0" b="0"/>
                      <wp:wrapNone/>
                      <wp:docPr id="422" name="Frame42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4460" cy="175260"/>
                      <wp:effectExtent l="0" t="0" r="0" b="0"/>
                      <wp:wrapNone/>
                      <wp:docPr id="424" name="Frame4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81635" cy="175260"/>
                      <wp:effectExtent l="0" t="0" r="0" b="0"/>
                      <wp:wrapNone/>
                      <wp:docPr id="425" name="Frame42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62560" cy="175260"/>
                      <wp:effectExtent l="0" t="0" r="0" b="0"/>
                      <wp:wrapNone/>
                      <wp:docPr id="427" name="Frame42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24485" cy="175260"/>
                      <wp:effectExtent l="0" t="0" r="0" b="0"/>
                      <wp:wrapNone/>
                      <wp:docPr id="428" name="Frame42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67335" cy="175260"/>
                      <wp:effectExtent l="0" t="0" r="0" b="0"/>
                      <wp:wrapNone/>
                      <wp:docPr id="430" name="Frame43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24460" cy="175260"/>
                      <wp:effectExtent l="0" t="0" r="0" b="0"/>
                      <wp:wrapNone/>
                      <wp:docPr id="432" name="Frame4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81635" cy="175260"/>
                      <wp:effectExtent l="0" t="0" r="0" b="0"/>
                      <wp:wrapNone/>
                      <wp:docPr id="433" name="Frame43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24460" cy="175260"/>
                      <wp:effectExtent l="0" t="0" r="0" b="0"/>
                      <wp:wrapNone/>
                      <wp:docPr id="435" name="Frame4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81635" cy="175260"/>
                      <wp:effectExtent l="0" t="0" r="0" b="0"/>
                      <wp:wrapNone/>
                      <wp:docPr id="436" name="Frame4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24460" cy="175260"/>
                      <wp:effectExtent l="0" t="0" r="0" b="0"/>
                      <wp:wrapNone/>
                      <wp:docPr id="438" name="Frame4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81635" cy="175260"/>
                      <wp:effectExtent l="0" t="0" r="0" b="0"/>
                      <wp:wrapNone/>
                      <wp:docPr id="439" name="Frame4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67335" cy="175260"/>
                      <wp:effectExtent l="0" t="0" r="0" b="0"/>
                      <wp:wrapNone/>
                      <wp:docPr id="441" name="Frame4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62560" cy="175260"/>
                      <wp:effectExtent l="0" t="0" r="0" b="0"/>
                      <wp:wrapNone/>
                      <wp:docPr id="442" name="Frame44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48285" cy="175260"/>
                      <wp:effectExtent l="0" t="0" r="0" b="0"/>
                      <wp:wrapNone/>
                      <wp:docPr id="443" name="Frame44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5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96" w:type="dxa"/>
            <w:tcBorders/>
            <w:vAlign w:val="center"/>
          </w:tcPr>
          <w:p>
            <w:pPr>
              <w:pStyle w:val="TableContents"/>
              <w:bidi w:val="0"/>
              <w:spacing w:before="0" w:after="0"/>
              <w:ind w:left="0" w:right="0" w:hanging="0"/>
              <w:jc w:val="left"/>
              <w:rPr/>
            </w:pPr>
            <w:r>
              <w:rPr/>
              <w:t>​</w:t>
            </w:r>
          </w:p>
        </w:tc>
        <w:tc>
          <w:tcPr>
            <w:tcW w:w="8618" w:type="dxa"/>
            <w:gridSpan w:val="2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0"/>
              <w:ind w:left="0" w:right="0" w:hanging="0"/>
              <w:jc w:val="left"/>
              <w:rPr/>
            </w:pPr>
            <w:r>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22,377</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16,311</w:t>
            </w:r>
          </w:p>
        </w:tc>
        <w:tc>
          <w:tcPr>
            <w:tcW w:w="346" w:type="dxa"/>
            <w:tcBorders/>
            <w:shd w:fill="CCEEFF" w:val="clear"/>
            <w:vAlign w:val="center"/>
          </w:tcPr>
          <w:p>
            <w:pPr>
              <w:pStyle w:val="TableContents"/>
              <w:bidi w:val="0"/>
              <w:spacing w:before="0" w:after="0"/>
              <w:ind w:left="0" w:right="0" w:hanging="0"/>
              <w:jc w:val="left"/>
              <w:rPr/>
            </w:pPr>
            <w:r>
              <w:rPr/>
              <w:t>  ​ ​ ​</w:t>
            </w:r>
          </w:p>
        </w:tc>
        <w:tc>
          <w:tcPr>
            <w:tcW w:w="256" w:type="dxa"/>
            <w:tcBorders/>
            <w:shd w:fill="CCEEFF" w:val="clear"/>
            <w:vAlign w:val="center"/>
          </w:tcPr>
          <w:p>
            <w:pPr>
              <w:pStyle w:val="TableContents"/>
              <w:bidi w:val="0"/>
              <w:spacing w:before="0" w:after="0"/>
              <w:ind w:left="0" w:right="0" w:hanging="0"/>
              <w:jc w:val="right"/>
              <w:rPr/>
            </w:pPr>
            <w:r>
              <w:rPr/>
              <w:t> </w:t>
            </w: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6,066</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37.2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49,138</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33,668</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15,470</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45.9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left"/>
              <w:rPr/>
            </w:pPr>
            <w:r>
              <w:rPr/>
              <w:t>  ​ ​ ​</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8.4</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5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11.9</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8.7</w:t>
            </w:r>
          </w:p>
        </w:tc>
        <w:tc>
          <w:tcPr>
            <w:tcW w:w="34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general and administrative expenses result primarily from the costs associated with our executive, finance, information technology, legal and human resource functions.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with Three months ended June 30,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 was $22.4 million during the three months ended June 30, 2026, an increase of $6.1 million, or 37.2%, compared with $16.3 million during the three months ended June 30, 2025. The increase is due to an increase in professional fees related to the Merger.</w:t>
      </w:r>
    </w:p>
    <w:p>
      <w:pPr>
        <w:pStyle w:val="TextBody"/>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with Six months ended June 30,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 was $49.1 million during the six months ended June 30, 2026, an increase of $15.5 million, or 45.9%, compared with $33.7 million during the six months ended June 30, 2025. The increase is due to an increase in professional fees related to the Merger.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p>
      <w:pPr>
        <w:pStyle w:val="TextBody"/>
        <w:bidi w:val="0"/>
        <w:spacing w:before="0" w:after="0"/>
        <w:ind w:left="0" w:right="0" w:hanging="0"/>
        <w:jc w:val="left"/>
        <w:rPr/>
      </w:pPr>
      <w:r>
        <w:rPr/>
        <w:t>​</w:t>
      </w:r>
    </w:p>
    <w:tbl>
      <w:tblPr>
        <w:tblW w:w="9564" w:type="dxa"/>
        <w:jc w:val="left"/>
        <w:tblInd w:w="0" w:type="dxa"/>
        <w:tblLayout w:type="fixed"/>
        <w:tblCellMar>
          <w:top w:w="0" w:type="dxa"/>
          <w:left w:w="0" w:type="dxa"/>
          <w:bottom w:w="0" w:type="dxa"/>
          <w:right w:w="0" w:type="dxa"/>
        </w:tblCellMar>
      </w:tblPr>
      <w:tblGrid>
        <w:gridCol w:w="1861"/>
        <w:gridCol w:w="146"/>
        <w:gridCol w:w="196"/>
        <w:gridCol w:w="511"/>
        <w:gridCol w:w="256"/>
        <w:gridCol w:w="196"/>
        <w:gridCol w:w="511"/>
        <w:gridCol w:w="256"/>
        <w:gridCol w:w="196"/>
        <w:gridCol w:w="496"/>
        <w:gridCol w:w="146"/>
        <w:gridCol w:w="541"/>
        <w:gridCol w:w="256"/>
        <w:gridCol w:w="146"/>
        <w:gridCol w:w="196"/>
        <w:gridCol w:w="511"/>
        <w:gridCol w:w="256"/>
        <w:gridCol w:w="196"/>
        <w:gridCol w:w="511"/>
        <w:gridCol w:w="256"/>
        <w:gridCol w:w="196"/>
        <w:gridCol w:w="631"/>
        <w:gridCol w:w="146"/>
        <w:gridCol w:w="541"/>
        <w:gridCol w:w="256"/>
        <w:gridCol w:w="154"/>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181735" cy="175260"/>
                      <wp:effectExtent l="0" t="0" r="0" b="0"/>
                      <wp:wrapNone/>
                      <wp:docPr id="444" name="Frame44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92710" cy="175260"/>
                      <wp:effectExtent l="0" t="0" r="0" b="0"/>
                      <wp:wrapNone/>
                      <wp:docPr id="445" name="Frame4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24460" cy="175260"/>
                      <wp:effectExtent l="0" t="0" r="0" b="0"/>
                      <wp:wrapNone/>
                      <wp:docPr id="446" name="Frame4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24485" cy="175260"/>
                      <wp:effectExtent l="0" t="0" r="0" b="0"/>
                      <wp:wrapNone/>
                      <wp:docPr id="447" name="Frame44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62560" cy="175260"/>
                      <wp:effectExtent l="0" t="0" r="0" b="0"/>
                      <wp:wrapNone/>
                      <wp:docPr id="448" name="Frame44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4460" cy="175260"/>
                      <wp:effectExtent l="0" t="0" r="0" b="0"/>
                      <wp:wrapNone/>
                      <wp:docPr id="449" name="Frame4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24485" cy="175260"/>
                      <wp:effectExtent l="0" t="0" r="0" b="0"/>
                      <wp:wrapNone/>
                      <wp:docPr id="450" name="Frame4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62560" cy="175260"/>
                      <wp:effectExtent l="0" t="0" r="0" b="0"/>
                      <wp:wrapNone/>
                      <wp:docPr id="451" name="Frame45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24460" cy="175260"/>
                      <wp:effectExtent l="0" t="0" r="0" b="0"/>
                      <wp:wrapNone/>
                      <wp:docPr id="452" name="Frame4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14960" cy="175260"/>
                      <wp:effectExtent l="0" t="0" r="0" b="0"/>
                      <wp:wrapNone/>
                      <wp:docPr id="453" name="Frame45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92710" cy="175260"/>
                      <wp:effectExtent l="0" t="0" r="0" b="0"/>
                      <wp:wrapNone/>
                      <wp:docPr id="454" name="Frame4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43535" cy="175260"/>
                      <wp:effectExtent l="0" t="0" r="0" b="0"/>
                      <wp:wrapNone/>
                      <wp:docPr id="455" name="Frame45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62560" cy="175260"/>
                      <wp:effectExtent l="0" t="0" r="0" b="0"/>
                      <wp:wrapNone/>
                      <wp:docPr id="456" name="Frame45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2710" cy="175260"/>
                      <wp:effectExtent l="0" t="0" r="0" b="0"/>
                      <wp:wrapNone/>
                      <wp:docPr id="457" name="Frame4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4460" cy="175260"/>
                      <wp:effectExtent l="0" t="0" r="0" b="0"/>
                      <wp:wrapNone/>
                      <wp:docPr id="458" name="Frame4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24485" cy="175260"/>
                      <wp:effectExtent l="0" t="0" r="0" b="0"/>
                      <wp:wrapNone/>
                      <wp:docPr id="459" name="Frame45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62560" cy="175260"/>
                      <wp:effectExtent l="0" t="0" r="0" b="0"/>
                      <wp:wrapNone/>
                      <wp:docPr id="460" name="Frame46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24460" cy="175260"/>
                      <wp:effectExtent l="0" t="0" r="0" b="0"/>
                      <wp:wrapNone/>
                      <wp:docPr id="461" name="Frame4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24485" cy="175260"/>
                      <wp:effectExtent l="0" t="0" r="0" b="0"/>
                      <wp:wrapNone/>
                      <wp:docPr id="462" name="Frame46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62560" cy="175260"/>
                      <wp:effectExtent l="0" t="0" r="0" b="0"/>
                      <wp:wrapNone/>
                      <wp:docPr id="463" name="Frame46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24460" cy="175260"/>
                      <wp:effectExtent l="0" t="0" r="0" b="0"/>
                      <wp:wrapNone/>
                      <wp:docPr id="464" name="Frame4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00685" cy="175260"/>
                      <wp:effectExtent l="0" t="0" r="0" b="0"/>
                      <wp:wrapNone/>
                      <wp:docPr id="465" name="Frame46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92710" cy="175260"/>
                      <wp:effectExtent l="0" t="0" r="0" b="0"/>
                      <wp:wrapNone/>
                      <wp:docPr id="466" name="Frame4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43535" cy="175260"/>
                      <wp:effectExtent l="0" t="0" r="0" b="0"/>
                      <wp:wrapNone/>
                      <wp:docPr id="467" name="Frame46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62560" cy="175260"/>
                      <wp:effectExtent l="0" t="0" r="0" b="0"/>
                      <wp:wrapNone/>
                      <wp:docPr id="468" name="Frame46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7790" cy="175260"/>
                      <wp:effectExtent l="0" t="0" r="0" b="0"/>
                      <wp:wrapNone/>
                      <wp:docPr id="469" name="Frame4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vAlign w:val="center"/>
          </w:tcPr>
          <w:p>
            <w:pPr>
              <w:pStyle w:val="TableContents"/>
              <w:bidi w:val="0"/>
              <w:spacing w:before="0" w:after="0"/>
              <w:ind w:left="0" w:right="0" w:hanging="0"/>
              <w:jc w:val="center"/>
              <w:rPr/>
            </w:pPr>
            <w:r>
              <w:rPr/>
              <w:t>​</w:t>
            </w:r>
          </w:p>
        </w:tc>
        <w:tc>
          <w:tcPr>
            <w:tcW w:w="137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3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9564" w:type="dxa"/>
            <w:gridSpan w:val="26"/>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7147" w:type="dxa"/>
            <w:gridSpan w:val="2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5,067</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6,032</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(965)</w:t>
            </w:r>
          </w:p>
        </w:tc>
        <w:tc>
          <w:tcPr>
            <w:tcW w:w="1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(16.0)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7,742</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9,957</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(2,215)</w:t>
            </w:r>
          </w:p>
        </w:tc>
        <w:tc>
          <w:tcPr>
            <w:tcW w:w="1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(22.2)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2.3</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3.1</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1.9</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2.6</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Three months ended June 30, 2026 Compared with Three months ended June 30,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income was $5.1 million for the three months ended June 30, 2026, compared with other income of $6.0 million for the three months ended June 30, 2025. The $1.0 million decrease in other income (expense) compared to the same prior year period was primarily due to a decrease in interest income of $0.9 million, partially offset by a slight increase in net foreign exchange gains of $0.2 million. Net foreign exchange gains for the three months ended June 30, 2026 includes $1.5 million of gains related to forward currency exchange contracts and foreign exchange gains of $0.2 million. Net foreign exchange gains for the three months ended June 30, 2025 includes foreign exchange gains of $7.3 million, partially offset by foreign exchange losses from forward currency exchange contracts of $5.8 million.</w:t>
      </w:r>
    </w:p>
    <w:p>
      <w:pPr>
        <w:pStyle w:val="TextBody"/>
        <w:bidi w:val="0"/>
        <w:spacing w:before="0" w:after="0"/>
        <w:ind w:left="0" w:right="0" w:firstLine="72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Six months ended June 30, 2026 Compared with Six months ended June 30,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was $7.7 million for the six months ended June 30, 2026, compared with other income of $10.0 million for the six months ended June 30, 2025. The $2.2 million decrease in other income (expense) compared to the same prior year period was primarily due to a decrease in interest income of $2.0 million, partially offset by a slight increase in net foreign exchange gains of $0.1 million. Net foreign exchange gains for the six months ended June 30, 2026 includes $3.2 million of gains related to forward currency exchange contracts, partially offset by foreign exchange losses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million. Net foreign exchange gains for the six months ended June 30, 2025 includes foreign exchange gains of $8.1 million, partially offset by foreign exchange losses related to forward currency exchange contracts of $7.0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 Provision </w:t>
      </w:r>
    </w:p>
    <w:p>
      <w:pPr>
        <w:pStyle w:val="TextBody"/>
        <w:bidi w:val="0"/>
        <w:spacing w:before="0" w:after="0"/>
        <w:ind w:left="0" w:right="0" w:hanging="0"/>
        <w:jc w:val="left"/>
        <w:rPr/>
      </w:pPr>
      <w:r>
        <w:rPr/>
        <w:t>​</w:t>
      </w:r>
    </w:p>
    <w:tbl>
      <w:tblPr>
        <w:tblW w:w="9871" w:type="dxa"/>
        <w:jc w:val="left"/>
        <w:tblInd w:w="0" w:type="dxa"/>
        <w:tblLayout w:type="fixed"/>
        <w:tblCellMar>
          <w:top w:w="0" w:type="dxa"/>
          <w:left w:w="0" w:type="dxa"/>
          <w:bottom w:w="0" w:type="dxa"/>
          <w:right w:w="0" w:type="dxa"/>
        </w:tblCellMar>
      </w:tblPr>
      <w:tblGrid>
        <w:gridCol w:w="1741"/>
        <w:gridCol w:w="146"/>
        <w:gridCol w:w="196"/>
        <w:gridCol w:w="511"/>
        <w:gridCol w:w="256"/>
        <w:gridCol w:w="146"/>
        <w:gridCol w:w="196"/>
        <w:gridCol w:w="511"/>
        <w:gridCol w:w="256"/>
        <w:gridCol w:w="196"/>
        <w:gridCol w:w="631"/>
        <w:gridCol w:w="146"/>
        <w:gridCol w:w="541"/>
        <w:gridCol w:w="256"/>
        <w:gridCol w:w="146"/>
        <w:gridCol w:w="196"/>
        <w:gridCol w:w="511"/>
        <w:gridCol w:w="256"/>
        <w:gridCol w:w="146"/>
        <w:gridCol w:w="196"/>
        <w:gridCol w:w="511"/>
        <w:gridCol w:w="256"/>
        <w:gridCol w:w="196"/>
        <w:gridCol w:w="631"/>
        <w:gridCol w:w="146"/>
        <w:gridCol w:w="541"/>
        <w:gridCol w:w="256"/>
        <w:gridCol w:w="15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105535" cy="175260"/>
                      <wp:effectExtent l="0" t="0" r="0" b="0"/>
                      <wp:wrapNone/>
                      <wp:docPr id="470" name="Frame47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92710" cy="175260"/>
                      <wp:effectExtent l="0" t="0" r="0" b="0"/>
                      <wp:wrapNone/>
                      <wp:docPr id="471" name="Frame4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4460" cy="175260"/>
                      <wp:effectExtent l="0" t="0" r="0" b="0"/>
                      <wp:wrapNone/>
                      <wp:docPr id="472" name="Frame4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24485" cy="175260"/>
                      <wp:effectExtent l="0" t="0" r="0" b="0"/>
                      <wp:wrapNone/>
                      <wp:docPr id="473" name="Frame47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2560" cy="175260"/>
                      <wp:effectExtent l="0" t="0" r="0" b="0"/>
                      <wp:wrapNone/>
                      <wp:docPr id="474" name="Frame47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92710" cy="175260"/>
                      <wp:effectExtent l="0" t="0" r="0" b="0"/>
                      <wp:wrapNone/>
                      <wp:docPr id="475" name="Frame4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4460" cy="175260"/>
                      <wp:effectExtent l="0" t="0" r="0" b="0"/>
                      <wp:wrapNone/>
                      <wp:docPr id="476" name="Frame4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324485" cy="175260"/>
                      <wp:effectExtent l="0" t="0" r="0" b="0"/>
                      <wp:wrapNone/>
                      <wp:docPr id="477" name="Frame47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62560" cy="175260"/>
                      <wp:effectExtent l="0" t="0" r="0" b="0"/>
                      <wp:wrapNone/>
                      <wp:docPr id="478" name="Frame47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24460" cy="175260"/>
                      <wp:effectExtent l="0" t="0" r="0" b="0"/>
                      <wp:wrapNone/>
                      <wp:docPr id="479" name="Frame4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00685" cy="175260"/>
                      <wp:effectExtent l="0" t="0" r="0" b="0"/>
                      <wp:wrapNone/>
                      <wp:docPr id="480" name="Frame48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92710" cy="175260"/>
                      <wp:effectExtent l="0" t="0" r="0" b="0"/>
                      <wp:wrapNone/>
                      <wp:docPr id="481" name="Frame4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43535" cy="175260"/>
                      <wp:effectExtent l="0" t="0" r="0" b="0"/>
                      <wp:wrapNone/>
                      <wp:docPr id="482" name="Frame48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62560" cy="175260"/>
                      <wp:effectExtent l="0" t="0" r="0" b="0"/>
                      <wp:wrapNone/>
                      <wp:docPr id="483" name="Frame48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92710" cy="175260"/>
                      <wp:effectExtent l="0" t="0" r="0" b="0"/>
                      <wp:wrapNone/>
                      <wp:docPr id="484" name="Frame48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24460" cy="175260"/>
                      <wp:effectExtent l="0" t="0" r="0" b="0"/>
                      <wp:wrapNone/>
                      <wp:docPr id="485" name="Frame4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24485" cy="175260"/>
                      <wp:effectExtent l="0" t="0" r="0" b="0"/>
                      <wp:wrapNone/>
                      <wp:docPr id="486" name="Frame48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62560" cy="175260"/>
                      <wp:effectExtent l="0" t="0" r="0" b="0"/>
                      <wp:wrapNone/>
                      <wp:docPr id="487" name="Frame48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92710" cy="175260"/>
                      <wp:effectExtent l="0" t="0" r="0" b="0"/>
                      <wp:wrapNone/>
                      <wp:docPr id="488" name="Frame4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24460" cy="175260"/>
                      <wp:effectExtent l="0" t="0" r="0" b="0"/>
                      <wp:wrapNone/>
                      <wp:docPr id="489" name="Frame4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24485" cy="175260"/>
                      <wp:effectExtent l="0" t="0" r="0" b="0"/>
                      <wp:wrapNone/>
                      <wp:docPr id="490" name="Frame49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62560" cy="175260"/>
                      <wp:effectExtent l="0" t="0" r="0" b="0"/>
                      <wp:wrapNone/>
                      <wp:docPr id="491" name="Frame49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24460" cy="175260"/>
                      <wp:effectExtent l="0" t="0" r="0" b="0"/>
                      <wp:wrapNone/>
                      <wp:docPr id="492" name="Frame4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00685" cy="175260"/>
                      <wp:effectExtent l="0" t="0" r="0" b="0"/>
                      <wp:wrapNone/>
                      <wp:docPr id="493" name="Frame49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92710" cy="175260"/>
                      <wp:effectExtent l="0" t="0" r="0" b="0"/>
                      <wp:wrapNone/>
                      <wp:docPr id="494" name="Frame4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43535" cy="175260"/>
                      <wp:effectExtent l="0" t="0" r="0" b="0"/>
                      <wp:wrapNone/>
                      <wp:docPr id="495" name="Frame49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62560" cy="175260"/>
                      <wp:effectExtent l="0" t="0" r="0" b="0"/>
                      <wp:wrapNone/>
                      <wp:docPr id="496" name="Frame49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97790" cy="175260"/>
                      <wp:effectExtent l="0" t="0" r="0" b="0"/>
                      <wp:wrapNone/>
                      <wp:docPr id="497" name="Frame4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1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81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18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56" w:type="dxa"/>
            <w:tcBorders/>
            <w:vAlign w:val="center"/>
          </w:tcPr>
          <w:p>
            <w:pPr>
              <w:pStyle w:val="TableContents"/>
              <w:bidi w:val="0"/>
              <w:spacing w:before="0" w:after="0"/>
              <w:ind w:left="0" w:right="0" w:hanging="0"/>
              <w:jc w:val="center"/>
              <w:rPr/>
            </w:pPr>
            <w:r>
              <w:rPr/>
              <w:t>​</w:t>
            </w:r>
          </w:p>
        </w:tc>
        <w:tc>
          <w:tcPr>
            <w:tcW w:w="15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rPr/>
            </w:pPr>
            <w:r>
              <w:rPr/>
              <w:t>​</w:t>
            </w:r>
          </w:p>
        </w:tc>
        <w:tc>
          <w:tcPr>
            <w:tcW w:w="8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rPr/>
            </w:pPr>
            <w:r>
              <w:rPr/>
              <w:t>​</w:t>
            </w:r>
          </w:p>
        </w:tc>
        <w:tc>
          <w:tcPr>
            <w:tcW w:w="8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vAlign w:val="center"/>
          </w:tcPr>
          <w:p>
            <w:pPr>
              <w:pStyle w:val="TableContents"/>
              <w:bidi w:val="0"/>
              <w:spacing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9871"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7574" w:type="dxa"/>
            <w:gridSpan w:val="2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74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provision</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2,057</w:t>
            </w:r>
          </w:p>
        </w:tc>
        <w:tc>
          <w:tcPr>
            <w:tcW w:w="25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3,621</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w:t>
            </w:r>
          </w:p>
        </w:tc>
        <w:tc>
          <w:tcPr>
            <w:tcW w:w="1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(43.2)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3,468</w:t>
            </w:r>
          </w:p>
        </w:tc>
        <w:tc>
          <w:tcPr>
            <w:tcW w:w="25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8,126</w:t>
            </w:r>
          </w:p>
        </w:tc>
        <w:tc>
          <w:tcPr>
            <w:tcW w:w="25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(4,658)</w:t>
            </w:r>
          </w:p>
        </w:tc>
        <w:tc>
          <w:tcPr>
            <w:tcW w:w="1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(57.3)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1.9</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0.8</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2.1</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9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was $2.1 million for the three months ended June 30, 2026, compared to $3.6 million for the three months ended June 30, 2025. The $1.6 million decrease was primarily due to the decrease in pre-tax book income and an increase in stock-based compensation deduction. The reported effective tax rate for the three months ended June 30, 2026 was 8.1% compared to 10.3% for the three months ended June 30, 2025. The effective tax rate for the six months ended June 30, 2026 was less than the U.S. statutory rate of 21%, primarily attributable to the Foreign Derived Intangible Income deduction and Federal research and development tax credits.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65" w:name="LiquidityandCapitalResources_541794"/>
      <w:bookmarkEnd w:id="1165"/>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2026, we had $155.0 million in unrestricted cash and cash equivalents, $247.2 million in short-term investments and $174.8 million in long-term investments, in addition to $10.6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liquidity is affected by many factors. Some of these relate specifically to the operations of our business, including for example, the rate of sales of our products, and others relate to the uncertainties of global economic conditions, including tariff programs implemented in countries in which we operate as well as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2026 and 2025, we generated $36.5 million and $79.5 million, respectively, of cash related to operating activities. </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activities for the six months ended June 30, 2026 resulted in a cash usage of $16.7 million, $5.4 million of which was used for capital expenditures and $223.2 million of which was used to purchase short-term and long-term investments, partially offset by $211.9 million related to maturities of short-term investments. Investing activities for the six months ended June 30, 2025 resulted in cash generated of $35.9 million, $6.9 million of which was used for capital expenditures and $345.2 million of which was used to purchase short-term and long-term investments, offset by $388.0 million related to maturities and sales of short-term investments.</w:t>
      </w:r>
    </w:p>
    <w:p>
      <w:pPr>
        <w:pStyle w:val="TextBody"/>
        <w:bidi w:val="0"/>
        <w:spacing w:before="0" w:after="0"/>
        <w:ind w:left="0" w:right="0" w:firstLine="5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Financing activities for the six months ended June 30, 2026 resulted in a cash usage of $9.2 million. During the first six months of 2026, (i) $9.5 million was used for payments to government tax authorities for income tax withholding on employee compensation arising from the vesting of RSUs, where units are withheld by us to cover taxes, (ii) $0.2 million related to the excise taxes paid for the repurchase of our common stock, and (iii) $0.8 million was used to reduce the liability under the finance lease of our corporate headquarters. These amounts were partially offset by $1.3 million of proceeds related to the purchase of shares under our 2020 ESPP during the first six months of 2026. In comparison, financing activities for the six months ended June 30, 2025 resulted in cash usage of $67.1 million, of which (i) $63.5 million related to the repurchase of our common stock (ii) $4.2 million related to payments made to government tax authorities for income tax withholding on employee compensation arising from the vesting of RSUs, and (iii) $0.7 million relating to the reduction of our finance lease liability. These amounts were partially offset by $1.2 million of proceeds related to the purchase of shares under our 2020 ESPP during the first six months of 2025.</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had a security deposit of $5.9 million related to the lease of our corporate headquarters in the form of a cash collateralized letter of credit, which is classified as long-term restricted cash on our balance sheet.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based on our current market, revenue, expense and cash flow forecasts, our existing cash and cash equivalents will be sufficient to satisfy our anticipated cash requirements for the short- and long-term.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Significant commitments and contingencies at June 30, 2026 are consistent with those discussed in Item 7, “Management’s Discussion and Analysis of Financial Condition and Results of Operations,” and Note 16 to the consolidated financial statements included in our 2025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66" w:name="Item3QuantitativeandQualitativeDisclosur"/>
      <w:bookmarkStart w:id="1167" w:name="_bdb70b0c_aaad_4848_877d_746a91b56377"/>
      <w:bookmarkEnd w:id="1166"/>
      <w:bookmarkEnd w:id="1167"/>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there have been no material changes to the quantitative information about market risk disclosed in Item 7A, “Quantitative and Qualitative Disclosures about Market Risk” included in our 2025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68" w:name="Item4ControlsandProcedures_773908"/>
      <w:bookmarkStart w:id="1169" w:name="_3e6e7f8b_644d_48a1_a689_6992dc29efb9"/>
      <w:bookmarkEnd w:id="1168"/>
      <w:bookmarkEnd w:id="1169"/>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 13a-15(f) under the Exchange Act) identified in connection with the evaluation of our internal control that occurred during the three months ended June 30, 2026 that has materially affected, or is reasonably likely to materially affect, our internal control over financial reporting.</w:t>
      </w:r>
    </w:p>
    <w:p>
      <w:pPr>
        <w:pStyle w:val="TextBody"/>
        <w:bidi w:val="0"/>
        <w:spacing w:lineRule="auto" w:line="328"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70" w:name="PARTIIOTHERINFORMATION_940705"/>
      <w:bookmarkStart w:id="1171" w:name="_d955a273_212d_43ce_a5b2_3c8f7c5f7c71"/>
      <w:bookmarkEnd w:id="1170"/>
      <w:bookmarkEnd w:id="1171"/>
      <w:r>
        <w:rPr>
          <w:rFonts w:ascii="Times New Roman;Times;serif" w:hAnsi="Times New Roman;Times;serif"/>
          <w:b/>
          <w:sz w:val="20"/>
        </w:rPr>
        <w:t>PART II—OTHER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72" w:name="Item1LegalProceedings_163018"/>
      <w:bookmarkEnd w:id="1172"/>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73" w:name="Item1ARiskFactors_163682"/>
      <w:bookmarkStart w:id="1174" w:name="_bd83c714_8051_414a_b731_333102544ffd"/>
      <w:bookmarkEnd w:id="1173"/>
      <w:bookmarkEnd w:id="1174"/>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there have been no material changes to the risk factors described in Item 1A, “Risk Factors” included in our 2025 Form 10-K.</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75" w:name="Item2UnregisteredSalesofEquitySecurities"/>
      <w:bookmarkStart w:id="1176" w:name="_d4a6a040_abfc_4ba9_a2a6_5cdb23133ae5"/>
      <w:bookmarkEnd w:id="1175"/>
      <w:bookmarkEnd w:id="1176"/>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0"/>
        <w:ind w:left="0" w:right="0" w:hanging="0"/>
        <w:jc w:val="left"/>
        <w:rPr/>
      </w:pPr>
      <w:r>
        <w:rPr/>
        <w:t>​</w:t>
      </w:r>
    </w:p>
    <w:p>
      <w:pPr>
        <w:pStyle w:val="TextBody"/>
        <w:bidi w:val="0"/>
        <w:spacing w:before="9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In March 2025, we announced that the Board of Directors approved an additional funding of $100 million for share repurchases. The Company’s share repurchase program does not have an expiration date. For the three months ended June 30, 2026, we did not have any repurchase activity. The aproximate value of shares that may yet be repurchased as of June 30, 2026 is $110 million. </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77" w:name="Item3DefaultsUponSeniorSecurities_689958"/>
      <w:bookmarkStart w:id="1178" w:name="_4326f0b8_7cca_4360_a265_0f778375d78e"/>
      <w:bookmarkEnd w:id="1177"/>
      <w:bookmarkEnd w:id="1178"/>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79" w:name="Item4MineSafetyDisclosures_365895"/>
      <w:bookmarkStart w:id="1180" w:name="_39c39c2d_3ed1_4d5a_9b59_57459d2a1375"/>
      <w:bookmarkEnd w:id="1179"/>
      <w:bookmarkEnd w:id="1180"/>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81" w:name="Item5OtherInformation_535580"/>
      <w:bookmarkStart w:id="1182" w:name="_fa83fae7_7cbd_4541_88ce_eb407fcb875a"/>
      <w:bookmarkEnd w:id="1181"/>
      <w:bookmarkEnd w:id="1182"/>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15, 2026, Robert J. Mahoney, our Executive Vice President, Global Operations, adopted a 10b5-1 Preset Diversification Program. The Preset Diversification Program will terminate December 31, 2026 and provides for the sale of up to 1,832 shares of Axcelis stock. No other director or officer adopted, modified or terminated any contract, instrument or written plan for the purchase or sale of Axcelis securities intended to satisfy the affirmative defense conditions of Rule 10b5-1(c) under the Exchange Act or any non-Rule 10b5-1 trading arrangement as defined in Item 408(c) of Regulation S-K for the quarter ended June 30, 2026.</w:t>
      </w:r>
    </w:p>
    <w:p>
      <w:pPr>
        <w:pStyle w:val="TextBody"/>
        <w:bidi w:val="0"/>
        <w:spacing w:before="0" w:after="0"/>
        <w:ind w:left="0" w:right="0" w:hanging="0"/>
        <w:jc w:val="left"/>
        <w:rPr/>
      </w:pPr>
      <w:bookmarkStart w:id="1183" w:name="_307055e7_1547_4e69_8c8b_5b25acb4c358"/>
      <w:bookmarkEnd w:id="118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84" w:name="Item6Exhibits_453635"/>
      <w:bookmarkEnd w:id="1184"/>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exhibits are filed herewith:</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56"/>
        <w:gridCol w:w="346"/>
        <w:gridCol w:w="9203"/>
      </w:tblGrid>
      <w:tr>
        <w:trPr/>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16560" cy="29210"/>
                      <wp:effectExtent l="0" t="0" r="0" b="0"/>
                      <wp:wrapNone/>
                      <wp:docPr id="498" name="Frame498"/>
                      <a:graphic xmlns:a="http://schemas.openxmlformats.org/drawingml/2006/main">
                        <a:graphicData uri="http://schemas.microsoft.com/office/word/2010/wordprocessingShape">
                          <wps:wsp>
                            <wps:cNvSpPr txBox="1"/>
                            <wps:spPr>
                              <a:xfrm>
                                <a:off x="0" y="0"/>
                                <a:ext cx="416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29210"/>
                      <wp:effectExtent l="0" t="0" r="0" b="0"/>
                      <wp:wrapNone/>
                      <wp:docPr id="499" name="Frame49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843905" cy="29210"/>
                      <wp:effectExtent l="0" t="0" r="0" b="0"/>
                      <wp:wrapNone/>
                      <wp:docPr id="500" name="Frame500"/>
                      <a:graphic xmlns:a="http://schemas.openxmlformats.org/drawingml/2006/main">
                        <a:graphicData uri="http://schemas.microsoft.com/office/word/2010/wordprocessingShape">
                          <wps:wsp>
                            <wps:cNvSpPr txBox="1"/>
                            <wps:spPr>
                              <a:xfrm>
                                <a:off x="0" y="0"/>
                                <a:ext cx="5843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56" w:type="dxa"/>
            <w:tcBorders>
              <w:bottom w:val="single" w:sz="2" w:space="0" w:color="000000"/>
            </w:tcBorders>
            <w:tcMar>
              <w:bottom w:w="28" w:type="dxa"/>
            </w:tcMar>
            <w:vAlign w:val="center"/>
          </w:tcPr>
          <w:p>
            <w:pPr>
              <w:pStyle w:val="TableContents"/>
              <w:bidi w:val="0"/>
              <w:spacing w:lineRule="atLeast" w:line="180"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No</w:t>
            </w:r>
          </w:p>
        </w:tc>
        <w:tc>
          <w:tcPr>
            <w:tcW w:w="34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 ​ ​</w:t>
            </w:r>
          </w:p>
        </w:tc>
        <w:tc>
          <w:tcPr>
            <w:tcW w:w="9203"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56" w:type="dxa"/>
            <w:tcBorders/>
            <w:vAlign w:val="center"/>
          </w:tcPr>
          <w:p>
            <w:pPr>
              <w:pStyle w:val="TableContents"/>
              <w:bidi w:val="0"/>
              <w:spacing w:lineRule="atLeast" w:line="180" w:before="0" w:after="0"/>
              <w:ind w:left="0" w:right="0" w:hanging="0"/>
              <w:jc w:val="left"/>
              <w:rPr/>
            </w:pPr>
            <w:r>
              <w:rPr/>
              <w:t>​</w:t>
            </w:r>
          </w:p>
        </w:tc>
        <w:tc>
          <w:tcPr>
            <w:tcW w:w="346" w:type="dxa"/>
            <w:tcBorders/>
            <w:vAlign w:val="center"/>
          </w:tcPr>
          <w:p>
            <w:pPr>
              <w:pStyle w:val="TableContents"/>
              <w:bidi w:val="0"/>
              <w:spacing w:lineRule="atLeast" w:line="180" w:before="0" w:after="0"/>
              <w:ind w:left="0" w:right="0" w:hanging="0"/>
              <w:jc w:val="left"/>
              <w:rPr/>
            </w:pPr>
            <w:r>
              <w:rPr/>
              <w:t>​</w:t>
            </w:r>
          </w:p>
        </w:tc>
        <w:tc>
          <w:tcPr>
            <w:tcW w:w="9203" w:type="dxa"/>
            <w:tcBorders/>
            <w:vAlign w:val="center"/>
          </w:tcPr>
          <w:p>
            <w:pPr>
              <w:pStyle w:val="TableContents"/>
              <w:bidi w:val="0"/>
              <w:spacing w:lineRule="atLeast" w:line="180"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Certificate of Incorporation of the Company filed November 2, 2017. Incorporated by reference to Exhibit 3.1 of the Company’s Form 10-Q filed with the Commission on November 3, 2017.</w:t>
              </w:r>
            </w:hyperlink>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to the Restated Certificate of Incorporation of the Company filed May 9, 2024. Incorporated by reference to Exhibit 3.1 of the Company’s Form 8-K filed with the Commission on May 9, 2024</w:t>
              </w:r>
            </w:hyperlink>
            <w:r>
              <w:rPr>
                <w:rFonts w:ascii="Times New Roman;Times;serif" w:hAnsi="Times New Roman;Times;serif"/>
                <w:sz w:val="20"/>
              </w:rPr>
              <w:t>.</w:t>
            </w:r>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of the Company, as amended as of May 11, 2022. Incorporated by reference to Exhibit 3.2 of the Company’s Form 8-K filed with the Commission on May 11, 2022.</w:t>
              </w:r>
            </w:hyperlink>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w:anchor="acls-20260630xex31d1.htm">
              <w:r>
                <w:rPr>
                  <w:rStyle w:val="InternetLink"/>
                  <w:rFonts w:ascii="Times New Roman;Times;serif" w:hAnsi="Times New Roman;Times;serif"/>
                  <w:b w:val="false"/>
                  <w:i w:val="false"/>
                  <w:caps w:val="false"/>
                  <w:smallCaps w:val="false"/>
                  <w:sz w:val="20"/>
                </w:rPr>
                <w:t>Certification of the Principal Executive Officer under Exchange Act Rule 13a-14(a)/15d-14(a) (Section 302 of the Sarbanes-Oxley Act), dated August 6, 2026.</w:t>
              </w:r>
            </w:hyperlink>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w:anchor="acls-20260630xex31d2.htm">
              <w:r>
                <w:rPr>
                  <w:rStyle w:val="InternetLink"/>
                  <w:rFonts w:ascii="Times New Roman;Times;serif" w:hAnsi="Times New Roman;Times;serif"/>
                  <w:b w:val="false"/>
                  <w:i w:val="false"/>
                  <w:caps w:val="false"/>
                  <w:smallCaps w:val="false"/>
                  <w:sz w:val="20"/>
                </w:rPr>
                <w:t xml:space="preserve">Certification of the Principal Financial Officer under Exchange Act Rule 13a-14(a)/15d-14(a) (Section 302 of the Sarbanes-Oxley Act), dated August 6, 2026. </w:t>
              </w:r>
            </w:hyperlink>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w:anchor="acls-20260630xex32d1.htm">
              <w:r>
                <w:rPr>
                  <w:rStyle w:val="InternetLink"/>
                  <w:rFonts w:ascii="Times New Roman;Times;serif" w:hAnsi="Times New Roman;Times;serif"/>
                  <w:b w:val="false"/>
                  <w:i w:val="false"/>
                  <w:caps w:val="false"/>
                  <w:smallCaps w:val="false"/>
                  <w:sz w:val="20"/>
                </w:rPr>
                <w:t>Certification of the Principal Executive Officer pursuant to Section 1350 of Chapter 63 of title 18 of the United States Code (Section 906 of the Sarbanes-Oxley Act), dated August 6, 2026.</w:t>
              </w:r>
            </w:hyperlink>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hyperlink w:anchor="acls-20260630xex32d2.htm">
              <w:r>
                <w:rPr>
                  <w:rStyle w:val="InternetLink"/>
                  <w:rFonts w:ascii="Times New Roman;Times;serif" w:hAnsi="Times New Roman;Times;serif"/>
                  <w:b w:val="false"/>
                  <w:i w:val="false"/>
                  <w:caps w:val="false"/>
                  <w:smallCaps w:val="false"/>
                  <w:sz w:val="20"/>
                </w:rPr>
                <w:t xml:space="preserve">Certification of the Principal Financial Officer pursuant to Section 1350 of Chapter 63 of title 18 of the United States Code (Section 906 of the Sarbanes-Oxley Act), dated August 6, 2026. </w:t>
              </w:r>
            </w:hyperlink>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the Company’s Form 10-Q for the quarter ended June 30, 2026, formatted in inline eXtensible Business Reporting Language (iXBRL): (i) Consolidated Statements of Operations, (ii) Consolidated Statements of Comprehensive Income, (iii) Consolidated Balance Sheets, (iv) Consolidated Statements of Cash Flows and (v) Notes to Consolidated Financial Statements (Unaudited). Filed herewith.</w:t>
            </w:r>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iXBRL and contained in Exhibit 101).</w:t>
            </w:r>
          </w:p>
        </w:tc>
      </w:tr>
      <w:tr>
        <w:trPr/>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3" w:type="dxa"/>
            <w:tcBorders/>
            <w:vAlign w:val="center"/>
          </w:tcPr>
          <w:p>
            <w:pPr>
              <w:pStyle w:val="TableContents"/>
              <w:bidi w:val="0"/>
              <w:spacing w:before="0" w:after="0"/>
              <w:ind w:left="0" w:right="0" w:hanging="0"/>
              <w:jc w:val="left"/>
              <w:rPr/>
            </w:pPr>
            <w:r>
              <w:rPr/>
              <w:t>​</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This exhibit is being furnished rather than filed, and shall not be deemed incorporated by reference into any filing, in accordance with Item 601 of Regulation S-K.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185" w:name="SIGNATURES_211783"/>
      <w:bookmarkStart w:id="1186" w:name="_4a8713ae_d794_4c53_a037_4a32db6cc9a5"/>
      <w:bookmarkEnd w:id="1185"/>
      <w:bookmarkEnd w:id="1186"/>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398" w:type="dxa"/>
        <w:jc w:val="left"/>
        <w:tblInd w:w="0" w:type="dxa"/>
        <w:tblLayout w:type="fixed"/>
        <w:tblCellMar>
          <w:top w:w="0" w:type="dxa"/>
          <w:left w:w="0" w:type="dxa"/>
          <w:bottom w:w="0" w:type="dxa"/>
          <w:right w:w="0" w:type="dxa"/>
        </w:tblCellMar>
      </w:tblPr>
      <w:tblGrid>
        <w:gridCol w:w="2116"/>
        <w:gridCol w:w="406"/>
        <w:gridCol w:w="487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876"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5282" w:type="dxa"/>
            <w:gridSpan w:val="2"/>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AXCELIS TECHNOLOGIES, INC.</w:t>
            </w:r>
          </w:p>
        </w:tc>
      </w:tr>
      <w:tr>
        <w:trPr/>
        <w:tc>
          <w:tcPr>
            <w:tcW w:w="211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87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DAVID RYZHIK</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876" w:type="dxa"/>
            <w:tcBorders/>
            <w:vAlign w:val="center"/>
          </w:tcPr>
          <w:p>
            <w:pPr>
              <w:pStyle w:val="TableContents"/>
              <w:bidi w:val="0"/>
              <w:spacing w:lineRule="auto" w:line="328" w:before="0" w:after="0"/>
              <w:ind w:left="0" w:right="0" w:hanging="0"/>
              <w:jc w:val="left"/>
              <w:rPr/>
            </w:pPr>
            <w:r>
              <w:rPr/>
              <w:t>​</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8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David Ryzhik</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876"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Interim Chief Financial Officer</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876"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Duly Authorized Officer and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0"/>
        <w:ind w:left="0" w:right="0" w:hanging="0"/>
        <w:jc w:val="right"/>
        <w:rPr>
          <w:rFonts w:ascii="Times New Roman;Times;serif" w:hAnsi="Times New Roman;Times;serif"/>
          <w:b/>
          <w:sz w:val="20"/>
        </w:rPr>
      </w:pPr>
      <w:bookmarkStart w:id="1187" w:name="acls-20260630xex31d1.htm"/>
      <w:bookmarkStart w:id="1188" w:name="ksacls20260630xex31d1"/>
      <w:bookmarkEnd w:id="1187"/>
      <w:bookmarkEnd w:id="1188"/>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Russell J. Low, certify that: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5087" w:type="dxa"/>
        <w:jc w:val="left"/>
        <w:tblInd w:w="0" w:type="dxa"/>
        <w:tblLayout w:type="fixed"/>
        <w:tblCellMar>
          <w:top w:w="0" w:type="dxa"/>
          <w:left w:w="0" w:type="dxa"/>
          <w:bottom w:w="0" w:type="dxa"/>
          <w:right w:w="0" w:type="dxa"/>
        </w:tblCellMar>
      </w:tblPr>
      <w:tblGrid>
        <w:gridCol w:w="1846"/>
        <w:gridCol w:w="3241"/>
      </w:tblGrid>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2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RUSSELL J. LOW</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Russell J. Low,</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89" w:name="acls-20260630xex31d2.htm"/>
      <w:bookmarkStart w:id="1190" w:name="ksacls20260630xex31d2"/>
      <w:bookmarkEnd w:id="1189"/>
      <w:bookmarkEnd w:id="1190"/>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David Ryzhik, certify that: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55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572" w:right="0" w:hanging="550"/>
        <w:jc w:val="left"/>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722" w:type="dxa"/>
        <w:jc w:val="left"/>
        <w:tblInd w:w="0" w:type="dxa"/>
        <w:tblLayout w:type="fixed"/>
        <w:tblCellMar>
          <w:top w:w="0" w:type="dxa"/>
          <w:left w:w="0" w:type="dxa"/>
          <w:bottom w:w="0" w:type="dxa"/>
          <w:right w:w="0" w:type="dxa"/>
        </w:tblCellMar>
      </w:tblPr>
      <w:tblGrid>
        <w:gridCol w:w="1846"/>
        <w:gridCol w:w="4876"/>
      </w:tblGrid>
      <w:tr>
        <w:trPr/>
        <w:tc>
          <w:tcPr>
            <w:tcW w:w="1846" w:type="dxa"/>
            <w:tcBorders/>
            <w:vAlign w:val="center"/>
          </w:tcPr>
          <w:p>
            <w:pPr>
              <w:pStyle w:val="TableContents"/>
              <w:bidi w:val="0"/>
              <w:spacing w:lineRule="auto" w:line="285" w:before="0" w:after="0"/>
              <w:ind w:left="0" w:right="0" w:hanging="0"/>
              <w:jc w:val="left"/>
              <w:rPr/>
            </w:pPr>
            <w:r>
              <w:rPr/>
              <w:t>​</w:t>
            </w:r>
          </w:p>
        </w:tc>
        <w:tc>
          <w:tcPr>
            <w:tcW w:w="487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8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RYZHIK</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87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David Ryzhik,</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87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Interim Chief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191" w:name="acls-20260630xex32d1.htm"/>
      <w:bookmarkStart w:id="1192" w:name="ksacls20260630xex32d1"/>
      <w:bookmarkEnd w:id="1191"/>
      <w:bookmarkEnd w:id="1192"/>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August 6, 2026.</w:t>
      </w:r>
    </w:p>
    <w:p>
      <w:pPr>
        <w:pStyle w:val="TextBody"/>
        <w:bidi w:val="0"/>
        <w:spacing w:lineRule="auto" w:line="285" w:before="0" w:after="0"/>
        <w:ind w:left="0" w:right="0" w:hanging="0"/>
        <w:jc w:val="left"/>
        <w:rPr/>
      </w:pPr>
      <w:r>
        <w:rPr/>
        <w:t>​</w:t>
      </w:r>
    </w:p>
    <w:tbl>
      <w:tblPr>
        <w:tblW w:w="5735" w:type="dxa"/>
        <w:jc w:val="left"/>
        <w:tblInd w:w="0" w:type="dxa"/>
        <w:tblLayout w:type="fixed"/>
        <w:tblCellMar>
          <w:top w:w="0" w:type="dxa"/>
          <w:left w:w="0" w:type="dxa"/>
          <w:bottom w:w="0" w:type="dxa"/>
          <w:right w:w="0" w:type="dxa"/>
        </w:tblCellMar>
      </w:tblPr>
      <w:tblGrid>
        <w:gridCol w:w="124"/>
        <w:gridCol w:w="5611"/>
      </w:tblGrid>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RUSSELL J. LOW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Russell J. Low</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of Axcelis Technologies, Inc.</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193" w:name="acls-20260630xex32d2.htm"/>
      <w:bookmarkStart w:id="1194" w:name="ksacls20260630xex32d2"/>
      <w:bookmarkEnd w:id="1193"/>
      <w:bookmarkEnd w:id="1194"/>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August 6, 2026.</w:t>
      </w:r>
    </w:p>
    <w:p>
      <w:pPr>
        <w:pStyle w:val="TextBody"/>
        <w:bidi w:val="0"/>
        <w:spacing w:lineRule="auto" w:line="285" w:before="0" w:after="0"/>
        <w:ind w:left="0" w:right="0" w:hanging="0"/>
        <w:jc w:val="left"/>
        <w:rPr/>
      </w:pPr>
      <w:r>
        <w:rPr/>
        <w:t>​</w:t>
      </w:r>
    </w:p>
    <w:tbl>
      <w:tblPr>
        <w:tblW w:w="7370" w:type="dxa"/>
        <w:jc w:val="left"/>
        <w:tblInd w:w="0" w:type="dxa"/>
        <w:tblLayout w:type="fixed"/>
        <w:tblCellMar>
          <w:top w:w="0" w:type="dxa"/>
          <w:left w:w="0" w:type="dxa"/>
          <w:bottom w:w="0" w:type="dxa"/>
          <w:right w:w="0" w:type="dxa"/>
        </w:tblCellMar>
      </w:tblPr>
      <w:tblGrid>
        <w:gridCol w:w="124"/>
        <w:gridCol w:w="7246"/>
      </w:tblGrid>
      <w:tr>
        <w:trPr/>
        <w:tc>
          <w:tcPr>
            <w:tcW w:w="124" w:type="dxa"/>
            <w:tcBorders/>
            <w:vAlign w:val="center"/>
          </w:tcPr>
          <w:p>
            <w:pPr>
              <w:pStyle w:val="TableContents"/>
              <w:bidi w:val="0"/>
              <w:spacing w:lineRule="auto" w:line="285" w:before="0" w:after="0"/>
              <w:ind w:left="0" w:right="0" w:hanging="0"/>
              <w:jc w:val="left"/>
              <w:rPr/>
            </w:pPr>
            <w:r>
              <w:rPr/>
              <w:t>​</w:t>
            </w:r>
          </w:p>
        </w:tc>
        <w:tc>
          <w:tcPr>
            <w:tcW w:w="724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RYZHIK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24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David Ryzhik</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24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Interim Chief Financial Officer of Axcelis Technologies, Inc.</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Apto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3232/000155837017008078/acls-20170930ex31a83feb6.htm" TargetMode="External"/><Relationship Id="rId3" Type="http://schemas.openxmlformats.org/officeDocument/2006/relationships/hyperlink" Target="https://www.sec.gov/Archives/edgar/data/1113232/000110465924059307/tm2413500d1_ex3-1.htm" TargetMode="External"/><Relationship Id="rId4" Type="http://schemas.openxmlformats.org/officeDocument/2006/relationships/hyperlink" Target="https://www.sec.gov/Archives/edgar/data/1113232/000110465922058781/tm2213765d1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15074</Words>
  <Characters>82638</Characters>
  <CharactersWithSpaces>100686</CharactersWithSpaces>
  <Paragraphs>6504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