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8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8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34-1818596</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30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right="40" w:firstLine="23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 w:lineRule="exact"/>
        <w:rPr>
          <w:sz w:val="24"/>
          <w:szCs w:val="24"/>
          <w:color w:val="auto"/>
        </w:rPr>
      </w:pPr>
    </w:p>
    <w:p>
      <w:pPr>
        <w:jc w:val="both"/>
        <w:ind w:right="18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27"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880" w:space="720"/>
            <w:col w:w="1960" w:space="100"/>
            <w:col w:w="1580"/>
          </w:cols>
          <w:pgMar w:left="840" w:top="661" w:right="819" w:bottom="1440" w:gutter="0" w:footer="0" w:header="0"/>
          <w:type w:val="continuous"/>
        </w:sectPr>
      </w:pPr>
    </w:p>
    <w:p>
      <w:pPr>
        <w:ind w:right="220" w:firstLine="23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20" w:right="860" w:hanging="3"/>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29, 2024, there were 32,617,587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and six months ended June 30, 2024 and 2023</w:t>
            </w:r>
          </w:p>
        </w:tc>
        <w:tc>
          <w:tcPr>
            <w:tcW w:w="92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and six months ended June 30, 2024 and</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2023</w:t>
            </w: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as of June 30, 2024 and December 31,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and six months ended June 30, 2024 and 2023</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six months ended June 30,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380" w:type="dxa"/>
            <w:vAlign w:val="bottom"/>
            <w:tcBorders>
              <w:top w:val="single" w:sz="8" w:color="0000EE"/>
            </w:tcBorders>
            <w:gridSpan w:val="3"/>
          </w:tcPr>
          <w:p>
            <w:pPr>
              <w:spacing w:after="0"/>
              <w:rPr>
                <w:sz w:val="19"/>
                <w:szCs w:val="19"/>
                <w:color w:val="auto"/>
              </w:rPr>
            </w:pPr>
          </w:p>
        </w:tc>
        <w:tc>
          <w:tcPr>
            <w:tcW w:w="158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Overview</w:t>
            </w:r>
          </w:p>
        </w:tc>
        <w:tc>
          <w:tcPr>
            <w:tcW w:w="120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Use of Proceeds, and Issuer Purchases of Equity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8"/>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8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245,380</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265,673</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488,798</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256,512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273,970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527,990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262,670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144,103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304,268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32,988</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109,276</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7"/>
                <w:szCs w:val="17"/>
                <w:color w:val="auto"/>
              </w:rPr>
              <w:t>Diluted weighted average shares of common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$ 50,866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$ 61,579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$ 109,276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3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net of tax</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$ 49,958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$ 60,568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$ 108,315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78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145,166</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8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1,288,405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80" w:type="dxa"/>
            <w:vAlign w:val="bottom"/>
            <w:tcBorders>
              <w:bottom w:val="single" w:sz="8" w:color="CCEEFF"/>
            </w:tcBorders>
          </w:tcPr>
          <w:p>
            <w:pPr>
              <w:spacing w:after="0"/>
              <w:rPr>
                <w:sz w:val="21"/>
                <w:szCs w:val="21"/>
                <w:color w:val="auto"/>
              </w:rPr>
            </w:pPr>
          </w:p>
        </w:tc>
      </w:tr>
      <w:tr>
        <w:trPr>
          <w:trHeight w:val="170"/>
        </w:trPr>
        <w:tc>
          <w:tcPr>
            <w:tcW w:w="20" w:type="dxa"/>
            <w:vAlign w:val="bottom"/>
          </w:tcPr>
          <w:p>
            <w:pPr>
              <w:spacing w:after="0"/>
              <w:rPr>
                <w:sz w:val="14"/>
                <w:szCs w:val="14"/>
                <w:color w:val="auto"/>
              </w:rPr>
            </w:pPr>
          </w:p>
        </w:tc>
        <w:tc>
          <w:tcPr>
            <w:tcW w:w="6780" w:type="dxa"/>
            <w:vAlign w:val="bottom"/>
            <w:shd w:val="clear" w:color="auto" w:fill="CCEEFF"/>
          </w:tcPr>
          <w:p>
            <w:pPr>
              <w:ind w:left="254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32,617 shares issued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June 30, 2024; 32,685 shares issued and outstanding at December 31, 2023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864,882</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550,299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118,892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667,256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47,697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32,726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701,821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5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32,836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744,037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Borders>
              <w:bottom w:val="single" w:sz="8" w:color="auto"/>
            </w:tcBorders>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547,189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(1,731)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(12,798)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4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546,979</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358,303</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(8,468)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(12,451)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542,677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396,718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ectPr>
          <w:pgSz w:w="11900" w:h="16838" w:orient="portrait"/>
          <w:cols w:equalWidth="0" w:num="1">
            <w:col w:w="9200"/>
          </w:cols>
          <w:pgMar w:left="1340" w:top="513" w:right="1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374650</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40" w:top="513" w:right="1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8"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discounts and premiums on marketable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Currency loss on foreign denominated transactions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120,907</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186,347</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139,156</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balance sheet at December 31, 2023 has been derived from the audited consolidated financial statements at that date but does not include all the information and footnotes required by generally accepted accounting principles for complete financial statements. As of June 30, 2024, there have been no material changes in the Company’s significant accounting policies, other than with respect to the Company’s accounting policy for derivative financial instruments, which it had not held in prior periods, as described in Note 2 below. For further information, refer to the consolidated financial statements and footnotes thereto included in the Company’s Annual Report on Form 10-K for the year ended December 31, 2023, filed with the Securities and Exchange Commission (the “SEC”) on February 23, 2024, as amended by Amendment No. 1 thereto, filed with the SEC on February 28, 2024 (as so amended, the “2023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exposed to certain risks relating to our ongoing business operations, including market risks relating to fluctuations in foreign currency exchange rates. We have entered into forward exchange contracts in order to mitigate risks associated with fluctuations in exchange rates on forecasted transactions denominated in foreign currencies and to minimize the impact of foreign currency fluctuations on our earnings and cash flows. These contracts have month-to-month settlement dates. As of June 30, 2024, we had open contracts with a notional value of $111 million. We measure these instruments at fair value and recognize assets or liabilities associated with the intrinsic value on these open contracts on the Consolidated Balance Sheets at the end of each reporting period. At June 30, 2024, the recognized unrealized loss on these forward exchange contracts was approximately $323 thousand. Unrealized gains and losses are shown in our cash flows from operating activities within our Consolidated Statement of Cash Flows. We have not designated these forward exchange contracts as hedging instruments and we record changes in the fair values at each measurement date in Other, net on the Consolidated Statements of Operations. For the three and six months ended June 30, 2024, we recorded $2.3 million and $3.8 million of gain on forward currency exchange contracts, respectively.</w:t>
      </w:r>
    </w:p>
    <w:p>
      <w:pPr>
        <w:spacing w:after="0" w:line="1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do not offset fair value amounts of derivative instruments. We do not use derivative instruments for speculative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2023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$5.5 million and $4.7 million for the three-month periods ended June 30, 2024 and 2023, respectively. We recognized stock-based compensation expense of $10.2 million and $7.9 million for the six-month periods ended June 30, 2024 and 2023, respectively. These amounts include compensation expense related to RSUs, non-qualified stock options, and stock to be issued to participants under the 2020 Employee Stock Purchase Plan (the “2020 ESPP”).</w:t>
      </w:r>
    </w:p>
    <w:p>
      <w:pPr>
        <w:spacing w:after="0" w:line="11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the three-month periods ended June 30, 2024 and 2023, respectively, we issued 0.2 million shares of common stock upon vesting of RSUs granted under the 2012 Equity Plan and purchases under the 2020 ESPP. In the three-month period ended June 30, 2024 and 2023, we received proceeds of $1.2 million and $1.0 million, respectively, from purchases under the 2020 ESPP.</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six-month period ended June 30, 2024 and 2023, we issued 0.2 million and 0.3 million shares of common stock, respectively, upon vesting of RSUs granted under the 2012 Equity Plan and purchases under the 2020 ESPP. In the six-month period ended June 30, 2024 and 2023, we received proceeds of $1.2 million and $1.0 million, respectively, in connection with purchases under the 2020 ESPP.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6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28,918</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shd w:val="clear" w:color="auto" w:fill="CCEEFF"/>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vMerge w:val="continue"/>
            <w:shd w:val="clear" w:color="auto" w:fill="CCEEFF"/>
          </w:tcPr>
          <w:p>
            <w:pPr>
              <w:spacing w:after="0"/>
              <w:rPr>
                <w:sz w:val="14"/>
                <w:szCs w:val="14"/>
                <w:color w:val="auto"/>
              </w:rPr>
            </w:pP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25,724</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50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$46.9 million and include $0.6 million of prepaid financing costs as of June 30, 2024. Finance lease assets are recorded net of accumulated depreciation of $46.4 million and include $0.6 million of prepaid financing costs as of 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All of our operating lease office locations support selling and servicing functions. Our Axcelis Asia Operations Center facility in South Korea brings production capability closer to our Asia-based customers. Our state-of-the-art 101,800 square foot logistics and flex manufacturing center was built to our specifications in Beverly, Massachusetts. Operating lease expense and depreciation and interest expense relating to our finance lease obligation are recognized within our Consolidated Statement of Operations for the three and six months ended June 30, 2024 and 2023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gridSpan w:val="2"/>
            <w:vMerge w:val="continue"/>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2960" w:type="dxa"/>
            <w:vAlign w:val="bottom"/>
            <w:shd w:val="clear" w:color="auto" w:fill="CCEEFF"/>
          </w:tcPr>
          <w:p>
            <w:pPr>
              <w:ind w:left="94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296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w:t>
            </w: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vMerge w:val="continue"/>
            <w:shd w:val="clear" w:color="auto" w:fill="CCEEFF"/>
          </w:tcPr>
          <w:p>
            <w:pPr>
              <w:spacing w:after="0"/>
              <w:rPr>
                <w:sz w:val="14"/>
                <w:szCs w:val="14"/>
                <w:color w:val="auto"/>
              </w:rPr>
            </w:pP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and General and administrative</w:t>
            </w:r>
          </w:p>
        </w:tc>
        <w:tc>
          <w:tcPr>
            <w:tcW w:w="4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8"/>
        <w:spacing w:after="0" w:line="24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$0.7 million and $1.3 million for the three and six months ended June 30, 2024, respectively, and includes short-term lease and variable lease costs of approximately $0.5 million and $1.0 million for the three and six months ended June 30, 2023, respectively.</w:t>
      </w:r>
    </w:p>
    <w:p>
      <w:pPr>
        <w:spacing w:after="0" w:line="18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16 years. The tables below reflect the minimum cash outflow regarding our current lease obligations as well as the weighted-average remaining lease term and weighted-average discount rates used in our calculation of our lease obligations and right-of-use assets as of June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23,205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78,541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(13,362)</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(51,691)</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26"/>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six months ended June 30, 2024 and 2023, respectively: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6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5,282</w:t>
            </w:r>
          </w:p>
        </w:tc>
        <w:tc>
          <w:tcPr>
            <w:tcW w:w="6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6"/>
                <w:szCs w:val="16"/>
                <w:color w:val="auto"/>
              </w:rPr>
            </w:pPr>
          </w:p>
        </w:tc>
      </w:tr>
      <w:tr>
        <w:trPr>
          <w:trHeight w:val="199"/>
        </w:trPr>
        <w:tc>
          <w:tcPr>
            <w:tcW w:w="4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394,076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410,372</w:t>
            </w:r>
          </w:p>
        </w:tc>
      </w:tr>
      <w:tr>
        <w:trPr>
          <w:trHeight w:val="20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114,807</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117,618</w:t>
            </w:r>
          </w:p>
        </w:tc>
      </w:tr>
      <w:tr>
        <w:trPr>
          <w:trHeight w:val="196"/>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256,512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508,883</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527,990</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80" w:top="513" w:right="1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34,373</w:t>
            </w: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37,918</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83,084</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196,159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397,044</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47,862</w:t>
            </w: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256,512</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508,883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527,990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154,777</w:t>
            </w:r>
          </w:p>
        </w:tc>
      </w:tr>
      <w:tr>
        <w:trPr>
          <w:trHeight w:val="203"/>
        </w:trPr>
        <w:tc>
          <w:tcPr>
            <w:tcW w:w="20" w:type="dxa"/>
            <w:vAlign w:val="bottom"/>
          </w:tcPr>
          <w:p>
            <w:pPr>
              <w:spacing w:after="0"/>
              <w:rPr>
                <w:sz w:val="17"/>
                <w:szCs w:val="17"/>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107,556</w:t>
            </w: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1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(54,032)</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(79,793)</w:t>
            </w:r>
          </w:p>
        </w:tc>
      </w:tr>
      <w:tr>
        <w:trPr>
          <w:trHeight w:val="196"/>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174,011</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182,540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174,011</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182,540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Amount is net of a reclassification of $4.7 million from deferred revenue to refund liability for the three and six months ended June 30, 2024.</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Receivables and Allowances for Credit Losses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incur any credit losses or recoveries for the three month period ended June 30, 2024. We recorded $0.5 million of recovery of bad debt expense for the six-month period ended June 30, 2024. We did not have any allowance or incur any credit losses or recoveries for the six-month period ended June 30, 2023. As of both June 30, 2024 and 2023, we had no provision for credit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Computation of Net Earnings per Share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exercise of stock options and vesting of RSUs had been issued, calculated using the treasury stock method.</w:t>
      </w:r>
    </w:p>
    <w:p>
      <w:pPr>
        <w:sectPr>
          <w:pgSz w:w="11900" w:h="16838" w:orient="portrait"/>
          <w:cols w:equalWidth="0" w:num="1">
            <w:col w:w="9120"/>
          </w:cols>
          <w:pgMar w:left="1380" w:top="513" w:right="139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Incremental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57861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61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income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7861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0" w:type="dxa"/>
            <w:vAlign w:val="bottom"/>
          </w:tcPr>
          <w:p>
            <w:pPr>
              <w:spacing w:after="0"/>
              <w:rPr>
                <w:sz w:val="15"/>
                <w:szCs w:val="15"/>
                <w:color w:val="auto"/>
              </w:rPr>
            </w:pPr>
          </w:p>
        </w:tc>
        <w:tc>
          <w:tcPr>
            <w:tcW w:w="1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4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15"/>
        </w:trPr>
        <w:tc>
          <w:tcPr>
            <w:tcW w:w="120" w:type="dxa"/>
            <w:vAlign w:val="bottom"/>
          </w:tcPr>
          <w:p>
            <w:pPr>
              <w:spacing w:after="0"/>
              <w:rPr>
                <w:sz w:val="9"/>
                <w:szCs w:val="9"/>
                <w:color w:val="auto"/>
              </w:rPr>
            </w:pPr>
          </w:p>
        </w:tc>
        <w:tc>
          <w:tcPr>
            <w:tcW w:w="3080" w:type="dxa"/>
            <w:vAlign w:val="bottom"/>
            <w:gridSpan w:val="10"/>
          </w:tcPr>
          <w:p>
            <w:pPr>
              <w:jc w:val="right"/>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 except per share amounts)</w:t>
            </w:r>
          </w:p>
        </w:tc>
      </w:tr>
      <w:tr>
        <w:trPr>
          <w:trHeight w:val="21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61,579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102,460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6"/>
        </w:trPr>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32,759</w:t>
            </w:r>
          </w:p>
        </w:tc>
      </w:tr>
      <w:tr>
        <w:trPr>
          <w:trHeight w:val="219"/>
        </w:trPr>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371"/>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32,848</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00" w:space="260"/>
            <w:col w:w="3360"/>
          </w:cols>
          <w:pgMar w:left="1380" w:top="513" w:right="1399" w:bottom="1440" w:gutter="0" w:footer="0" w:header="0"/>
          <w:type w:val="continuous"/>
        </w:sectPr>
      </w:pPr>
    </w:p>
    <w:p>
      <w:pPr>
        <w:spacing w:after="0" w:line="1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22,983 and 770 common equivalent shares issuable with respect to outstanding equity awards for the three-month periods ended June 30, 2024 and 2023, respectively, or 20,639 and 387 common equivalent shares issuable with respect to outstanding equity awards for the six-month periods ended June 30, 2024 and 2023,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Loss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net of tax, by component, for the six months ended June 30,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(4,600)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Cash, cash equivalents and restricted cash</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29"/>
        </w:trPr>
        <w:tc>
          <w:tcPr>
            <w:tcW w:w="5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167,297</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151,817</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we had $6.7 million in restricted cash representing the total of (i) a $5.9 million cash collateral relating to our lease for our headquarters in Beverly, Massachusetts, (ii) a $0.7 million letter of credit relating to workers’ compensation insurance and (iii) a $0.1 million deposit relating to customs activity. See Note 13 for further discussion on the $5.9 million cash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220,910</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231,200</w:t>
            </w:r>
          </w:p>
        </w:tc>
        <w:tc>
          <w:tcPr>
            <w:tcW w:w="2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200" w:type="dxa"/>
            <w:vAlign w:val="bottom"/>
            <w:shd w:val="clear" w:color="auto" w:fill="CCEEFF"/>
          </w:tcPr>
          <w:p>
            <w:pPr>
              <w:spacing w:after="0"/>
              <w:rPr>
                <w:sz w:val="17"/>
                <w:szCs w:val="17"/>
                <w:color w:val="auto"/>
              </w:rPr>
            </w:pPr>
          </w:p>
        </w:tc>
      </w:tr>
      <w:tr>
        <w:trPr>
          <w:trHeight w:val="196"/>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283,090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306,482</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4"/>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(end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assets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104,958</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507,778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507,455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339,240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339,240</w:t>
            </w:r>
          </w:p>
        </w:tc>
        <w:tc>
          <w:tcPr>
            <w:tcW w:w="10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Beginning in February 2024, we entered into forward currency exchange contracts to minimize the impact of foreign currency fluctuations on our earnings and cash flows. These contracts have month-to-month settlement dates. Any gains or losses on these contracts are reported within Other, net within our Consolidated Statement of Operations. Any open contracts at period end that have settlement dates within one month after the reported period end and any mark-to-market valuation adjustments related to these open contracts are recorded within the current asset or current liability account and any unrealized gain or loss recognized is recorded within Other, net within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June 30, 2024, the recognized unrealized loss on these forward exchange contracts was approximately $323 thousand. Based on our continued ability to trade and enter into forward contracts, we consider the markets for our fair value instruments to be active. We evaluated the credit risk associated with the counterparties to these derivative instruments and determined that as of June 30, 2024, such credit risks have not had an adverse impact on the fair value of these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$44.5 million as of June 30, 2024. The associated lease payments include both an interest component and payment of principal, with the remaining liability being extinguished at the end of the original lease term.</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2024, we had a security deposit of $5.9 million related to this lease in the form of a cash collateralized letter of credit issued with UBS Bank USA, which is classified as long-term restricted cash on our balance sheet at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$6.4 million for the three months ended June 30, 2024, compared to $3.0 million for the three months ended June 30, 2023. The $3.4 million increase was primarily due to a decrease in stock compensation deduction. Income tax expense was $13.8 million for the six months ended June 30, 2024, compared to $8.2 million for the six months ended June 30, 2023. The increase was primarily due to a decrease in stock compensation deduction.</w:t>
      </w:r>
    </w:p>
    <w:p>
      <w:pPr>
        <w:spacing w:after="0" w:line="5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$55.4 million and $53.4 million as of June 30, 2024 and December 31, 2023, respectively, reflect the net tax effect of temporary differences between the carrying amount of assets and liabilities for financial reporting purposes and the amounts used for income tax purposes, as well as the tax effect of carryforwards. As of June 30, 2024, we have recorded a $11.3 million valuation allowance in the U.S. against certain tax credits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 of Risk</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one customer accounted for 11.5% of total revenue. For the three months ended June 30, 2023, no individual customer accounted for greater than ten percent of total revenue.</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no individual customer accounted for greater than ten percent of total revenue. For the six months ended June 30, 2023, two customers accounted for 11.6% and 11.1% of total revenue, respectively.</w:t>
      </w:r>
    </w:p>
    <w:p>
      <w:pPr>
        <w:spacing w:after="0" w:line="14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At June 30, 2024, one customer accounted for 11.3% of accounts receivable. At December 31, 2023, one customer accounted for 12.2% of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February 2022, our Board of Directors approved stock repurchases of up to $100 million of our common stock. In August 2023, our Board of Directors approved additional funding of $200 million for our stock repurchase program, to be available on full utilization of the $100 million repurchase funding approved in February 2022. During the six months ended June 30, 2024, we repurchased 0.3 million shares at an average cost of $114.07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Recent Accounting Guidance</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is intended to enhance disclosures for significant segment expenses for all public entities required to report segment information in accordance with ASC Topic 280, Segment Reporting (“ASC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Early adoption is permitted. A public entity should apply ASU 2023-07 retrospectively to all prior periods presented in the consolidated financial statements. We are currently evaluating the impact of ASU 2023-07 on our future consolidated financial statements and related disclosures.</w:t>
      </w:r>
    </w:p>
    <w:p>
      <w:pPr>
        <w:spacing w:after="0" w:line="1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We are currently evaluating the impact of ASU 2023-09 on our future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648"/>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below and under “Risk Factors” in Part I, Item 1A to our </w:t>
      </w:r>
      <w:hyperlink r:id="rId34">
        <w:r>
          <w:rPr>
            <w:rFonts w:ascii="Times New Roman" w:cs="Times New Roman" w:eastAsia="Times New Roman" w:hAnsi="Times New Roman"/>
            <w:sz w:val="18"/>
            <w:szCs w:val="18"/>
            <w:i w:val="1"/>
            <w:iCs w:val="1"/>
            <w:u w:val="single" w:color="auto"/>
            <w:color w:val="0000EE"/>
          </w:rPr>
          <w:t>2023 Form 10-K</w:t>
        </w:r>
      </w:hyperlink>
      <w:r>
        <w:rPr>
          <w:rFonts w:ascii="Times New Roman" w:cs="Times New Roman" w:eastAsia="Times New Roman" w:hAnsi="Times New Roman"/>
          <w:sz w:val="18"/>
          <w:szCs w:val="18"/>
          <w:i w:val="1"/>
          <w:iCs w:val="1"/>
          <w:color w:val="auto"/>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47.4% of total revenue for the six months ended June 30, 2024.</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first six months of 2024 exhibited continued strong demand for our capital equipment. The overall mature process segment represented 98% of our shipped systems revenue, with 1% of shipments to advanced logic and 1% of shipments to dynamic random-access memory (“DRAM”). Power device shipments comprised 59% of total systems revenue with the general mature segment representing 36%, and image sensors at 4%. Looking ahead, we expect demand from silicon carbide customers within the power segment to remain healthy in the second half, while in general mature, we may see some moderation in revenue in the second half, dependent on the macroeconomic environment and its impact on our customers’ spending patterns. In addition, we expect DRAM customers to start adding capacity as we exit 2024 and into 2025, while “NAND” spending is expected to begin picking up in 2025.</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2023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2023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40" w:type="dxa"/>
            <w:vAlign w:val="bottom"/>
            <w:gridSpan w:val="5"/>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5"/>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06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95.7 %</w:t>
            </w:r>
          </w:p>
        </w:tc>
        <w:tc>
          <w:tcPr>
            <w:tcW w:w="18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97.0 %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96.1 %</w:t>
            </w:r>
          </w:p>
        </w:tc>
        <w:tc>
          <w:tcPr>
            <w:tcW w:w="180" w:type="dxa"/>
            <w:vAlign w:val="bottom"/>
          </w:tcPr>
          <w:p>
            <w:pPr>
              <w:spacing w:after="0"/>
              <w:rPr>
                <w:sz w:val="18"/>
                <w:szCs w:val="18"/>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96.9 %</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8"/>
                <w:szCs w:val="18"/>
                <w:color w:val="auto"/>
              </w:rPr>
            </w:pPr>
          </w:p>
        </w:tc>
        <w:tc>
          <w:tcPr>
            <w:tcW w:w="9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(0.5)</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8"/>
                <w:szCs w:val="18"/>
                <w:color w:val="auto"/>
              </w:rPr>
            </w:pPr>
          </w:p>
        </w:tc>
        <w:tc>
          <w:tcPr>
            <w:tcW w:w="9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(0.7)</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(0.6)</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8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560" w:type="dxa"/>
            <w:vAlign w:val="bottom"/>
          </w:tcPr>
          <w:p>
            <w:pPr>
              <w:spacing w:after="0"/>
              <w:rPr>
                <w:sz w:val="15"/>
                <w:szCs w:val="15"/>
                <w:color w:val="auto"/>
              </w:rPr>
            </w:pPr>
          </w:p>
        </w:tc>
        <w:tc>
          <w:tcPr>
            <w:tcW w:w="18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r>
      <w:tr>
        <w:trPr>
          <w:trHeight w:val="128"/>
        </w:trPr>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5"/>
          </w:tcPr>
          <w:p>
            <w:pPr>
              <w:jc w:val="center"/>
              <w:ind w:left="464"/>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20" w:type="dxa"/>
            <w:vAlign w:val="bottom"/>
          </w:tcPr>
          <w:p>
            <w:pPr>
              <w:jc w:val="right"/>
              <w:ind w:right="63"/>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$ 245,380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$ 265,673</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i w:val="1"/>
                <w:iCs w:val="1"/>
                <w:color w:val="auto"/>
                <w:w w:val="98"/>
              </w:rPr>
              <w:t>(20,293)</w:t>
            </w: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(7.6)%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$ 488,798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$ 511,680</w:t>
            </w:r>
          </w:p>
        </w:tc>
        <w:tc>
          <w:tcPr>
            <w:tcW w:w="20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(22,882) </w:t>
            </w:r>
            <w:r>
              <w:rPr>
                <w:rFonts w:ascii="Times New Roman" w:cs="Times New Roman" w:eastAsia="Times New Roman" w:hAnsi="Times New Roman"/>
                <w:sz w:val="16"/>
                <w:szCs w:val="16"/>
                <w:i w:val="1"/>
                <w:iCs w:val="1"/>
                <w:color w:val="auto"/>
              </w:rPr>
              <w:t>(4.5)%</w:t>
            </w:r>
          </w:p>
        </w:tc>
      </w:tr>
      <w:tr>
        <w:trPr>
          <w:trHeight w:val="218"/>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95.7 %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97.0 %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96.1 %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96.9 %</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34.2 %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23.1 %</w:t>
            </w:r>
          </w:p>
        </w:tc>
      </w:tr>
      <w:tr>
        <w:trPr>
          <w:trHeight w:val="218"/>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4.3 %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3.0 %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3.9 %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3.1 %</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196"/>
        </w:trPr>
        <w:tc>
          <w:tcPr>
            <w:tcW w:w="2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$ 256,512</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$ 273,970</w:t>
            </w:r>
          </w:p>
        </w:tc>
        <w:tc>
          <w:tcPr>
            <w:tcW w:w="2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(17,458)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(6.4)%</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$ 508,883</w:t>
            </w: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$ 527,990</w:t>
            </w: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(19,107)</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(3.6)</w:t>
            </w:r>
            <w:r>
              <w:rPr>
                <w:rFonts w:ascii="Times New Roman" w:cs="Times New Roman" w:eastAsia="Times New Roman" w:hAnsi="Times New Roman"/>
                <w:sz w:val="16"/>
                <w:szCs w:val="16"/>
                <w:color w:val="auto"/>
              </w:rPr>
              <w:t>%</w:t>
            </w:r>
          </w:p>
        </w:tc>
      </w:tr>
      <w:tr>
        <w:trPr>
          <w:trHeight w:val="20"/>
        </w:trPr>
        <w:tc>
          <w:tcPr>
            <w:tcW w:w="2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$245.4 million, or 95.7% of revenue, during the three months ended June 30, 2024, compared with $265.7 million, or 97.0%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 revenue, for the three months ended June 30, 2023. The $20.3 million decrease in product revenue for the three-</w:t>
      </w:r>
    </w:p>
    <w:p>
      <w:pPr>
        <w:sectPr>
          <w:pgSz w:w="11900" w:h="16838" w:orient="portrait"/>
          <w:cols w:equalWidth="0" w:num="1">
            <w:col w:w="9140"/>
          </w:cols>
          <w:pgMar w:left="136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month period ended June 30, 2024, in comparison to the same period in 2023, was primarily driven by a decrease in system sales.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June 30, 2024 and December 31, 2023 was $174.0 million and $210.9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$11.1 million, or 4.3% of revenue, for the three months ended June 30, 2024, compared with $8.3 million, or 3.0% of revenue, for the three months ended June 30, 2023.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Product revenue was $488.8 million, or 96.1% of revenue, during the six months ended June 30, 2024, compared with $511.7 million, or 96.9% of revenue, for the six months ended June 30, 2023. The $22.9 million decrease in product revenue for the six-month period ended June 30, 2024, in comparison to the same period in 2023, was primarily driven by a decrease in system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Services revenue was $20.1 million, or 3.9% of revenue, for the six months ended June 30, 2024, compared with $16.3 million, or 3.1% of revenue, for the six months ended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00" w:hanging="328"/>
        <w:spacing w:after="0" w:line="250" w:lineRule="auto"/>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20" w:hanging="316"/>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00" w:hanging="316"/>
        <w:spacing w:after="0" w:line="26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Included in total revenue of $256.5 million during the three months ended June 30, 2024 is revenue from our Aftermarket business of $57.9 million, compared with $58.8 million of Aftermarket revenue for the three months ended June 30, 2023.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$198.6 million of revenue for the three months ended June 30, 2024 was systems revenue, compared with $215.2 million of systems revenue for the three months ended June 30, 2023. Systems revenue fluctuates from period to period based on our customers’ capital spending.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Included in total revenue of $508.9 million during the six months ended June 30, 2024 is revenue from our Aftermarket business of $114.8 million, compared with $117.6 million of Aftermarket revenue for the six months ended June 30, 2023. The remaining $394.1 million of revenue for the six months ended June 30, 2024 was systems revenue, compared with $410.4 million of systems revenue for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6"/>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4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6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gridSpan w:val="3"/>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$ 110,621</w:t>
            </w:r>
          </w:p>
        </w:tc>
        <w:tc>
          <w:tcPr>
            <w:tcW w:w="180" w:type="dxa"/>
            <w:vAlign w:val="bottom"/>
          </w:tcPr>
          <w:p>
            <w:pPr>
              <w:spacing w:after="0"/>
              <w:rPr>
                <w:sz w:val="18"/>
                <w:szCs w:val="18"/>
                <w:color w:val="auto"/>
              </w:rPr>
            </w:pP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118,932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(8,311)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(7.0)%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$ 226,128</w:t>
            </w: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$ 222,168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45.1 %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44.8 %</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46.3 %</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43.4 %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131.9 %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50.1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16.1 %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9.3 %</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11.6 %</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9.5 %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$ 112,409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(7,294)</w:t>
            </w:r>
          </w:p>
        </w:tc>
        <w:tc>
          <w:tcPr>
            <w:tcW w:w="8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$ 228,460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$ 223,722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2.1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43.9</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43.7</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44.9</w:t>
            </w:r>
          </w:p>
        </w:tc>
        <w:tc>
          <w:tcPr>
            <w:tcW w:w="16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42.4</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Gross margin from product revenue was 45.1% for the three months ended June 30, 2024, compared to 44.8% for the three months ended June 30, 2023. The increase in gross margin primarily resulted from a favorable mix of system revenue.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services revenue was 16.1% for the three months ended June 30, 2024, compared to 9.3% for the three months ended June 30, 2023. The increase in gross margin is attributable to changes in the mix of service contracts.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Gross margin from product revenue was 46.3% for the six months ended June 30, 2024, compared to 43.4% for the six months ended June 30, 2023. The increase in gross margin primarily resulted from a favorable mix of system revenue.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services revenue was 11.6% for the six months ended June 30, 2024, compared to 9.5% for the six months ended June 30, 2023. The increase in gross margin is attributable to changes in the mix of service contracts.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80" w:type="dxa"/>
            <w:vAlign w:val="bottom"/>
            <w:gridSpan w:val="6"/>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6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70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6.9 </w:t>
            </w: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47,903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7.4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10.1 %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8.8 %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10.1 %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9.1 %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10.9 </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16.8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6.7 %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5.7 %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6.8 %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5.6 %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1.6 </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6.2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6.5 %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6.0 %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6.5 %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5.9 %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59,599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55,995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6.4 </w:t>
            </w: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119,111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$ 108,657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9.6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23.3</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20.5</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23.4</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20.6</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Personnel costs are our largest expense, representing $35.3 million, or 59.2%, of our total operating expenses for the three months ended June 30, 2024, compared to $33.8 million, or 60.4%, of our total operating expenses for the three months ended June 30, 2023. Personnel costs were $71.7 million, or 60.2%, of our total operating expenses for the six months ended June 30, 2024, compared to $64.5 million, or 59.3%, of our total operating expenses for the six months ended June 30, 2023. The higher personnel costs for the three and six months ended June 30, 2024 are primarily due to increases in wages and headcount as well as stock compensation expense, partially offset by a decrease in bonus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6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4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268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8"/>
                <w:szCs w:val="18"/>
                <w:color w:val="auto"/>
              </w:rPr>
            </w:pPr>
          </w:p>
        </w:tc>
      </w:tr>
      <w:tr>
        <w:trPr>
          <w:trHeight w:val="128"/>
        </w:trPr>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$ 25,786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$ 24,130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$ 1,656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 xml:space="preserve">6.9 </w:t>
            </w: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51,448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47,903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7.4 </w:t>
            </w:r>
            <w:r>
              <w:rPr>
                <w:rFonts w:ascii="Times New Roman" w:cs="Times New Roman" w:eastAsia="Times New Roman" w:hAnsi="Times New Roman"/>
                <w:sz w:val="16"/>
                <w:szCs w:val="16"/>
                <w:color w:val="auto"/>
              </w:rPr>
              <w:t>%</w:t>
            </w:r>
          </w:p>
        </w:tc>
      </w:tr>
      <w:tr>
        <w:trPr>
          <w:trHeight w:val="212"/>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10.1 %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8.8 %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10.1 %</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9.1 %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$25.8 million during the three months ended June 30, 2024, an increase of $1.7 million, or 6.9%, compared with $24.1 million during the three months ended June 30, 2023. The increase is primarily due to higher personnel expenses associated with increases in wages and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was $51.4 million during the six months ended June 30, 2024,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or 7.4%, compared with $47.9 million during the six months ended June 30, 2023. The increase is primarily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higher personnel expenses associated with an increase in headcount.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5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tcBorders>
          </w:tcPr>
          <w:p>
            <w:pPr>
              <w:jc w:val="right"/>
              <w:ind w:right="8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220" w:type="dxa"/>
            <w:vAlign w:val="bottom"/>
            <w:vMerge w:val="continue"/>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$ 17,230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$ 15,537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$ 1,693</w:t>
            </w:r>
          </w:p>
        </w:tc>
        <w:tc>
          <w:tcPr>
            <w:tcW w:w="14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i w:val="1"/>
                <w:iCs w:val="1"/>
                <w:color w:val="auto"/>
              </w:rPr>
              <w:t xml:space="preserve">10.9 </w:t>
            </w:r>
            <w:r>
              <w:rPr>
                <w:rFonts w:ascii="Times New Roman" w:cs="Times New Roman" w:eastAsia="Times New Roman" w:hAnsi="Times New Roman"/>
                <w:sz w:val="16"/>
                <w:szCs w:val="16"/>
                <w:color w:val="auto"/>
              </w:rPr>
              <w:t>% $ 34,675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$ 29,681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16.8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6.7 %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5.7 %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6.8 %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5.6 %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$17.2 million during the three months ended June 30, 2024, an increase of $1.7 million, or 10.9%, compared with $15.5 million during the three months ended June 30, 2023. The increase is primarily due to higher personnel expenses associated with increases in wages and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$34.7 million during the six months ended June 30, 2024, an increase of $5.0 million, or 16.8%, compared with $29.7 million during the six months ended June 30, 2023. The increase is primarily due to higher personnel expenses associated with increases in wages and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6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$ 16,583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$ 16,328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$ 255</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1.6 </w:t>
            </w:r>
            <w:r>
              <w:rPr>
                <w:rFonts w:ascii="Times New Roman" w:cs="Times New Roman" w:eastAsia="Times New Roman" w:hAnsi="Times New Roman"/>
                <w:sz w:val="16"/>
                <w:szCs w:val="16"/>
                <w:color w:val="auto"/>
              </w:rPr>
              <w:t>% $ 32,988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$ 31,073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6.2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6.5 %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6.0 %</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6.5 %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5.9 %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with Three months ended June 30, 2023</w:t>
      </w:r>
    </w:p>
    <w:p>
      <w:pPr>
        <w:spacing w:after="0" w:line="22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$16.6 million during the three months ended June 30, 2024, an increase of $0.3 million, or 1.6%, compared with $16.3 million during the three months ended June 30, 2023. The increase is primarily due to higher personnel expenses associated with an increase in headcount offset by a decrease in bonus expense.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with Six months ended June 30,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 was $33.0 million during the six months ended June 30, 2024,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or 6.2%, compared with $31.1 million during the six months ended June 30, 2023. The increase is primarily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higher personnel expenses associated with an increase in headcount.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80" w:type="dxa"/>
            <w:vAlign w:val="bottom"/>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5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0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4,455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390.6 </w:t>
            </w: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181.9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0.4 %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0.5 %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w:t>
      </w:r>
    </w:p>
    <w:p>
      <w:pPr>
        <w:spacing w:after="0" w:line="18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Other income was $4.5 million for the three months ended June 30, 2024, compared with other income of</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$0.9 million for the three months ended June 30, 2023. The $3.5 million increase in other income (expense) compared to the same prior year period was primarily due to an increase in interest income of $1.7 million and foreign exchange gains of $2.3 million from forward currency exchange contracts partially offset by foreign exchange losses of $2.5 million. Other income was $6.9 million for the six months ended June 30, 2024, compared with other income of $2.5 million for the six months ended June 30, 2023. The $4.5 million increase in other income (expense) compared to the same prior year period was primarily due to an increase in interest income of $3.3 million and foreign exchange gains of $3.8 million from forward currency exchange contracts partially offset by foreign exchange losses of $5.9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73"/>
              </w:rPr>
              <w:t>(dollars</w:t>
            </w:r>
          </w:p>
        </w:tc>
        <w:tc>
          <w:tcPr>
            <w:tcW w:w="30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6,399</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3,037</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i w:val="1"/>
                <w:iCs w:val="1"/>
                <w:color w:val="auto"/>
              </w:rPr>
              <w:t xml:space="preserve">110.7 </w:t>
            </w: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$ 13,803</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8,242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5,561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67.5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2.5 %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i w:val="1"/>
                <w:i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i w:val="1"/>
                <w:iCs w:val="1"/>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$6.4 million for the three months ended June 30, 2024, compared to $3.0 million for the three months ended June 30, 2023. The $3.4 million increase was primarily due to a decrease in stock compensation deduction. Income tax expense was $13.8 million for the six months ended June 30, 2024, compared to $8.2 million for the six months ended June 30, 2023. The increase was primarily due to a decrease in stock compensation deduction.</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$55.4 million and $53.4 million as of June 30, 2024 and December 31, 2023, respectively, reflect the net tax effect of temporary differences between the carrying amount of assets and liabilities for financial reporting purposes and the amounts used for income tax purposes, as well as the tax effect of carryforwards. As of June 30, 2024, we have recorded a $11.3 million valuation allowance in the U.S. against certain tax credits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June 30, 2024, we had $145.2 million in unrestricted cash and cash equivalents and $403.1 million in short-term investments, in addition to $6.7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spacing w:after="0" w:line="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we generated $82.3 million and $67.3 million, respectively, of cash related to operating activities.</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Investing activities for the six months ended June 30, 2024 resulted in cash outflows of $61.3 million, $3.6 million of which was used for capital expenditures and $249.0 million of which was used to purchase short-term investments, offset by $191.3 million related to maturities of short-term investments. Investing activities for the six months ended June 30, 2023 resulted in cash outflows of $73.2 million, $5.2 million of which was used for capital expenditures and $188.9 million of which was used to purchase short-term investments, offset by $120.9 million related to maturities of short-term investments.</w:t>
      </w:r>
    </w:p>
    <w:p>
      <w:pPr>
        <w:spacing w:after="0" w:line="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six months ended June 30, 2024 resulted in a cash usage of $40.7 million. During the first six months of 2024, $30.0 million in cash was used to repurchase our common stock and $11.2 million was used for payments to government tax authorities for income tax withholding on employee compensation arising from the vesting of RSUs, where units are withheld by us to cover taxes, as well as $0.7 million relating to the reduction of the liability under the finance lease of our corporate headquarters. These amounts were partially offset by $1.2 million of proceeds related to the purchase of shares under our 2020 ESPP during the first six months of 2024. In comparison, financing activities for the six months ended June 30, 2023 resulted in cash usage of $40.1 million, $25.0 million of which related to the repurchase of our common stock and $15.5 million of which related to payments made to government tax authorities for income tax withholding on employee compensation arising from the vesting of RSUs, as well as $0.6 million relating to the reduction of our financing lease liability. These amounts were partially offset by $1.0 million of proceeds related to the purchase of shares under our 2020 ESPP and exercise of stock options during the first six months of 2023.</w:t>
      </w:r>
    </w:p>
    <w:p>
      <w:pPr>
        <w:spacing w:after="0" w:line="19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had a security deposit of $5.9 million related to the lease of our corporate headquarters in the form of a cash collateralized letter of credit issued with UBS Bank USA, which is classified as long-term restricted cash on our balance sheet.</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and cash equivalents will be sufficient to satisfy our anticipated cash requirements for the short- and long-term.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June 30, 2024 are consistent with those discussed in Item 7, “Management’s Discussion and Analysis of Financial Condition and Results of Operations,” and Note 16 to the consolidated financial statements included in our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there have been no material changes to the quantitative information about market risk disclosed in Item 7A, “Quantitative and Qualitative Disclosures about Market Risk” included in our 2023 Form 10-K.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there have been no material changes to the risk factors described in Item 1A, “Risk Factors” included in our 2023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4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This additional funding was announced on September 12, 2023. The Company’s share repurchase program does not have an expiration date.</w:t>
      </w:r>
    </w:p>
    <w:p>
      <w:pPr>
        <w:spacing w:after="0" w:line="1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June 30, 2024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40" w:type="dxa"/>
            <w:vAlign w:val="bottom"/>
          </w:tcPr>
          <w:p>
            <w:pPr>
              <w:spacing w:after="0"/>
              <w:rPr>
                <w:sz w:val="12"/>
                <w:szCs w:val="12"/>
                <w:color w:val="auto"/>
              </w:rPr>
            </w:pPr>
          </w:p>
        </w:tc>
        <w:tc>
          <w:tcPr>
            <w:tcW w:w="16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per share amounts)</w:t>
            </w:r>
          </w:p>
        </w:tc>
        <w:tc>
          <w:tcPr>
            <w:tcW w:w="12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April 1 through April 30</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$103.33</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04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166,999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May 1 through May 31</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14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4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160,011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June 1 through June 30</w:t>
            </w: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160,011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gridSpan w:val="2"/>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80" w:type="dxa"/>
            <w:vAlign w:val="bottom"/>
            <w:gridSpan w:val="11"/>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940" w:type="dxa"/>
            <w:vAlign w:val="bottom"/>
            <w:tcBorders>
              <w:top w:val="single" w:sz="8" w:color="auto"/>
            </w:tcBorders>
            <w:gridSpan w:val="1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by reference to Exhibit 3.1 of the Company’s Form 8-K filed with the Commission on May 9,</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7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Bylaws of the Company, as amended as of May 11, 2022. Incorporated by reference to Exhibit 3.2 of the</w:t>
              </w:r>
            </w:hyperlink>
          </w:p>
        </w:tc>
        <w:tc>
          <w:tcPr>
            <w:tcW w:w="34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Company’s Form 8-K filed with the SEC on May 11, 2022.</w:t>
              </w:r>
            </w:hyperlink>
          </w:p>
        </w:tc>
        <w:tc>
          <w:tcPr>
            <w:tcW w:w="3660" w:type="dxa"/>
            <w:vAlign w:val="bottom"/>
            <w:gridSpan w:val="9"/>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dated August 1, 2024.</w:t>
            </w:r>
          </w:p>
        </w:tc>
        <w:tc>
          <w:tcPr>
            <w:tcW w:w="20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dated August 1, 2024.</w:t>
            </w:r>
          </w:p>
        </w:tc>
        <w:tc>
          <w:tcPr>
            <w:tcW w:w="4480" w:type="dxa"/>
            <w:vAlign w:val="bottom"/>
            <w:gridSpan w:val="11"/>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August 1, 2024.</w:t>
            </w:r>
          </w:p>
        </w:tc>
        <w:tc>
          <w:tcPr>
            <w:tcW w:w="480" w:type="dxa"/>
            <w:vAlign w:val="bottom"/>
            <w:gridSpan w:val="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40" w:type="dxa"/>
            <w:vAlign w:val="bottom"/>
            <w:gridSpan w:val="5"/>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August 1, 2024.</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260" w:hanging="899"/>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Form 10-Q for the quarter ended June 30, 2024, formatted in inline eXtensible Business Reporting Language (iXBRL): (i) Consolidated Statements of Operations,</w:t>
      </w:r>
    </w:p>
    <w:p>
      <w:pPr>
        <w:ind w:left="1180" w:right="100" w:hanging="1"/>
        <w:spacing w:after="0" w:line="290" w:lineRule="auto"/>
        <w:tabs>
          <w:tab w:leader="none" w:pos="14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80" w:firstLine="5"/>
        <w:spacing w:after="0" w:line="26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August 1, 2024</w:t>
      </w:r>
      <w:r>
        <w:rPr>
          <w:sz w:val="20"/>
          <w:szCs w:val="20"/>
          <w:color w:val="auto"/>
        </w:rPr>
        <w:tab/>
      </w:r>
      <w:r>
        <w:rPr>
          <w:rFonts w:ascii="Times New Roman" w:cs="Times New Roman" w:eastAsia="Times New Roman" w:hAnsi="Times New Roman"/>
          <w:sz w:val="18"/>
          <w:szCs w:val="18"/>
          <w:color w:val="auto"/>
        </w:rPr>
        <w:t>By:  /s/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James G. Coogan</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7"/>
          <w:szCs w:val="17"/>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August 1,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August 1,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34" Type="http://schemas.openxmlformats.org/officeDocument/2006/relationships/hyperlink" Target="https://www.sec.gov/ix?doc=/Archives/edgar/data/1113232/000155837024001628/acls-20231231x10k.htm" TargetMode="External"/><Relationship Id="rId45" Type="http://schemas.openxmlformats.org/officeDocument/2006/relationships/hyperlink" Target="http://www.sec.gov/Archives/edgar/data/1113232/000155837017008078/acls-20170930ex31a83feb6.htm" TargetMode="External"/><Relationship Id="rId46" Type="http://schemas.openxmlformats.org/officeDocument/2006/relationships/hyperlink" Target="https://www.sec.gov/Archives/edgar/data/1113232/000110465924059307/tm2413500d1_ex3-1.htm" TargetMode="External"/><Relationship Id="rId47"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2024-08-01T14:52:27Z</dcterms:created>
  <dcterms:modified xsi:type="dcterms:W3CDTF">2024-08-01T14:52:27Z</dcterms:modified>
</cp:coreProperties>
</file>