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(Mark One)</w:t>
      </w:r>
    </w:p>
    <w:p>
      <w:pPr>
        <w:ind w:left="1360" w:hanging="752"/>
        <w:spacing w:after="0" w:line="181" w:lineRule="auto"/>
        <w:tabs>
          <w:tab w:leader="none" w:pos="1360" w:val="left"/>
        </w:tabs>
        <w:numPr>
          <w:ilvl w:val="0"/>
          <w:numId w:val="1"/>
        </w:numPr>
        <w:rPr>
          <w:rFonts w:ascii="Arial" w:cs="Arial" w:eastAsia="Arial" w:hAnsi="Arial"/>
          <w:sz w:val="27"/>
          <w:szCs w:val="27"/>
          <w:color w:val="auto"/>
          <w:highlight w:val="black"/>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59" w:lineRule="exact"/>
        <w:rPr>
          <w:rFonts w:ascii="Arial" w:cs="Arial" w:eastAsia="Arial" w:hAnsi="Arial"/>
          <w:sz w:val="27"/>
          <w:szCs w:val="27"/>
          <w:color w:val="auto"/>
          <w:highlight w:val="black"/>
          <w:vertAlign w:val="superscript"/>
        </w:rPr>
      </w:pPr>
    </w:p>
    <w:p>
      <w:pPr>
        <w:ind w:left="3580"/>
        <w:spacing w:after="0"/>
        <w:rPr>
          <w:rFonts w:ascii="Arial" w:cs="Arial" w:eastAsia="Arial" w:hAnsi="Arial"/>
          <w:sz w:val="27"/>
          <w:szCs w:val="27"/>
          <w:color w:val="auto"/>
          <w:highlight w:val="black"/>
          <w:vertAlign w:val="superscript"/>
        </w:rPr>
      </w:pPr>
      <w:r>
        <w:rPr>
          <w:rFonts w:ascii="Arial" w:cs="Arial" w:eastAsia="Arial" w:hAnsi="Arial"/>
          <w:sz w:val="16"/>
          <w:szCs w:val="16"/>
          <w:b w:val="1"/>
          <w:bCs w:val="1"/>
          <w:color w:val="auto"/>
        </w:rPr>
        <w:t>For the fiscal year ended December 31, 2021</w:t>
      </w:r>
    </w:p>
    <w:p>
      <w:pPr>
        <w:spacing w:after="0" w:line="50" w:lineRule="exact"/>
        <w:rPr>
          <w:sz w:val="24"/>
          <w:szCs w:val="24"/>
          <w:color w:val="auto"/>
        </w:rPr>
      </w:pPr>
    </w:p>
    <w:p>
      <w:pPr>
        <w:ind w:left="1360" w:right="400" w:hanging="738"/>
        <w:spacing w:after="0" w:line="234" w:lineRule="auto"/>
        <w:tabs>
          <w:tab w:leader="none" w:pos="1360" w:val="left"/>
        </w:tabs>
        <w:numPr>
          <w:ilvl w:val="0"/>
          <w:numId w:val="2"/>
        </w:numPr>
        <w:rPr>
          <w:rFonts w:ascii="MS PGothic" w:cs="MS PGothic" w:eastAsia="MS PGothic" w:hAnsi="MS PGothic"/>
          <w:sz w:val="25"/>
          <w:szCs w:val="25"/>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220"/>
        <w:spacing w:after="0"/>
        <w:tabs>
          <w:tab w:leader="none" w:pos="6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000-30941</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AXCELIS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4080" w:type="dxa"/>
            <w:vAlign w:val="bottom"/>
            <w:gridSpan w:val="2"/>
          </w:tcPr>
          <w:p>
            <w:pPr>
              <w:jc w:val="right"/>
              <w:ind w:right="2559"/>
              <w:spacing w:after="0"/>
              <w:rPr>
                <w:sz w:val="20"/>
                <w:szCs w:val="20"/>
                <w:color w:val="auto"/>
              </w:rPr>
            </w:pPr>
            <w:r>
              <w:rPr>
                <w:rFonts w:ascii="Arial" w:cs="Arial" w:eastAsia="Arial" w:hAnsi="Arial"/>
                <w:sz w:val="18"/>
                <w:szCs w:val="18"/>
                <w:b w:val="1"/>
                <w:bCs w:val="1"/>
                <w:color w:val="auto"/>
              </w:rPr>
              <w:t>34-1818596</w:t>
            </w:r>
          </w:p>
        </w:tc>
      </w:tr>
      <w:tr>
        <w:trPr>
          <w:trHeight w:val="148"/>
        </w:trPr>
        <w:tc>
          <w:tcPr>
            <w:tcW w:w="6140" w:type="dxa"/>
            <w:vAlign w:val="bottom"/>
            <w:gridSpan w:val="3"/>
          </w:tcPr>
          <w:p>
            <w:pPr>
              <w:jc w:val="center"/>
              <w:ind w:left="84"/>
              <w:spacing w:after="0" w:line="149" w:lineRule="exact"/>
              <w:rPr>
                <w:sz w:val="20"/>
                <w:szCs w:val="20"/>
                <w:color w:val="auto"/>
              </w:rPr>
            </w:pPr>
            <w:r>
              <w:rPr>
                <w:rFonts w:ascii="Arial" w:cs="Arial" w:eastAsia="Arial" w:hAnsi="Arial"/>
                <w:sz w:val="14"/>
                <w:szCs w:val="14"/>
                <w:color w:val="auto"/>
                <w:w w:val="94"/>
              </w:rPr>
              <w:t>(State or other jurisdiction</w:t>
            </w:r>
          </w:p>
        </w:tc>
        <w:tc>
          <w:tcPr>
            <w:tcW w:w="4080" w:type="dxa"/>
            <w:vAlign w:val="bottom"/>
            <w:gridSpan w:val="2"/>
          </w:tcPr>
          <w:p>
            <w:pPr>
              <w:jc w:val="center"/>
              <w:ind w:right="197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6140" w:type="dxa"/>
            <w:vAlign w:val="bottom"/>
            <w:gridSpan w:val="3"/>
          </w:tcPr>
          <w:p>
            <w:pPr>
              <w:jc w:val="center"/>
              <w:ind w:left="84"/>
              <w:spacing w:after="0"/>
              <w:rPr>
                <w:sz w:val="20"/>
                <w:szCs w:val="20"/>
                <w:color w:val="auto"/>
              </w:rPr>
            </w:pPr>
            <w:r>
              <w:rPr>
                <w:rFonts w:ascii="Arial" w:cs="Arial" w:eastAsia="Arial" w:hAnsi="Arial"/>
                <w:sz w:val="14"/>
                <w:szCs w:val="14"/>
                <w:color w:val="auto"/>
                <w:w w:val="96"/>
              </w:rPr>
              <w:t>of incorporation or organization)</w:t>
            </w:r>
          </w:p>
        </w:tc>
        <w:tc>
          <w:tcPr>
            <w:tcW w:w="68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268"/>
        </w:trPr>
        <w:tc>
          <w:tcPr>
            <w:tcW w:w="2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900" w:type="dxa"/>
            <w:vAlign w:val="bottom"/>
          </w:tcPr>
          <w:p>
            <w:pPr>
              <w:jc w:val="center"/>
              <w:ind w:left="739"/>
              <w:spacing w:after="0"/>
              <w:rPr>
                <w:sz w:val="20"/>
                <w:szCs w:val="20"/>
                <w:color w:val="auto"/>
              </w:rPr>
            </w:pPr>
            <w:r>
              <w:rPr>
                <w:rFonts w:ascii="Arial" w:cs="Arial" w:eastAsia="Arial" w:hAnsi="Arial"/>
                <w:sz w:val="16"/>
                <w:szCs w:val="16"/>
                <w:b w:val="1"/>
                <w:bCs w:val="1"/>
                <w:color w:val="auto"/>
                <w:w w:val="97"/>
              </w:rPr>
              <w:t>108 Cherry Hill Drive</w:t>
            </w:r>
          </w:p>
        </w:tc>
        <w:tc>
          <w:tcPr>
            <w:tcW w:w="68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07"/>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00" w:type="dxa"/>
            <w:vAlign w:val="bottom"/>
          </w:tcPr>
          <w:p>
            <w:pPr>
              <w:jc w:val="center"/>
              <w:ind w:left="759"/>
              <w:spacing w:after="0"/>
              <w:rPr>
                <w:sz w:val="20"/>
                <w:szCs w:val="20"/>
                <w:color w:val="auto"/>
              </w:rPr>
            </w:pPr>
            <w:r>
              <w:rPr>
                <w:rFonts w:ascii="Arial" w:cs="Arial" w:eastAsia="Arial" w:hAnsi="Arial"/>
                <w:sz w:val="16"/>
                <w:szCs w:val="16"/>
                <w:b w:val="1"/>
                <w:bCs w:val="1"/>
                <w:color w:val="auto"/>
                <w:w w:val="89"/>
              </w:rPr>
              <w:t>Beverly, Massachusetts 01915</w:t>
            </w:r>
          </w:p>
        </w:tc>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6"/>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80" w:type="dxa"/>
            <w:vAlign w:val="bottom"/>
            <w:gridSpan w:val="3"/>
          </w:tcPr>
          <w:p>
            <w:pPr>
              <w:jc w:val="center"/>
              <w:ind w:right="315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280"/>
        </w:trPr>
        <w:tc>
          <w:tcPr>
            <w:tcW w:w="2680" w:type="dxa"/>
            <w:vAlign w:val="bottom"/>
          </w:tcPr>
          <w:p>
            <w:pPr>
              <w:spacing w:after="0"/>
              <w:rPr>
                <w:sz w:val="24"/>
                <w:szCs w:val="24"/>
                <w:color w:val="auto"/>
              </w:rPr>
            </w:pPr>
          </w:p>
        </w:tc>
        <w:tc>
          <w:tcPr>
            <w:tcW w:w="3460" w:type="dxa"/>
            <w:vAlign w:val="bottom"/>
            <w:gridSpan w:val="2"/>
          </w:tcPr>
          <w:p>
            <w:pPr>
              <w:jc w:val="center"/>
              <w:ind w:left="1316"/>
              <w:spacing w:after="0"/>
              <w:rPr>
                <w:sz w:val="20"/>
                <w:szCs w:val="20"/>
                <w:color w:val="auto"/>
              </w:rPr>
            </w:pPr>
            <w:r>
              <w:rPr>
                <w:rFonts w:ascii="Arial" w:cs="Arial" w:eastAsia="Arial" w:hAnsi="Arial"/>
                <w:sz w:val="16"/>
                <w:szCs w:val="16"/>
                <w:b w:val="1"/>
                <w:bCs w:val="1"/>
                <w:color w:val="auto"/>
                <w:w w:val="93"/>
              </w:rPr>
              <w:t>(978) 787-4000</w:t>
            </w:r>
          </w:p>
        </w:tc>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06"/>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80" w:type="dxa"/>
            <w:vAlign w:val="bottom"/>
            <w:gridSpan w:val="3"/>
          </w:tcPr>
          <w:p>
            <w:pPr>
              <w:jc w:val="center"/>
              <w:ind w:right="317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83"/>
        </w:trPr>
        <w:tc>
          <w:tcPr>
            <w:tcW w:w="2680" w:type="dxa"/>
            <w:vAlign w:val="bottom"/>
          </w:tcPr>
          <w:p>
            <w:pPr>
              <w:spacing w:after="0"/>
              <w:rPr>
                <w:sz w:val="24"/>
                <w:szCs w:val="24"/>
                <w:color w:val="auto"/>
              </w:rPr>
            </w:pPr>
          </w:p>
        </w:tc>
        <w:tc>
          <w:tcPr>
            <w:tcW w:w="7540" w:type="dxa"/>
            <w:vAlign w:val="bottom"/>
            <w:gridSpan w:val="4"/>
          </w:tcPr>
          <w:p>
            <w:pPr>
              <w:jc w:val="center"/>
              <w:ind w:right="26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00"/>
        </w:trPr>
        <w:tc>
          <w:tcPr>
            <w:tcW w:w="2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r>
      <w:tr>
        <w:trPr>
          <w:trHeight w:val="196"/>
        </w:trPr>
        <w:tc>
          <w:tcPr>
            <w:tcW w:w="2680" w:type="dxa"/>
            <w:vAlign w:val="bottom"/>
            <w:tcBorders>
              <w:left w:val="single" w:sz="8" w:color="auto"/>
              <w:bottom w:val="single" w:sz="8" w:color="auto"/>
            </w:tcBorders>
          </w:tcPr>
          <w:p>
            <w:pPr>
              <w:jc w:val="center"/>
              <w:ind w:left="484"/>
              <w:spacing w:after="0"/>
              <w:rPr>
                <w:sz w:val="20"/>
                <w:szCs w:val="20"/>
                <w:color w:val="auto"/>
              </w:rPr>
            </w:pPr>
            <w:r>
              <w:rPr>
                <w:rFonts w:ascii="Arial" w:cs="Arial" w:eastAsia="Arial" w:hAnsi="Arial"/>
                <w:sz w:val="16"/>
                <w:szCs w:val="16"/>
                <w:color w:val="auto"/>
                <w:w w:val="90"/>
              </w:rPr>
              <w:t>Title of each class</w:t>
            </w:r>
          </w:p>
        </w:tc>
        <w:tc>
          <w:tcPr>
            <w:tcW w:w="56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93"/>
              </w:rPr>
              <w:t>Trading symbol</w:t>
            </w:r>
          </w:p>
        </w:tc>
        <w:tc>
          <w:tcPr>
            <w:tcW w:w="68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2680" w:type="dxa"/>
            <w:vAlign w:val="bottom"/>
            <w:tcBorders>
              <w:left w:val="single" w:sz="8" w:color="auto"/>
              <w:bottom w:val="single" w:sz="8" w:color="auto"/>
            </w:tcBorders>
          </w:tcPr>
          <w:p>
            <w:pPr>
              <w:jc w:val="center"/>
              <w:ind w:left="464"/>
              <w:spacing w:after="0"/>
              <w:rPr>
                <w:sz w:val="20"/>
                <w:szCs w:val="20"/>
                <w:color w:val="auto"/>
              </w:rPr>
            </w:pPr>
            <w:r>
              <w:rPr>
                <w:rFonts w:ascii="Arial" w:cs="Arial" w:eastAsia="Arial" w:hAnsi="Arial"/>
                <w:sz w:val="16"/>
                <w:szCs w:val="16"/>
                <w:color w:val="auto"/>
                <w:w w:val="91"/>
              </w:rPr>
              <w:t>Common Stock, $.001 par value</w:t>
            </w:r>
          </w:p>
        </w:tc>
        <w:tc>
          <w:tcPr>
            <w:tcW w:w="56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rPr>
              <w:t>ACLS</w:t>
            </w:r>
          </w:p>
        </w:tc>
        <w:tc>
          <w:tcPr>
            <w:tcW w:w="68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66" w:lineRule="exact"/>
        <w:rPr>
          <w:sz w:val="24"/>
          <w:szCs w:val="24"/>
          <w:color w:val="auto"/>
        </w:rPr>
      </w:pPr>
    </w:p>
    <w:p>
      <w:pPr>
        <w:ind w:left="640" w:right="900"/>
        <w:spacing w:after="0" w:line="26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9" w:lineRule="exact"/>
        <w:rPr>
          <w:sz w:val="24"/>
          <w:szCs w:val="24"/>
          <w:color w:val="auto"/>
        </w:rPr>
      </w:pPr>
    </w:p>
    <w:p>
      <w:pPr>
        <w:ind w:left="640"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60" w:lineRule="exact"/>
        <w:rPr>
          <w:sz w:val="24"/>
          <w:szCs w:val="24"/>
          <w:color w:val="auto"/>
        </w:rPr>
      </w:pPr>
    </w:p>
    <w:p>
      <w:pPr>
        <w:ind w:left="640"/>
        <w:spacing w:after="0" w:line="213" w:lineRule="exact"/>
        <w:rPr>
          <w:sz w:val="20"/>
          <w:szCs w:val="20"/>
          <w:color w:val="auto"/>
        </w:rPr>
      </w:pPr>
      <w:r>
        <w:rPr>
          <w:rFonts w:ascii="Arial" w:cs="Arial" w:eastAsia="Arial" w:hAnsi="Arial"/>
          <w:sz w:val="14"/>
          <w:szCs w:val="14"/>
          <w:color w:val="auto"/>
        </w:rPr>
        <w:t xml:space="preserve">Indicate by checkmark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jc w:val="both"/>
        <w:ind w:left="640"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640" w:type="dxa"/>
        <w:tblCellMar>
          <w:top w:w="0" w:type="dxa"/>
          <w:left w:w="0" w:type="dxa"/>
          <w:bottom w:w="0" w:type="dxa"/>
          <w:right w:w="0" w:type="dxa"/>
        </w:tblCellMar>
      </w:tblPr>
      <w:tr>
        <w:trPr>
          <w:trHeight w:val="188"/>
        </w:trPr>
        <w:tc>
          <w:tcPr>
            <w:tcW w:w="1140" w:type="dxa"/>
            <w:vAlign w:val="bottom"/>
          </w:tcPr>
          <w:p>
            <w:pPr>
              <w:spacing w:after="0"/>
              <w:rPr>
                <w:sz w:val="20"/>
                <w:szCs w:val="20"/>
                <w:color w:val="auto"/>
              </w:rPr>
            </w:pPr>
            <w:r>
              <w:rPr>
                <w:rFonts w:ascii="Arial" w:cs="Arial" w:eastAsia="Arial" w:hAnsi="Arial"/>
                <w:sz w:val="14"/>
                <w:szCs w:val="14"/>
                <w:color w:val="auto"/>
                <w:w w:val="99"/>
              </w:rPr>
              <w:t>Large accelerated</w:t>
            </w:r>
          </w:p>
        </w:tc>
        <w:tc>
          <w:tcPr>
            <w:tcW w:w="1600" w:type="dxa"/>
            <w:vAlign w:val="bottom"/>
          </w:tcPr>
          <w:p>
            <w:pPr>
              <w:ind w:left="140"/>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tc>
        <w:tc>
          <w:tcPr>
            <w:tcW w:w="2060" w:type="dxa"/>
            <w:vAlign w:val="bottom"/>
          </w:tcPr>
          <w:p>
            <w:pPr>
              <w:ind w:left="340"/>
              <w:spacing w:after="0" w:line="188" w:lineRule="exact"/>
              <w:rPr>
                <w:sz w:val="20"/>
                <w:szCs w:val="20"/>
                <w:color w:val="auto"/>
              </w:rPr>
            </w:pP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p>
        </w:tc>
        <w:tc>
          <w:tcPr>
            <w:tcW w:w="4000" w:type="dxa"/>
            <w:vAlign w:val="bottom"/>
          </w:tcPr>
          <w:p>
            <w:pPr>
              <w:ind w:left="360"/>
              <w:spacing w:after="0" w:line="188" w:lineRule="exact"/>
              <w:rPr>
                <w:sz w:val="20"/>
                <w:szCs w:val="20"/>
                <w:color w:val="auto"/>
              </w:rPr>
            </w:pPr>
            <w:r>
              <w:rPr>
                <w:rFonts w:ascii="Arial" w:cs="Arial" w:eastAsia="Arial" w:hAnsi="Arial"/>
                <w:sz w:val="14"/>
                <w:szCs w:val="14"/>
                <w:color w:val="auto"/>
                <w:w w:val="97"/>
              </w:rPr>
              <w:t xml:space="preserve">Smaller reporting company </w:t>
            </w:r>
            <w:r>
              <w:rPr>
                <w:rFonts w:ascii="MS PGothic" w:cs="MS PGothic" w:eastAsia="MS PGothic" w:hAnsi="MS PGothic"/>
                <w:sz w:val="12"/>
                <w:szCs w:val="12"/>
                <w:color w:val="auto"/>
                <w:w w:val="97"/>
              </w:rPr>
              <w:t>☐</w:t>
            </w:r>
            <w:r>
              <w:rPr>
                <w:rFonts w:ascii="Arial" w:cs="Arial" w:eastAsia="Arial" w:hAnsi="Arial"/>
                <w:sz w:val="14"/>
                <w:szCs w:val="14"/>
                <w:color w:val="auto"/>
                <w:w w:val="97"/>
              </w:rPr>
              <w:t xml:space="preserve">  Emerging growth company </w:t>
            </w:r>
            <w:r>
              <w:rPr>
                <w:rFonts w:ascii="Arial Unicode MS" w:cs="Arial Unicode MS" w:eastAsia="Arial Unicode MS" w:hAnsi="Arial Unicode MS"/>
                <w:sz w:val="14"/>
                <w:szCs w:val="14"/>
                <w:color w:val="auto"/>
                <w:w w:val="97"/>
              </w:rPr>
              <w:t>☐</w:t>
            </w:r>
          </w:p>
        </w:tc>
      </w:tr>
      <w:tr>
        <w:trPr>
          <w:trHeight w:val="226"/>
        </w:trPr>
        <w:tc>
          <w:tcPr>
            <w:tcW w:w="1140" w:type="dxa"/>
            <w:vAlign w:val="bottom"/>
          </w:tcPr>
          <w:p>
            <w:pPr>
              <w:ind w:left="180"/>
              <w:spacing w:after="0" w:line="188" w:lineRule="exact"/>
              <w:rPr>
                <w:sz w:val="20"/>
                <w:szCs w:val="20"/>
                <w:color w:val="auto"/>
              </w:rPr>
            </w:pPr>
            <w:r>
              <w:rPr>
                <w:rFonts w:ascii="Arial" w:cs="Arial" w:eastAsia="Arial" w:hAnsi="Arial"/>
                <w:sz w:val="14"/>
                <w:szCs w:val="14"/>
                <w:color w:val="auto"/>
              </w:rPr>
              <w:t xml:space="preserve">filer </w:t>
            </w:r>
            <w:r>
              <w:rPr>
                <w:rFonts w:ascii="Arial Unicode MS" w:cs="Arial Unicode MS" w:eastAsia="Arial Unicode MS" w:hAnsi="Arial Unicode MS"/>
                <w:sz w:val="14"/>
                <w:szCs w:val="14"/>
                <w:color w:val="auto"/>
              </w:rPr>
              <w:t>⌧</w:t>
            </w:r>
          </w:p>
        </w:tc>
        <w:tc>
          <w:tcPr>
            <w:tcW w:w="1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00" w:type="dxa"/>
            <w:vAlign w:val="bottom"/>
          </w:tcPr>
          <w:p>
            <w:pPr>
              <w:spacing w:after="0"/>
              <w:rPr>
                <w:sz w:val="19"/>
                <w:szCs w:val="19"/>
                <w:color w:val="auto"/>
              </w:rPr>
            </w:pPr>
          </w:p>
        </w:tc>
      </w:tr>
    </w:tbl>
    <w:p>
      <w:pPr>
        <w:spacing w:after="0" w:line="48" w:lineRule="exact"/>
        <w:rPr>
          <w:sz w:val="24"/>
          <w:szCs w:val="24"/>
          <w:color w:val="auto"/>
        </w:rPr>
      </w:pPr>
    </w:p>
    <w:p>
      <w:pPr>
        <w:ind w:left="640"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59" w:lineRule="exact"/>
        <w:rPr>
          <w:sz w:val="24"/>
          <w:szCs w:val="24"/>
          <w:color w:val="auto"/>
        </w:rPr>
      </w:pPr>
    </w:p>
    <w:p>
      <w:pPr>
        <w:ind w:left="640" w:right="18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0" w:lineRule="exact"/>
        <w:rPr>
          <w:sz w:val="24"/>
          <w:szCs w:val="24"/>
          <w:color w:val="auto"/>
        </w:rPr>
      </w:pPr>
    </w:p>
    <w:p>
      <w:pPr>
        <w:ind w:left="64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99"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Aggregate market value of the voting stock held by non-affiliates of the registrant as of June 30, 2021: $1,333,886,152</w:t>
      </w:r>
    </w:p>
    <w:p>
      <w:pPr>
        <w:spacing w:after="0" w:line="100" w:lineRule="exact"/>
        <w:rPr>
          <w:sz w:val="24"/>
          <w:szCs w:val="24"/>
          <w:color w:val="auto"/>
        </w:rPr>
      </w:pPr>
    </w:p>
    <w:p>
      <w:pPr>
        <w:ind w:left="640"/>
        <w:spacing w:after="0"/>
        <w:rPr>
          <w:sz w:val="20"/>
          <w:szCs w:val="20"/>
          <w:color w:val="auto"/>
        </w:rPr>
      </w:pPr>
      <w:r>
        <w:rPr>
          <w:rFonts w:ascii="Arial" w:cs="Arial" w:eastAsia="Arial" w:hAnsi="Arial"/>
          <w:sz w:val="16"/>
          <w:szCs w:val="16"/>
          <w:color w:val="auto"/>
        </w:rPr>
        <w:t>Number of shares outstanding of the registrant’s Common Stock, $0.001 par value, as of February 23, 2022: 33,251,279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520" w:firstLine="648"/>
        <w:spacing w:after="0" w:line="293" w:lineRule="auto"/>
        <w:rPr>
          <w:sz w:val="20"/>
          <w:szCs w:val="20"/>
          <w:color w:val="auto"/>
        </w:rPr>
      </w:pPr>
      <w:r>
        <w:rPr>
          <w:rFonts w:ascii="Arial" w:cs="Arial" w:eastAsia="Arial" w:hAnsi="Arial"/>
          <w:sz w:val="16"/>
          <w:szCs w:val="16"/>
          <w:color w:val="auto"/>
        </w:rPr>
        <w:t>Portions of the definitive Proxy Statement for Axcelis Technologies, Inc.’s Annual Meeting of Stockholders to be held on May 10, 2022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458470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0"/>
          </w:cols>
          <w:pgMar w:left="840" w:top="823" w:right="8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Axcelis Technologies, Inc. (“Axcelis,” the “Company,” “we,” “us,” or “our”) designs, manufactures and services ion implantation and other processing equipment used in the fabrication of semiconductor chips. We believe that our Purion family of products offers the most innovative implanters available on the market today. We sell to leading semiconductor chip manufacturers worldwide. The ion implantation business represented 97.4% of our revenue in 2021, with the remaining 2.6% of revenue derived from aftermarket sales associated with other legacy processing systems. In addition to equipment, we provide extensive aftermarket lifecycle products and services, including used tools, spare parts, equipment upgrades, maintenance services and customer training.</w:t>
      </w:r>
    </w:p>
    <w:p>
      <w:pPr>
        <w:spacing w:after="0" w:line="19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Axcelis’ business commenced in 1978 and its current corporate entity was incorporated in Delaware in 1995. We are headquartered in Beverly, Massachusetts and maintain an internet site at www.axcelis.com. On or through our website, investors may access, free of charge,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Our website and the information contained therein or connected thereto shall not be deemed to be incorporated into this Form 10-K.</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2021 was an exceptional year for Axcelis despite logistical challenges brought on by the geo-political environment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COVID-19 pandemic. As a result of the strength of the overall electronics market and the continued growth of the Purion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family in 2021, we delivered record full year revenue, operating profit and gross margin since becoming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independent public company in 2001. Revenue for 2021 was $662.4 million, an increase of 39.6% from 2020 revenue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$474.6 million. Systems revenue for 2021 was $454.6 million, compared to $293.6 million in 2020. Operating profit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$127.3 million in 2021, compared to $58.0 million in 2020. Gross margin for the year was 43.2% compared to 41.8% in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year was $98.7 million, an increase of 97.4% following a 39.6% increase in revenue from the prior year.</w:t>
      </w:r>
    </w:p>
    <w:p>
      <w:pPr>
        <w:spacing w:after="0" w:line="23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in a strong competitive position as we participate in a period of extended industry growth. A focused strategy on ion implant, combined with the hard work and dedication of our employees and the encouragement and support of our customers and suppliers, enabled us to achieve numerous critical milestones in our drive to market leadership. We were able to rapidly grow our manufacturing and supply chain capabilities through smart capacity planning and execution, including the opening of our new Axcelis Asia Operations Center in South Korea and the expansion of clean manufacturing in Beverly. In 2021, we continued to expand the Purion installed base, growing our large and diverse group of customers, mainly in the mature process technology segment. We continued our focus on the mature process technology segment in 2021, launching new Purion product extensions, including the Purion H200™ high current implanter, targeted for the production of power devices, and the Purion XEmax™ used to manufacture image sensors. Through the introduction of these new products and continuous cost reduction measures, we increased our gross margin year over year, making this the fourth consecutive year with gross margin greater than 40 percent.</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continue to work diligently to ensure that manufacturing and operating expense levels remain well aligned to business conditions. We believe that the most fundamental interest of our stockholders is consistent, profitable, financial performance, which we expect to continue to deliver in 2022. Our performance is subject to risks and uncertainties discussed below under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Semiconductor chips, also known as integrated circuits, are used in a continuously evolving range of consumer and industrial products, including for example, personal computers, mobile devices, automobiles, sensors and controllers for the “internet of things” and data storage servers. Types of semiconductor chips include dynamic random-access memory (“DRAM”) and “Not AND” (“NAND”) Flash memory; logic devices to process information; and “system on chip” devices (which have both logic and memory features). The increased number of devices providing information to and receiving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2" w:name="page3"/>
    <w:bookmarkEnd w:id="2"/>
    <w:p>
      <w:pPr>
        <w:jc w:val="both"/>
        <w:ind w:right="120"/>
        <w:spacing w:after="0" w:line="311" w:lineRule="auto"/>
        <w:rPr>
          <w:sz w:val="20"/>
          <w:szCs w:val="20"/>
          <w:color w:val="auto"/>
        </w:rPr>
      </w:pPr>
      <w:r>
        <w:rPr>
          <w:rFonts w:ascii="Arial" w:cs="Arial" w:eastAsia="Arial" w:hAnsi="Arial"/>
          <w:sz w:val="16"/>
          <w:szCs w:val="16"/>
          <w:color w:val="auto"/>
        </w:rPr>
        <w:t>information from the Internet, sometimes referred to as the “Connected World,” is increasing demand for chips. These chips are used in data input, such as image sensors, which are often manufactured using mature processing technologies, as well as for memory to support the storage of data, internet streaming and “cloud computing” data analytics.</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Most semiconductor chips are built on silicon wafers of either 200mm (8 inches) or 300mm (12 inches) in diameter. Each semiconductor chip is made up of millions of tiny transistors or “switches” to control the functions of the device. Transistors are created in the silicon wafer by introducing various precisely placed impurities into the silicon in specific patterns.</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Semiconductor chip manufacturers own or manage wafer fabrication facilities (often referred to as “fabs”), which utilize many different types of equipment in the making of integrated circuits. Over 300 process steps utilizing over 50 different types of process tools are required to make a single device like a microprocessor. Semiconductor chip manufacturers seek device performance benefits through new products and technology enhancements and productivity improvements through increased throughput, equipment utilization and higher manufacturing yields. Capacity is added by increasing the amount of manufacturing equipment in existing fabrication facilities and by constructing new fabrication facilities.</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different types of customers, which impacts the timing of purchases and technology requirements. Some customers are integrated electronics manufacturers, making semiconductor chips for their own devices. These same companies may also act as foundries, manufacturing chips for other electronic manufacturers or chip design companies. Some customers only function as foundries. A few companies design and manufacture branded chips that are sold to device manufacturers. In addition, some customers have partnerships or joint ventures with two or more semiconductor chip manufacturers to share the technology development and capital investment. The timing of purchases by foundry customers will depend on their success in securing manufacturing contracts. Also, foundry customers will look for equipment that can deliver the broadest capabilities in order to be prepared to manufacture all chip types, while integrated electronics manufacturers may invest in processing equipment dedicated to a specific application they require for their products.</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semiconductor capital equipment industry has historically been cyclical as global chip production capacities successively exceed, then lag behind, global chip demand. When chip demand is high, and inventories are low, chip manufacturers add capacity through capital equipment purchases. Given the difficulties of forecasting and calibrating chip demand and production capacity, the industry periodically experiences excess chip inventories and softening chip prices. Device manufacturers react with muted capital spending, lowering the demand for capital equipment. Changes in consumer and business demand for products in which chips are used also affect the industry. A successful semiconductor capital equipment manufacturer must not only provide some of the most technically complex products manufactured in the world but also must manage its business to thrive during low points in the cycle.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Axcelis’ Strategy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Axcelis’ 2022 strategic goals are to:</w:t>
      </w:r>
    </w:p>
    <w:p>
      <w:pPr>
        <w:spacing w:after="0" w:line="158" w:lineRule="exact"/>
        <w:rPr>
          <w:sz w:val="20"/>
          <w:szCs w:val="20"/>
          <w:color w:val="auto"/>
        </w:rPr>
      </w:pPr>
    </w:p>
    <w:p>
      <w:pPr>
        <w:ind w:left="680" w:right="20" w:hanging="324"/>
        <w:spacing w:after="0" w:line="258"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our $850M revenue model run rate in 2022, positioning us to achieve our $1 billion revenue model in future years</w:t>
      </w:r>
    </w:p>
    <w:p>
      <w:pPr>
        <w:spacing w:after="0" w:line="1" w:lineRule="exact"/>
        <w:rPr>
          <w:rFonts w:ascii="Arial" w:cs="Arial" w:eastAsia="Arial" w:hAnsi="Arial"/>
          <w:sz w:val="18"/>
          <w:szCs w:val="18"/>
          <w:color w:val="auto"/>
        </w:rPr>
      </w:pPr>
    </w:p>
    <w:p>
      <w:pPr>
        <w:ind w:left="1320" w:right="620" w:hanging="324"/>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Continue to grow the Purion footprint with our existing customer base as well as at new accounts in</w:t>
      </w:r>
      <w:r>
        <w:rPr>
          <w:rFonts w:ascii="Courier New" w:cs="Courier New" w:eastAsia="Courier New" w:hAnsi="Courier New"/>
          <w:sz w:val="18"/>
          <w:szCs w:val="18"/>
          <w:color w:val="auto"/>
        </w:rPr>
        <w:t xml:space="preserve"> </w:t>
      </w:r>
      <w:r>
        <w:rPr>
          <w:rFonts w:ascii="Arial" w:cs="Arial" w:eastAsia="Arial" w:hAnsi="Arial"/>
          <w:sz w:val="18"/>
          <w:szCs w:val="18"/>
          <w:color w:val="auto"/>
        </w:rPr>
        <w:t>targeted market segments and geographies</w:t>
      </w:r>
    </w:p>
    <w:p>
      <w:pPr>
        <w:spacing w:after="0" w:line="1" w:lineRule="exact"/>
        <w:rPr>
          <w:rFonts w:ascii="Arial" w:cs="Arial" w:eastAsia="Arial" w:hAnsi="Arial"/>
          <w:sz w:val="18"/>
          <w:szCs w:val="18"/>
          <w:color w:val="auto"/>
        </w:rPr>
      </w:pPr>
    </w:p>
    <w:p>
      <w:pPr>
        <w:jc w:val="both"/>
        <w:ind w:left="1980" w:right="1820"/>
        <w:spacing w:after="0" w:line="281" w:lineRule="auto"/>
        <w:rPr>
          <w:rFonts w:ascii="Arial" w:cs="Arial" w:eastAsia="Arial" w:hAnsi="Arial"/>
          <w:sz w:val="18"/>
          <w:szCs w:val="18"/>
          <w:color w:val="auto"/>
        </w:rPr>
      </w:pPr>
      <w:r>
        <w:rPr>
          <w:rFonts w:ascii="Arial" w:cs="Arial" w:eastAsia="Arial" w:hAnsi="Arial"/>
          <w:sz w:val="16"/>
          <w:szCs w:val="16"/>
          <w:color w:val="auto"/>
        </w:rPr>
        <w:t>Capitalize on continued spending at mature process technology customers Capture memory business as customers increase spending during the year Continue working to penetrate leading edge logic and foundry customers</w:t>
      </w:r>
    </w:p>
    <w:p>
      <w:pPr>
        <w:ind w:left="1320" w:right="200" w:hanging="316"/>
        <w:spacing w:after="0" w:line="241" w:lineRule="auto"/>
        <w:tabs>
          <w:tab w:leader="none" w:pos="132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Drive Customer Satisfaction &amp; Innovation (CS&amp;I) revenues by delivering excellent customer satisfaction and innovative, high value products and services</w:t>
      </w:r>
    </w:p>
    <w:p>
      <w:pPr>
        <w:spacing w:after="0" w:line="1" w:lineRule="exact"/>
        <w:rPr>
          <w:rFonts w:ascii="Courier New" w:cs="Courier New" w:eastAsia="Courier New" w:hAnsi="Courier New"/>
          <w:sz w:val="18"/>
          <w:szCs w:val="18"/>
          <w:color w:val="auto"/>
        </w:rPr>
      </w:pPr>
    </w:p>
    <w:p>
      <w:pPr>
        <w:ind w:left="1320" w:hanging="316"/>
        <w:spacing w:after="0" w:line="232" w:lineRule="auto"/>
        <w:tabs>
          <w:tab w:leader="none" w:pos="132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Continue to drive gross margin improvements</w:t>
      </w:r>
    </w:p>
    <w:p>
      <w:pPr>
        <w:ind w:left="680" w:right="220" w:hanging="324"/>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a capital strategy that funds appropriate investments in the business and enables the potential for return of cash to shareholders</w:t>
      </w:r>
    </w:p>
    <w:p>
      <w:pPr>
        <w:ind w:left="680" w:hanging="32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for a post-COVID-19 business environment</w:t>
      </w:r>
    </w:p>
    <w:p>
      <w:pPr>
        <w:spacing w:after="0" w:line="21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continue to invest in research and development to ensure our products meet the needs of our customers. We take pride in our scientists and engineers who are adding to our portfolio of patents and unpatented proprietary technology to ensure that our investment in technology leadership translates into unique product advantages. We strive for operational excellence by focusing on ways to lower our product, manufacturing and design costs and to improve our delivery times to our customers. Global customer teams and a focused account management structure maintain and strengthen our customer relationships and increase customer satisfaction. Finally, we endeavor to maintain a strong cash balance to ensure sufficient capital to fund business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Ion Implantation Systems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Ion implantation is a principal step in the transistor formation cycle of the semiconductor chip manufacturing process. Ion implantation is also used to change the material characteristics of the silicon for reasons other than electrical doping, a process known as “material modification.” An ion implanter is a large, technically advanced system that injects dopants such as arsenic, boron or phosphorus into a wafer. These dopants are ionized and therefore have an electrical charge state. This electric charge state allows the dopants to be accelerated, focused and filtered with electric and magnetic fields. Ion implanters use these fields to create a beam of ions with a precisely defined energy level (ranging between several hundred and eight million electron-volts) and with a precisely defined beam current level (ranging from microamps to milliamps). Certain areas of the silicon wafer are blocked off by a polymer material known as photoresist, which acts as a “stencil” to pattern devices so that the dopants will only enter the wafer where needed. Typical process flows require twenty implant steps, with the most advanced processes requiring thirty or more steps. Each implant step is characterized by four key parameters: dopant type, dose (amount of dopant), energy (depth into the silicon) and tilt/twist (angle of wafer relative to the ion beam).</w:t>
      </w:r>
    </w:p>
    <w:p>
      <w:pPr>
        <w:spacing w:after="0" w:line="17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order to efficiently cover the wide range of implant steps, three different types of implanters have been developed, each targeted at a specific range of applications, primarily defined by dose and energy. The three traditional implanter types are referred to as high current, high energy and medium current:</w:t>
      </w:r>
    </w:p>
    <w:p>
      <w:pPr>
        <w:spacing w:after="0" w:line="184" w:lineRule="exact"/>
        <w:rPr>
          <w:sz w:val="20"/>
          <w:szCs w:val="20"/>
          <w:color w:val="auto"/>
        </w:rPr>
      </w:pPr>
    </w:p>
    <w:p>
      <w:pPr>
        <w:ind w:left="1000" w:right="300" w:hanging="3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current implanters were the second type of implanter to emerge, having low energy capability and high dose range.</w:t>
      </w:r>
    </w:p>
    <w:p>
      <w:pPr>
        <w:spacing w:after="0" w:line="170" w:lineRule="exact"/>
        <w:rPr>
          <w:rFonts w:ascii="Arial" w:cs="Arial" w:eastAsia="Arial" w:hAnsi="Arial"/>
          <w:sz w:val="18"/>
          <w:szCs w:val="18"/>
          <w:color w:val="auto"/>
        </w:rPr>
      </w:pPr>
    </w:p>
    <w:p>
      <w:pPr>
        <w:ind w:left="1000" w:hanging="3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High energy implanters emerged to address the need for deeper implants with a high energy range and low dose.</w:t>
      </w:r>
    </w:p>
    <w:p>
      <w:pPr>
        <w:spacing w:after="0" w:line="248" w:lineRule="exact"/>
        <w:rPr>
          <w:rFonts w:ascii="Arial" w:cs="Arial" w:eastAsia="Arial" w:hAnsi="Arial"/>
          <w:sz w:val="16"/>
          <w:szCs w:val="16"/>
          <w:color w:val="auto"/>
        </w:rPr>
      </w:pPr>
    </w:p>
    <w:p>
      <w:pPr>
        <w:ind w:left="1000" w:right="420" w:hanging="3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Medium current implanters are the original model of ion implanter, with mid to low-range energy and dose capability.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The Purion Platform and Family of Ion Implanters</w:t>
      </w:r>
    </w:p>
    <w:p>
      <w:pPr>
        <w:spacing w:after="0" w:line="22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Axcelis offers a complete line of high energy, high current and medium current implanters for all application requirements. Our Purion flagship systems are all based on a common platform which enables a unique combination of implant purity, precision and productivity. Combining a state-of-the-art single wafer end station, with advanced spot beam architectures (that ensures all points across the wafer see the same beam condition at the same beam angle), Purion products enable exceptional process control to optimize device performance and yield, at high productivity.</w:t>
      </w:r>
    </w:p>
    <w:p>
      <w:pPr>
        <w:spacing w:after="0" w:line="172" w:lineRule="exact"/>
        <w:rPr>
          <w:sz w:val="20"/>
          <w:szCs w:val="20"/>
          <w:color w:val="auto"/>
        </w:rPr>
      </w:pPr>
    </w:p>
    <w:p>
      <w:pPr>
        <w:ind w:left="1000" w:right="40" w:hanging="320"/>
        <w:spacing w:after="0" w:line="25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High Current Implant. </w:t>
      </w:r>
      <w:r>
        <w:rPr>
          <w:rFonts w:ascii="Arial" w:cs="Arial" w:eastAsia="Arial" w:hAnsi="Arial"/>
          <w:sz w:val="18"/>
          <w:szCs w:val="18"/>
          <w:color w:val="auto"/>
        </w:rPr>
        <w:t>Our Purion H, Purion Dragon and Purion H200 spot beam, high current systems cover</w:t>
      </w:r>
      <w:r>
        <w:rPr>
          <w:rFonts w:ascii="Arial" w:cs="Arial" w:eastAsia="Arial" w:hAnsi="Arial"/>
          <w:sz w:val="18"/>
          <w:szCs w:val="18"/>
          <w:b w:val="1"/>
          <w:bCs w:val="1"/>
          <w:color w:val="auto"/>
        </w:rPr>
        <w:t xml:space="preserve"> </w:t>
      </w:r>
      <w:r>
        <w:rPr>
          <w:rFonts w:ascii="Arial" w:cs="Arial" w:eastAsia="Arial" w:hAnsi="Arial"/>
          <w:sz w:val="18"/>
          <w:szCs w:val="18"/>
          <w:color w:val="auto"/>
        </w:rPr>
        <w:t>all traditional high current requirements as well as those associated with emerging and future devices. Our Purion high current capabilities extend beyond traditional high current energy and dose ranges, in order to cover new device fabrication requirements as well as to maximize capital utilization and flexibility. In addition, Axcelis’ Purion systems provide advantages for material modification applications, including those requiring hot and cold implant capabilities.</w:t>
      </w:r>
    </w:p>
    <w:p>
      <w:pPr>
        <w:spacing w:after="0" w:line="187" w:lineRule="exact"/>
        <w:rPr>
          <w:rFonts w:ascii="Arial" w:cs="Arial" w:eastAsia="Arial" w:hAnsi="Arial"/>
          <w:sz w:val="18"/>
          <w:szCs w:val="18"/>
          <w:color w:val="auto"/>
        </w:rPr>
      </w:pPr>
    </w:p>
    <w:p>
      <w:pPr>
        <w:ind w:left="1000" w:right="20" w:hanging="320"/>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High Energy Implant. </w:t>
      </w:r>
      <w:r>
        <w:rPr>
          <w:rFonts w:ascii="Arial" w:cs="Arial" w:eastAsia="Arial" w:hAnsi="Arial"/>
          <w:sz w:val="18"/>
          <w:szCs w:val="18"/>
          <w:color w:val="auto"/>
        </w:rPr>
        <w:t>Our Purion XE and other Purion high energy systems combine Axcelis’ production-proven RF Linac high energy, spot beam technology with the Purion platform wafer handling system. Axcelis has been a market leader in high energy ion implanters for many years and continues to offer legacy high energy systems, as well as a range of new Purion systems which have differentiated capabilities for specialty applications.</w:t>
      </w:r>
    </w:p>
    <w:p>
      <w:pPr>
        <w:spacing w:after="0" w:line="183" w:lineRule="exact"/>
        <w:rPr>
          <w:rFonts w:ascii="Arial" w:cs="Arial" w:eastAsia="Arial" w:hAnsi="Arial"/>
          <w:sz w:val="18"/>
          <w:szCs w:val="18"/>
          <w:color w:val="auto"/>
        </w:rPr>
      </w:pPr>
    </w:p>
    <w:p>
      <w:pPr>
        <w:jc w:val="both"/>
        <w:ind w:left="1000" w:right="240" w:hanging="320"/>
        <w:spacing w:after="0" w:line="289"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Medium Current Implant. </w:t>
      </w:r>
      <w:r>
        <w:rPr>
          <w:rFonts w:ascii="Arial" w:cs="Arial" w:eastAsia="Arial" w:hAnsi="Arial"/>
          <w:sz w:val="17"/>
          <w:szCs w:val="17"/>
          <w:color w:val="auto"/>
        </w:rPr>
        <w:t>Our Purion M Si and SiC medium current system offers higher productivity and</w:t>
      </w:r>
      <w:r>
        <w:rPr>
          <w:rFonts w:ascii="Arial" w:cs="Arial" w:eastAsia="Arial" w:hAnsi="Arial"/>
          <w:sz w:val="17"/>
          <w:szCs w:val="17"/>
          <w:b w:val="1"/>
          <w:bCs w:val="1"/>
          <w:color w:val="auto"/>
        </w:rPr>
        <w:t xml:space="preserve"> </w:t>
      </w:r>
      <w:r>
        <w:rPr>
          <w:rFonts w:ascii="Arial" w:cs="Arial" w:eastAsia="Arial" w:hAnsi="Arial"/>
          <w:sz w:val="17"/>
          <w:szCs w:val="17"/>
          <w:color w:val="auto"/>
        </w:rPr>
        <w:t>lower electrical energy consumption compared to competitive offerings, in addition to other advantages. Our Purion M systems also offer differentiated capabilities for specialty applications.</w:t>
      </w:r>
    </w:p>
    <w:p>
      <w:pPr>
        <w:spacing w:after="0" w:line="1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our ion implant products will continue to meet customer demand for advantages in productivity, process performance and technical extendibility.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Aftermarket Support and Services</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Through our CS&amp;I business, we offer our customers extensive aftermarket service and support throughout the lifecycle of the equipment we manufacture. We believe that approximately 2,900 of our products are in use in 28 countries worldwide. The service and support that we provide includes used tools, spare parts, equipment upgrades, and maintenance services. We offer varying levels of sales, service and application support out of our field offices. Revenue generated through our CS&amp;I business represented 31.4%, 38.1% and 40.9% of revenue in 2021, 2020 and 2019, respectively.</w:t>
      </w:r>
    </w:p>
    <w:p>
      <w:pPr>
        <w:spacing w:after="0" w:line="16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support our aftermarket business, we have sales and marketing personnel, field service engineers, and spare parts and applications engineers, as well as employees located at our manufacturing facilities who work with our customers to provide customer training and documentation, and product, process and applications support.</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Most of our customers maintain spare parts inventories for our machines. In addition to our web-based spare parts management and replenishment tracking program, we offer a number of Business-to-Business options to support our customers’ parts management requirements. Our Axcelis Managed Inventory service offering provides the customer with full spares support through a parts consignment arrangement in which Axcelis retains responsibility for the complete supply chain. These services provide ease of use alternatives that reduce order fulfillment costs and improve cycle time, resulting in an expanded customer base for this service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primarily sell our equipment and services through our direct sales force. We conduct sales and marketing activities from our sales offices located in the United States, Taiwan, South Korea, China, Singapore, Japan, Germany and Italy.</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International revenue, including export sales from our U.S. manufacturing facilities to foreign customers and sales by foreign subsidiaries and branches, accounted for 92.6%, 89.3% and 89.4% of total revenue in 2021, 2020 and 2019,</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 w:name="page6"/>
    <w:bookmarkEnd w:id="5"/>
    <w:p>
      <w:pPr>
        <w:ind w:right="80"/>
        <w:spacing w:after="0" w:line="311" w:lineRule="auto"/>
        <w:rPr>
          <w:sz w:val="20"/>
          <w:szCs w:val="20"/>
          <w:color w:val="auto"/>
        </w:rPr>
      </w:pPr>
      <w:r>
        <w:rPr>
          <w:rFonts w:ascii="Arial" w:cs="Arial" w:eastAsia="Arial" w:hAnsi="Arial"/>
          <w:sz w:val="16"/>
          <w:szCs w:val="16"/>
          <w:color w:val="auto"/>
        </w:rPr>
        <w:t>respectively. In 2021, 78.4% of our sales were denominated in U.S. dollars. See Note 17 to our Consolidated Financial Statements contained in Item 15 of this Form 10-K for a breakdown of our revenue and long-lived assets in the United States, Europe and Asia. See also Item 1A, “Risk Factors,” for information about risks attendant to our foreign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2021, according to Gartner Inc., the top 20 semiconductor chip manufacturers accounted for approximately 92.0% of total semiconductor capital equipment spending, which increased from 90.4% in 2020. These manufacturers are from the largest semiconductor chip manufacturing regions in the world: the United States, Asia Pacific (Taiwan, South Korea, Singapore, Japan and China) and Europe.</w:t>
      </w:r>
    </w:p>
    <w:p>
      <w:pPr>
        <w:spacing w:after="0" w:line="187"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Information on net sales to unaffiliated customers is included in Note 2 of Notes to Consolidated Financial Statements. For the year ended December 31, 2021, revenues from Samsung Electronics Co, Ltd. and Semiconductor Manufacturing International Corporation represented 10% or more of consolidated revenues. The loss of either of these customers would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industry continues to experience rapid technological change, requiring us to frequently introduce new products and enhancements. Our Beverly, Massachusetts Advanced Technology Center houses a process development laboratory with a 12,500 square feet class 10/100/1000 clean room for product demonstrations and process development and a 34,000 square feet customer training center. The Advanced Technology Center provides infrastructure and process capabilities that allow customers to test their unique process steps on our systems under conditions that substantially replicate the customers’ production environments. This facility also provides significant capability for our research and development efforts.</w:t>
      </w:r>
    </w:p>
    <w:p>
      <w:pPr>
        <w:spacing w:after="0" w:line="164"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use 3D, computer-aided design, finite element analysis and other computer-based modeling methods to test new designs.</w:t>
      </w:r>
    </w:p>
    <w:p>
      <w:pPr>
        <w:spacing w:after="0" w:line="16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expenses for research and development were $65.4 million, $61.8 million and $53.9 million in 2021, 2020 and 2019, respectively, or 9.9%, 13.0% and 15.7% of revenue,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manufacture products at our 417,000 square feet ISO 9001:2015 and ISO 14001:2015 certified plant in Beverly, Massachusetts. Our facilities employ best in class manufacturing techniques, including lean manufacturing, six sigma controls and advanced inventory management, purchasing and quality systems.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expanded our manufacturing capabilities in November 2021, with the opening of our new Axcelis Asia Operations Center in South Korea. This facility has 38,000 square feet and is designed to bring production closer to our Asia-based customers, driving customer satisfaction and operating efficiencies.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clean manufacturing process uses class 1,000/10,000 space to facilitate most of our manufacturing requirements.</w:t>
      </w:r>
    </w:p>
    <w:p>
      <w:pPr>
        <w:spacing w:after="0" w:line="248"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Our core competency in manufacturing and supply chain management is built around system assembly and testing, which remains an in-house capability due to the high degree of expertise and intellectual property associated with the process and design. Non-core work is sourced to global partners and includes items such as vacuum systems, wafer handling and commodity-level components. We continuously pursue outsourcing opportunities where the economics are justified, with a goal of enabling quality and margin improvement. Our supply chain team is globally focused and is located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 w:name="page7"/>
    <w:bookmarkEnd w:id="6"/>
    <w:p>
      <w:pPr>
        <w:ind w:right="340"/>
        <w:spacing w:after="0" w:line="277" w:lineRule="auto"/>
        <w:rPr>
          <w:sz w:val="20"/>
          <w:szCs w:val="20"/>
          <w:color w:val="auto"/>
        </w:rPr>
      </w:pPr>
      <w:r>
        <w:rPr>
          <w:rFonts w:ascii="Arial" w:cs="Arial" w:eastAsia="Arial" w:hAnsi="Arial"/>
          <w:sz w:val="18"/>
          <w:szCs w:val="18"/>
          <w:color w:val="auto"/>
        </w:rPr>
        <w:t>in Beverly and Singapore. Customized and commercially available software solutions drive our planning, purchasing and inventory tracking process.</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products are designed to be assembled and tested in a modular fashion, which facilitates our industry-recognized “ship-from-cell” process. Specially developed test stands, software and tooling provide the framework for this accelerated delivery process. Customers that choose the “ship-from-cell” process substantially improve their delivery times while receiving the same high level of quality provided by more traditional, longer cycle integration techniques. Product margins and inventory turns also improve as a result of shorter factory cycle times and increased labor productivity.</w:t>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Installation of our equipment is provided by factory and field teams. The process includes assembling the equipment at our installation site, and after it has been connected, recalibrating it to factory specifications.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semiconductor equipment industry is highly competitive and is characterized by a small number of participants ranging in size. Significant competitive factors in the semiconductor capital equipment market include price, cost of ownership, equipment performance, customer support, capabilities and breadth of product line.</w:t>
      </w:r>
    </w:p>
    <w:p>
      <w:pPr>
        <w:spacing w:after="0" w:line="165"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In ion implantation, we mainly compete against Applied Materials, Inc. Axcelis and Applied Materials are the only ion implant manufacturers with a full range of implant products, as well as service and support infrastructures able to service our customers globally. Other non-U.S. players we compete with include Sumitomo Heavy Industries Ion Technology Co.</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Ltd. and Nissin Ion Equipment Co., Ltd in Japan, Advanced Ion Beam Technology, Inc. in Taiwan, as well as CETC Electronics Equipment Group Co., Ltd. in the People’s Republic of China. Non-U.S. suppliers may have an advantage over U.S. suppliers established U.S. export controls regulation for shipments to China.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rely on patent, copyright, trademark and trade secret protection in the United States and in other countries, as well as contractual restrictions, to protect our proprietary rights in our products and our business. As of December 31, 2021, we had 214 active patents issued in the United States and 438 active patents granted in other countries, as well as 226 patent applications (25 in the United States and 201 in other countries) on file with various patent agencies worldwide. Patents are generally in effect for up to 20 years from the filing of the application.</w:t>
      </w:r>
    </w:p>
    <w:p>
      <w:pPr>
        <w:spacing w:after="0" w:line="176"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spacing w:after="0" w:line="18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have trademarks, both registered and unregistered, that are maintained to provide customer recognition for our products in the marketplace. Trademark registrations generally remain in effect as long as the trademarks are in use. From time to time, we enter into license agreements with third parties under which we obtain or grant rights to patented or proprietary technology. We do not believe that any of our licenses are currently material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Systems backlog, including deferred systems revenue, was $460.6 million and $116.2 million as of December 31, 2021 and 2020, respectively. We believe it is meaningful to investors to include deferred systems revenue as part of our backlog. Deferred systems revenue represents revenue that will be recognized in future periods based on prior shipments or customer prepayments. Our policy is to include in backlog only those system orders for which we have accepted purchase orders. All orders are subject to cancellations or rescheduling by customers with limited or no penalties.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25" w:right="1439" w:bottom="1440" w:gutter="0" w:footer="0" w:header="0"/>
        </w:sectPr>
      </w:pPr>
    </w:p>
    <w:bookmarkStart w:id="7" w:name="page8"/>
    <w:bookmarkEnd w:id="7"/>
    <w:p>
      <w:pPr>
        <w:ind w:right="120" w:firstLine="648"/>
        <w:spacing w:after="0" w:line="259" w:lineRule="auto"/>
        <w:rPr>
          <w:sz w:val="20"/>
          <w:szCs w:val="20"/>
          <w:color w:val="auto"/>
        </w:rPr>
      </w:pPr>
      <w:r>
        <w:rPr>
          <w:rFonts w:ascii="Arial" w:cs="Arial" w:eastAsia="Arial" w:hAnsi="Arial"/>
          <w:sz w:val="18"/>
          <w:szCs w:val="18"/>
          <w:color w:val="auto"/>
        </w:rPr>
        <w:t>Backlog does not include orders received and fulfilled within a quarter. Our backlog at the beginning of a quarter typically does not include all orders required to achieve our sales objectives for that quarter. Backlog is not necessarily an indicator of future business trends because orders for services or parts received during the quarter are generally performed or shipped within the same quarter.</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Bookings in the quarter ended December 31, 2021 were $194.0 million compared to $131.5 million in the quarter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December 31, 2021, we had 1,122 employees and 73 temporary staff worldwide, of which 831 work in North America, 301 in Asia and 63 in Europe. During 2021, our headcount increased by approximately 14% to support our increased business during the year. While the majority of our headcount is based in the U.S. at our main manufacturing facility in Beverly, MA, our business requires our presence where our customers are located around the world, resulting in Axcelis employees working in 28 different countries.</w:t>
      </w:r>
    </w:p>
    <w:p>
      <w:pPr>
        <w:spacing w:after="0" w:line="21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future success largely depends upon our continued ability to attract and retain highly skilled employees. We provide competitive compensation and benefits programs. In addition to salaries, these programs (which vary by country and region) include cash incentive programs and recognition bonuses, equity awards, an Employee Stock Purchase Plan, a 401(k) plan with a competitive employer match, healthcare and insurance benefits, health savings and flexible spending accounts, paid time off, family leave, family care resources, flexible work schedules, employee assistance programs, and tuition assistance. These programs all contribute to both attracting and retaining a highly skilled employee base, including those with critical leadership and industry skills and experience.</w:t>
      </w:r>
    </w:p>
    <w:p>
      <w:pPr>
        <w:spacing w:after="0" w:line="17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During 2021, our voluntary turnover rate for employees was 8.1%, or 6.9% without retirements, well below the worldwide technology industry (all reported) average of 18.2% reported in the Aon 2021 Salary Increase and Turnover Study — Second Edition, September 2021.</w:t>
      </w:r>
    </w:p>
    <w:p>
      <w:pPr>
        <w:spacing w:after="0" w:line="18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success of our business is fundamentally connected to the well-being of our people. Accordingly, we are committed to the health, safety and wellness of our employees. We provide our employees and their families with access to health and wellness insurance and programs that offer choice where possible so they can customize their benefits to meet their needs and the needs of their families. In response to the ongoing COVID-19 pandemic, we have implemented significant changes that we determined were in the best interest of our employees, as well as the communities in which we operate, and which comply with government regulations. This includes having those employees that could productively work from home continue to do so, while implementing additional safety measures for employees continuing critical on-site work.</w:t>
      </w:r>
    </w:p>
    <w:p>
      <w:pPr>
        <w:spacing w:after="0" w:line="16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Axcelis is dedicated to building a diverse workforce, fostering a culture built on the principle of inclusion, and maintaining a workplace free from discrimination. We strongly believe that a diversity of experience, perspectives and backgrounds will lead to a better environment for our employees and better products for our customers. Axcelis’ commitment to diversity extends to our Board of Directors, our leadership team and all teams and functions across our global locations.</w:t>
      </w:r>
    </w:p>
    <w:p>
      <w:pPr>
        <w:spacing w:after="0" w:line="15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encourage you to review the “Focus on Diversity” report (located in the “Investors” and “About Us” sections of our Axcelis.com website) for more detailed information regarding diversity and inclusion at Axcelis. Nothing on our website, including our Focus on Diversity Report or sections thereof, shall be deemed incorporated by reference into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8" w:name="page9"/>
    <w:bookmarkEnd w:id="8"/>
    <w:p>
      <w:pPr>
        <w:jc w:val="both"/>
        <w:ind w:right="220" w:firstLine="648"/>
        <w:spacing w:after="0" w:line="311" w:lineRule="auto"/>
        <w:rPr>
          <w:sz w:val="20"/>
          <w:szCs w:val="20"/>
          <w:color w:val="auto"/>
        </w:rPr>
      </w:pPr>
      <w:r>
        <w:rPr>
          <w:rFonts w:ascii="Arial" w:cs="Arial" w:eastAsia="Arial" w:hAnsi="Arial"/>
          <w:sz w:val="16"/>
          <w:szCs w:val="16"/>
          <w:color w:val="auto"/>
        </w:rPr>
        <w:t>We are proud of our commitment to improving our environment. We believe that our operations are in compliance with applicable environmental laws and regulations and that there are no pending environmental matters that would have a material impact on our business. We are ISO 9001:2015 and ISO 14001:2015 certified at our Beverly, MA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Mary G. Puma, </w:t>
      </w:r>
      <w:r>
        <w:rPr>
          <w:rFonts w:ascii="Arial" w:cs="Arial" w:eastAsia="Arial" w:hAnsi="Arial"/>
          <w:sz w:val="16"/>
          <w:szCs w:val="16"/>
          <w:color w:val="auto"/>
        </w:rPr>
        <w:t>64, has been our President and Chief Executive Officer since January 2002, having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from 2005 to 2015. From May 2000 until January 2002, Ms. Puma was our President and Chief Operating Officer. In 1998, she became General Manager and Vice President of the Implant Systems Division of Eaton Corporation, a global diversified industrial manufacturer. In May 1996, she joined Eaton as General Manager of the Commercial Controls Division. Prior to joining Eaton, Ms. Puma spent 15 years in various marketing and general management positions for General Electric Company. Ms. Puma is a director of Nordson Corporation and Semiconductor Equipment and Materials International (SEMI).</w:t>
      </w:r>
    </w:p>
    <w:p>
      <w:pPr>
        <w:spacing w:after="0" w:line="9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Kevin J. Brewer, </w:t>
      </w:r>
      <w:r>
        <w:rPr>
          <w:rFonts w:ascii="Arial" w:cs="Arial" w:eastAsia="Arial" w:hAnsi="Arial"/>
          <w:sz w:val="16"/>
          <w:szCs w:val="16"/>
          <w:color w:val="auto"/>
        </w:rPr>
        <w:t>63, became our Executive Vice President and Chief Financial Officer in September 2013, having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interim Chief Financial Officer beginning in June 2013. Mr. Brewer also manages our Global Operations.</w:t>
      </w:r>
    </w:p>
    <w:p>
      <w:pPr>
        <w:spacing w:after="0" w:line="252" w:lineRule="auto"/>
        <w:rPr>
          <w:sz w:val="20"/>
          <w:szCs w:val="20"/>
          <w:color w:val="auto"/>
        </w:rPr>
      </w:pPr>
      <w:r>
        <w:rPr>
          <w:rFonts w:ascii="Arial" w:cs="Arial" w:eastAsia="Arial" w:hAnsi="Arial"/>
          <w:sz w:val="18"/>
          <w:szCs w:val="18"/>
          <w:color w:val="auto"/>
        </w:rPr>
        <w:t>Mr. Brewer had previously been our Executive Vice President, Global Operations since 2008 and our Senior Vice President, Manufacturing Operations since May 2005, prior to which he had been Vice President of Manufacturing Operations since October 2002 and Director of Operations from 1999 to 2002. Prior to joining Axcelis in 1999, Mr. Brewer was Director of Operations, Business Jets at Raytheon Aircraft Company, a leading manufacturer of business and special mission aircraft owned by Raytheon Company, a manufacturer of defense, government and commercial electronics, as well as aircraft. Prior to that, Mr. Brewer held various management positions in operations and strategic planning in Raytheon Company’s Electronic Systems and Missile Systems groups.</w:t>
      </w:r>
    </w:p>
    <w:p>
      <w:pPr>
        <w:spacing w:after="0" w:line="1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b w:val="1"/>
          <w:bCs w:val="1"/>
          <w:i w:val="1"/>
          <w:iCs w:val="1"/>
          <w:color w:val="auto"/>
        </w:rPr>
        <w:t xml:space="preserve">Russell J. Low, </w:t>
      </w:r>
      <w:r>
        <w:rPr>
          <w:rFonts w:ascii="Arial" w:cs="Arial" w:eastAsia="Arial" w:hAnsi="Arial"/>
          <w:sz w:val="17"/>
          <w:szCs w:val="17"/>
          <w:color w:val="auto"/>
        </w:rPr>
        <w:t>Ph.D.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51, became our Executive Vice President, Global Customer and Engineering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January 1, 2021, having served as Executive Vice President, Engineering since joining Axcelis in October 2016. Prior to joining the Company, Dr. Low held the position of Vice President of Engineering, MOCVD Business Unit at Veeco Instruments since 2013, prior to which he was Veeco’s Senior Director of Engineering, Molecular Beam Epitaxy Business Unit beginning in 2012. From 2003 to 2012, Dr. Low held a number of positions at Varian Semiconductor Equipment Associates, most recently as Director of Technology. Prior to that, Dr. Low held engineering positions in the thermal processing and ion implant divisions of Applied Materials, Inc. from 1997 to 2003.</w:t>
      </w:r>
    </w:p>
    <w:p>
      <w:pPr>
        <w:spacing w:after="0" w:line="11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William Bintz, </w:t>
      </w:r>
      <w:r>
        <w:rPr>
          <w:rFonts w:ascii="Arial" w:cs="Arial" w:eastAsia="Arial" w:hAnsi="Arial"/>
          <w:sz w:val="17"/>
          <w:szCs w:val="17"/>
          <w:color w:val="auto"/>
        </w:rPr>
        <w:t>65, is our Executive Vice President, Product Development since November 2016. From 2011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2016, Mr. Bintz served as Executive Vice President, Product Development, Engineering and Marketing. Prior to that, he served as Senior Vice President, Marketing beginning in September 2007, after joining Axcelis in early 2006 as Director of Marketing for curing and cleaning products and shortly thereafter becoming Vice President of Product Marketing. Prior to joining Axcelis, from 2002 Mr. Bintz was Product Director for Medium Current and High Energy Ion Implant System at Varian Semiconductor Equipment Associates, Inc. Before that, he was General Manager of the Materials Delivery Products Group at MKS Instruments, beginning in 1999, and General Manager of the Thermal Processing Systems Division at Eaton Corporation (now Axcelis) beginning in 1995.</w:t>
      </w:r>
    </w:p>
    <w:p>
      <w:pPr>
        <w:spacing w:after="0" w:line="11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b w:val="1"/>
          <w:bCs w:val="1"/>
          <w:i w:val="1"/>
          <w:iCs w:val="1"/>
          <w:color w:val="auto"/>
        </w:rPr>
        <w:t xml:space="preserve">Lynnette C. Fallon, </w:t>
      </w:r>
      <w:r>
        <w:rPr>
          <w:rFonts w:ascii="Arial" w:cs="Arial" w:eastAsia="Arial" w:hAnsi="Arial"/>
          <w:sz w:val="16"/>
          <w:szCs w:val="16"/>
          <w:color w:val="auto"/>
        </w:rPr>
        <w:t>62, is our Executive Vice President, Human Resources/Legal and General Counsel, a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 has held since May 2005. Prior to that, Ms. Fallon was Senior Vice President HR/Legal and General Counsel since 2002, and Senior Vice President and General Counsel since 2001. Ms. Fallon has also been our corporate Secretary since 2001. Before joining Axcelis, Ms. Fallon was a partner in the Boston law firm of Palmer &amp; Dodge LLP since 1992, where she was head of the Business Law Department from 1997 to 2001. Ms. Fallon is a director of ClearPoint Neuro, Inc.</w:t>
      </w:r>
    </w:p>
    <w:p>
      <w:pPr>
        <w:spacing w:after="0" w:line="9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b w:val="1"/>
          <w:bCs w:val="1"/>
          <w:i w:val="1"/>
          <w:iCs w:val="1"/>
          <w:color w:val="auto"/>
        </w:rPr>
        <w:t xml:space="preserve">Douglas A. Lawson, </w:t>
      </w:r>
      <w:r>
        <w:rPr>
          <w:rFonts w:ascii="Arial" w:cs="Arial" w:eastAsia="Arial" w:hAnsi="Arial"/>
          <w:sz w:val="17"/>
          <w:szCs w:val="17"/>
          <w:color w:val="auto"/>
        </w:rPr>
        <w:t>61, has been our Executive Vice President, Corporate Marketing and Strategy since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having joined Axcelis as Vice President Business Development in 2010, and holding the position of Senior Vice President of Strategic Initiatives beginning in 2011. Mr. Lawson also manages our Information Technology function. Prior to joining the Company in 2010, he held the position of General Manager of Luminus Devices from 2009 to 2010. He has over 30 years of experience in the technology industry and has held numerous executive and technical positions at BTU International, PRI Automation, Digital Equipment and Intel.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274" w:right="1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jc w:val="both"/>
        <w:ind w:right="600" w:firstLine="648"/>
        <w:spacing w:after="0" w:line="259" w:lineRule="auto"/>
        <w:rPr>
          <w:sz w:val="20"/>
          <w:szCs w:val="20"/>
          <w:color w:val="auto"/>
        </w:rPr>
      </w:pPr>
      <w:r>
        <w:rPr>
          <w:rFonts w:ascii="Arial" w:cs="Arial" w:eastAsia="Arial" w:hAnsi="Arial"/>
          <w:sz w:val="18"/>
          <w:szCs w:val="18"/>
          <w:color w:val="auto"/>
        </w:rPr>
        <w:t>Set forth below and elsewhere in this Form 10-K and in other documents we file with the SEC are risks and uncertainties that could cause actual results to differ materially from the results contemplated by the forward-looking statements contained in this Form 10-K. It is not possible to predict or identify all such risk factors. Consequently, the following is not a complete discussion of all potential risks or uncertainties.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semiconductor chip manufacturers do not make sufficient capital expenditures, our sales and profitability will be harmed.</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New systems orders and used tool sales depend upon demand from semiconductor chip manufacturers who build or expand fabrication facilities. When the rate of construction or expansion of fabrication facilities declines, demand for our systems will decline, reducing our revenue. In addition, all or a portion of the demand for increased capacity may be satisfied by a semiconductor chip manufacturer’s ability to reconfigure and re-use equipment they already own. Revenue decline also hurts our profitability because our established cost structure and our continued investments in engineering, research and development and marketing necessary to develop new products and to maintain extensive customer service and support capabilities limit our ability to reduce expenses in proportion to declining sales.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reliable new or enhanced products and services that meet the needs of semiconductor chip manufacturers, our results will suffer.</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Rapid technological changes in semiconductor chip manufacturing processes require us to respond quickly to changing customer requirements. Our future success will depend in part upon our ability to develop, manufacture and successfully introduce new systems and product lines with improved capabilities. This will depend upon a variety of factors, including new product selection, timely and efficient completion of product design and development as well as manufacturing and assembly processes, product performance in the field and effective sales and marketing. In particular:</w:t>
      </w:r>
    </w:p>
    <w:p>
      <w:pPr>
        <w:spacing w:after="0" w:line="161" w:lineRule="exact"/>
        <w:rPr>
          <w:sz w:val="20"/>
          <w:szCs w:val="20"/>
          <w:color w:val="auto"/>
        </w:rPr>
      </w:pPr>
    </w:p>
    <w:p>
      <w:pPr>
        <w:ind w:left="1000" w:right="380" w:hanging="320"/>
        <w:spacing w:after="0" w:line="34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must continue to develop competitive technical specifications for new systems, or enhancements to our existing systems, and manufacture and ship these systems or enhancements in volume in a timely manner.</w:t>
      </w:r>
    </w:p>
    <w:p>
      <w:pPr>
        <w:spacing w:after="0" w:line="123" w:lineRule="exact"/>
        <w:rPr>
          <w:rFonts w:ascii="Arial" w:cs="Arial" w:eastAsia="Arial" w:hAnsi="Arial"/>
          <w:sz w:val="16"/>
          <w:szCs w:val="16"/>
          <w:color w:val="auto"/>
        </w:rPr>
      </w:pPr>
    </w:p>
    <w:p>
      <w:pPr>
        <w:ind w:left="1000" w:right="340" w:hanging="320"/>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accurately predict the schedule on which our customers will be ready to transition to new products, in order to accurately forecast demand for new products while managing the transition from older products.</w:t>
      </w:r>
    </w:p>
    <w:p>
      <w:pPr>
        <w:spacing w:after="0" w:line="183" w:lineRule="exact"/>
        <w:rPr>
          <w:rFonts w:ascii="Arial" w:cs="Arial" w:eastAsia="Arial" w:hAnsi="Arial"/>
          <w:sz w:val="18"/>
          <w:szCs w:val="18"/>
          <w:color w:val="auto"/>
        </w:rPr>
      </w:pPr>
    </w:p>
    <w:p>
      <w:pPr>
        <w:ind w:left="1000" w:right="60" w:hanging="320"/>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effectively manage product reliability or quality problems that often exist with new systems, in order to avoid higher manufacturing costs, delays in acceptance and payment and additional service and warranty expenses, and ultimately, a lack of repeat orders.</w:t>
      </w:r>
    </w:p>
    <w:p>
      <w:pPr>
        <w:spacing w:after="0" w:line="183" w:lineRule="exact"/>
        <w:rPr>
          <w:rFonts w:ascii="Arial" w:cs="Arial" w:eastAsia="Arial" w:hAnsi="Arial"/>
          <w:sz w:val="18"/>
          <w:szCs w:val="18"/>
          <w:color w:val="auto"/>
        </w:rPr>
      </w:pPr>
    </w:p>
    <w:p>
      <w:pPr>
        <w:ind w:left="1000" w:hanging="3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new products must be accepted in the marketplace.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failure to meet any of these requirements will have a material adverse effect on our operating results and profitability.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Axcelis is subject to the risks of operating internationally: we derive a substantial portion of our revenue from outside the United States, especially from Asia.</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substantially dependent on sales of our products and services to customers outside the United States. International sales, including export sales from our U.S. manufacturing facilities to non-U.S. customers and sales by our non-U.S. subsidiaries, accounted for 92.6% of total revenue in 2021. Customers based in Asia dominates our international sales. Ion implanter system shipments to customers in Asia represented 83.9% of total system revenue in 2021. We anticipate that international sales will continue to account for a significant portion of our revenue. In particular, we expect that sales to Chinese customers (both global and domestic Chinese chip manufacturers) will continue to increase in coming years, creating both risk and opportunity. Sales to Chinese customers represent a higher risk than some other international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21" w:right="1439" w:bottom="1440" w:gutter="0" w:footer="0" w:header="0"/>
        </w:sectPr>
      </w:pPr>
    </w:p>
    <w:bookmarkStart w:id="10" w:name="page11"/>
    <w:bookmarkEnd w:id="10"/>
    <w:p>
      <w:pPr>
        <w:ind w:right="60"/>
        <w:spacing w:after="0" w:line="289" w:lineRule="auto"/>
        <w:rPr>
          <w:sz w:val="20"/>
          <w:szCs w:val="20"/>
          <w:color w:val="auto"/>
        </w:rPr>
      </w:pPr>
      <w:r>
        <w:rPr>
          <w:rFonts w:ascii="Arial" w:cs="Arial" w:eastAsia="Arial" w:hAnsi="Arial"/>
          <w:sz w:val="16"/>
          <w:szCs w:val="16"/>
          <w:color w:val="auto"/>
        </w:rPr>
        <w:t>locations because of trade tensions between the United States government and the Chinese government, and other challenges reflecting China’s stage of development, including public health concerns and rapid growth. For example, in 2020, the United States Commerce Department placed one of our major Chinese customers on the U.S. export controls Entity List. As a result, we are currently required to obtain export controls licenses for all shipments from the U.S. to this customer. This situation temporarily delayed shipments and resulted in the risk that this customer (and potentially other Chinese customers) would change suppliers to non-US vendors, such as Advanced Ion Beam Technology, Inc., Nissin Ion Equipment Co., Ltd. and Sumitomo Heavy Industries Ion Technology Co., Ltd. In addition, a Chinese entity, known as CETC Electronics Equipment Group Co., Ltd., is developing ion implanters for the Chinese domestic market. The loss of a significant customer or any reduction or delays in our ability to ship to any significant customer will adversely affect us.</w:t>
      </w:r>
    </w:p>
    <w:p>
      <w:pPr>
        <w:spacing w:after="0" w:line="16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source a substantial portion of our materials from outside of the United States. Because of our dependence upon international sales and our global supply chain, our results and prospects may be adversely affected by a number of factors, including:</w:t>
      </w:r>
    </w:p>
    <w:p>
      <w:pPr>
        <w:spacing w:after="0" w:line="184" w:lineRule="exact"/>
        <w:rPr>
          <w:sz w:val="20"/>
          <w:szCs w:val="20"/>
          <w:color w:val="auto"/>
        </w:rPr>
      </w:pPr>
    </w:p>
    <w:p>
      <w:pPr>
        <w:ind w:left="1000" w:right="620" w:hanging="320"/>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 resulting in more burdensome governmental controls, tariffs, restrictions, embargoes or export license requirements;</w:t>
      </w:r>
    </w:p>
    <w:p>
      <w:pPr>
        <w:spacing w:after="0" w:line="1"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9"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1000" w:right="500" w:hanging="320"/>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health emergencies, such as the COVID-19 pandemic, which have the potential to disrupt our manufacturing operations and those of our supply chain, as well as cause our customers to delay or cancel shipments;</w:t>
      </w:r>
    </w:p>
    <w:p>
      <w:pPr>
        <w:spacing w:after="0" w:line="1"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accounts receivable collections;</w:t>
      </w:r>
    </w:p>
    <w:p>
      <w:pPr>
        <w:spacing w:after="0" w:line="9"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extended payment terms beyond those customarily offered in the United States;</w:t>
      </w:r>
    </w:p>
    <w:p>
      <w:pPr>
        <w:spacing w:after="0" w:line="9"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suppliers, service providers or representatives outside of the United States;</w:t>
      </w:r>
    </w:p>
    <w:p>
      <w:pPr>
        <w:spacing w:after="0" w:line="9"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subsidiary operations; and</w:t>
      </w:r>
    </w:p>
    <w:p>
      <w:pPr>
        <w:spacing w:after="0" w:line="9" w:lineRule="exact"/>
        <w:rPr>
          <w:rFonts w:ascii="Arial" w:cs="Arial" w:eastAsia="Arial" w:hAnsi="Arial"/>
          <w:sz w:val="18"/>
          <w:szCs w:val="18"/>
          <w:color w:val="auto"/>
        </w:rPr>
      </w:pPr>
    </w:p>
    <w:p>
      <w:pPr>
        <w:ind w:left="1000" w:hanging="3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dependence upon suppliers for many components and sub-assemblies could result in increased costs or delays in the manufacture and sale of our products.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rely to a substantial extent on outside vendors to manufacture many of the components and sub-assemblies of our products. We obtain many of these components and sub-assemblies from a limited group of suppliers. Accordingly, based on situations outside of our control, we may be unable to obtain an adequate supply of required components on a timely basis, on price and other terms acceptable to us, or at all. In addition, we often quote prices to our customers and accept customer orders for our products before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 negatively impacting our gross margin.</w:t>
      </w:r>
    </w:p>
    <w:p>
      <w:pPr>
        <w:spacing w:after="0" w:line="166"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The manufacture of some of these components and sub-assemblies is an extremely complex process and requires long lead times. As a result, we could experience delays or shortages. If we are unable to obtain adequate and timely deliveries of our required components or sub-assemblies, we may have to seek alternative sources of supply or manufacture these components internally. This could delay our ability to manufacture or to ship our systems on a timely basis, causing us to lose sales, incur additional costs, delay new product introductions and suffer harm to our reputation.</w:t>
      </w:r>
    </w:p>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Moreover, if actual demand for Axcelis’ products is different than expected, Axcelis may purchase more or fewer parts than necessary or incur costs for canceling, postponing or expediting delivery of parts. If Axcelis purchases inventory in anticipation of customer demand that does not materialize, or if customers reduce or delay orders, Axcelis may incur excess inventory charges.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5"/>
          <w:szCs w:val="15"/>
          <w:b w:val="1"/>
          <w:bCs w:val="1"/>
          <w:i w:val="1"/>
          <w:iCs w:val="1"/>
          <w:color w:val="auto"/>
        </w:rPr>
        <w:t>A significant portion of our revenue depends on customers electing to buy aftermarket products and services from Axcelis.</w:t>
      </w:r>
    </w:p>
    <w:p>
      <w:pPr>
        <w:spacing w:after="0" w:line="26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Historically, a significant portion of our product revenue and all of our service revenue relates to our sale of “aftermarket” products and services, which include parts, consumables, upgrades, service contracts, and time and materials billings. Some of our customers purchase fewer aftermarket products and services, often training their own staff to maintain and service semiconductor capital equipment rather than relying on the equipment manufacturer for these services. In addition, we compete against third-party parts suppliers for the sale of parts and consumables that are not protected by patents or otherwise proprietary. To the extent our customers purchase parts and services from other vendors or provide their own system maintenance labor, our revenue and profitability will be reduced.</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compete successfully in the highly competitive semiconductor capital equipment industry, our sales and profitability will decline.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ion implant segment is highly competitive and includes one company with substantially greater financial, engineering, manufacturing, marketing and customer service and support resources that may better position it to compete successfully than we can, as well as several smaller companies that could provide innovative systems with technology that may have performance advantages.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Finally, if we must lower prices to remain competitive without commensurate cost of goods savings, our gross margin and profitability will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dependent on sales to a limited number of large customers; the loss of a significant customer or any reduction in orders from them could materially affect our sales.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Historically, we have sold a significant portion of our products and services to a limited number of semiconductor chip manufacturers. In 2021, our top ten customers accounted for 69.5% of our net sales, in comparison to 74.0% and 74.1% in 2020 and 2019, respectively. None of our customers have entered into a long-term agreement requiring it to purchase our products. Although the composition of the group comprising our largest customers has varied from year to year, the loss of a significant customer or any reduction or delays in orders from any significant customer will adversely affect us. Consolidation of semiconductor chip manufacturers may result in the loss of a customer.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currency risk.</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Substantially all of our sales are billed in U.S. dollars, thereby reducing the impact of fluctuations in foreign exchange rates on our results. We also pay almost all non-U.S. vendors providing materials, components and subassemblies to our U.S. factory in U.S. dollars. However, the aftermarket revenues of our non-U.S. subsidiaries, and most of the operating expenses of these non-U.S. subsidiaries, are received and incurred in local currencies. The translation of these operating results into U.S. dollars in our Consolidated Statement of Operations can result in other income (expense). Similarly, the translation of long-term asset and liability values to U.S. dollars are recorded in stockholders’ equity as an element of accumulated other comprehensive income (loss). Accordingly, fluctuations in exchange rates can impact reported revenues, expense, and profitability and asset values in our Consolidated Financial Statements. During the year ended December 31, 2021, approximately 21.6% of our revenue was derived in local currencies from foreign operations with this inherent risk. In addition, at December 31, 2021, our operations outside of the United States accounted for approximately 12.6% of our total assets, the majority of which was denominated in currencies other than the U.S. dollar.</w:t>
      </w:r>
    </w:p>
    <w:p>
      <w:pPr>
        <w:spacing w:after="0" w:line="17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integrate qualified personnel.</w:t>
      </w:r>
    </w:p>
    <w:p>
      <w:pPr>
        <w:spacing w:after="0" w:line="17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particularly in the Boston metropolitan area, as well as in other locations around the world. If we are unable to retain our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341" w:right="1419" w:bottom="1440" w:gutter="0" w:footer="0" w:header="0"/>
        </w:sectPr>
      </w:pPr>
    </w:p>
    <w:bookmarkStart w:id="12" w:name="page13"/>
    <w:bookmarkEnd w:id="12"/>
    <w:p>
      <w:pPr>
        <w:spacing w:after="0" w:line="279" w:lineRule="auto"/>
        <w:rPr>
          <w:sz w:val="20"/>
          <w:szCs w:val="20"/>
          <w:color w:val="auto"/>
        </w:rPr>
      </w:pPr>
      <w:r>
        <w:rPr>
          <w:rFonts w:ascii="Arial" w:cs="Arial" w:eastAsia="Arial" w:hAnsi="Arial"/>
          <w:sz w:val="17"/>
          <w:szCs w:val="17"/>
          <w:color w:val="auto"/>
        </w:rPr>
        <w:t>existing key personnel, or attract and retain additional qualified personnel, we may from time to time experience insufficient levels of staffing to fully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significantly.</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derive our new systems revenue from the sale of a small number of expensive products to a relatively small number of customers. The selling prices on our ion implant and other legacy processing systems range from approximately $2.0 million to $8.0 million. We also sell used equipment in our aftermarket business. Each sale, or failure to make a sale, may have a significant effect on us in a particular quarter. In a given quarter, a number of factors can adversely affect our revenue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Our financial results also fluctuate based on gross profit realized on sales. A variety of factors may cause gross profit as a percentage of revenue to vary, including the mix and average selling prices of products sold, costs to manufacture and customize systems, warranty costs and impact of changes to inventory reserves. New product introductions may also affect our gross margin. Fluctuations in our financial results may have an adverse effect on the price of our common stock.</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financial results may fall short of anticipated levels because forecasting revenue and profitability is complex and may be inaccurate.</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Management may from time to time provide financial forecasts to investors. These forecasts are based on assumptions, which are believed to be reasonable when made, of the timing of system orders, system shipments, system acceptance and aftermarket revenue. Any of these assumptions can prove erroneous and the level of revenue recognizable in a particular quarter may vary from the forecast. Our lengthy sales cycle, coupled with customers’ competing capital budget considerations, make revenue difficult to predict. In addition, our backlog at the beginning of a quarter typically does not include all orders required to achieve our sales objectives for that quarter and is not a reliable indicator of our future sales. As a result, our revenue and operating results for a quarter depend on our shipping systems on previous orders as scheduled during that quarter, receiving customer acceptance of previously shipped products, and obtaining new orders for products and services to be provided within that same quarter. Any delay in, or cancellation of, scheduled shipments and customer acceptances or in revenue from new orders, including aftermarket revenue, could materially affect our financial results.</w:t>
      </w:r>
    </w:p>
    <w:p>
      <w:pPr>
        <w:spacing w:after="0" w:line="16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Accounting rules addressing revenue recognition add more complexity in forecasting quarterly revenue and profitability. Orders for our products usually contain multiple performance obligations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forecasted financial performance may have an adverse effect on the price of our common stock.</w:t>
      </w:r>
    </w:p>
    <w:p>
      <w:pPr>
        <w:spacing w:after="0" w:line="1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semiconductor equipment industry is cyclical and we expect that demand for our products will increase and decrease, making it difficult to manage the business and potentially causing harm to our sales and profitability.</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semiconductor industry is cyclical, experiencing upturns when the demand for our products is high and downturns when our customers are not investing in new or expanded fabrication facilities. From time to time, inventory buildups in the semiconductor device industry produce an oversupply of semiconductors. This can cause a reduced demand for capital equipment such as our products, negatively impacting our sales and level of profitability. Our revenue can vary significantly from one point in the cycle to another, making it difficult to manage the business, both when revenue is increasing and when it is decreasing. In addition, a substantial portion of our operating expenses do not fluctuate with changes in volume. Significant decreases in revenue can therefore have a disproportionate effect on profitability. In addition, reduced demand for our products and services may require Axcelis to implement cost reduction efforts, including restructuring activities, which may adversely affect Axcelis’ ability to capitalize on opportunities that arise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Axcelis is exposed to risks related to cybersecurity threats and incidents.</w:t>
      </w:r>
    </w:p>
    <w:p>
      <w:pPr>
        <w:spacing w:after="0" w:line="2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the conduct of our business, Axcelis collects, uses, transmits and stores data on information technology systems. This data includes confidential information belonging to Axcelis, our employees or our customers or other business partners, some of which is personally-identifiable information of individuals. As reported in the 2021 Verizon Data Breach Investigation Report, cyber-attacks in the manufacturing industries are largely financially motivated, although business espionage is the objective in a strong majority of the incidents. Axcelis has been and expects to continue to be subject to cybersecurity threats and incidents, including employee error or misuse; individual attempts to gain unauthorized access to information systems; and sophisticated and targeted measures known as advanced persistent threats, none of which have had a material impact on the Company to date. Axcelis devotes significant resources to network security, data encryption, employee training and other measures to protect our systems and data from unauthorized access or misuse. However, depending on their nature and scope, cybersecurity incidents could result in business disruption; the misappropriation, corruption or loss of confidential information and critical data (Axcelis’ and that of third parties); reputational damage; unnecessary expense; litigation with third parties; diminution in the value of Axcelis’ investment in research, development and engineering; data privacy issues; and increased cybersecurity protection and remediation costs. These adverse outcomes could negatively impact our revenues, expenses, profitability and asset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Axcelis is subject to risks associated with environmental, health and safety regulations.</w:t>
      </w:r>
    </w:p>
    <w:p>
      <w:pPr>
        <w:spacing w:after="0" w:line="22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Axcelis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and safety regulations could result in: significant remediation or other legal liabilities; the imposition of penalties and fines; restrictions on the development, manufacture, sale, shipment or use of certain of its products; limitations on the operation of its facilities or ability to use its real property; and a decrease in the value of its real property. Axcelis could be required to alter its manufacturing and operations and incur substantial expense in order to comply with environmental, health and safety regulations. Any failure to comply with these regulations could subject Axcelis to significant costs and liabilities that could adversely affect Axcelis’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could be adversely affected by global pandemics.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Global pandemics, such as COVID-19, cause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Such pandemics may drive changes in the demand for certain of our customers’ products, resulting in their delay or cancelation of purchases from us. The extent to which pandemics may impact our results will depend on future developments, which are highly uncertain and cannot be predicted, including the severity of COVID-19 and the duration of the current pandemic.</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proprietary technology may be vulnerable to efforts by competitors to challenge or design around, potentially reducing our market share.</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challenge, design around or legitimately use the proprietary technology embedded in our systems or other technology or information used in our business. If this occurs, the value of our proprietary technology will be diminished. Our means of protecting our proprietary rights may not be adequate and our patents may not be sufficient to prevent others from using technology that is similar to or the same as our technology. Patents issued to us may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 Finally, all patents expire after a period of time (in the U.S., patents expire 20 years from the date of filing of the patent application).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Our market share could be negatively impacted by the invalidation or expiration of a patent which had created a barrier for our competitors.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Axcelis also has agreements with third parties for licensing of patented or proprietary technology with Axcelis as the licensor or the licensee. Termination of license agreements or claims of infringement with respect to such technology could have an adverse impact on our financial performance or ability to ship products with existing configurations.</w:t>
      </w:r>
    </w:p>
    <w:p>
      <w:pPr>
        <w:spacing w:after="0" w:line="16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(or customers that we indemnify) might face intellectual property infringement claims or patent disputes that may be costly to resolve and, if resolved against us, could be very costly to us and prevent us from making and selling our systems.</w:t>
      </w:r>
    </w:p>
    <w:p>
      <w:pPr>
        <w:spacing w:after="0" w:line="10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From time to time, claims and proceedings may be asserted against us relative to patent validity or infringement matters. We typically agree to indemnify our customers from liability to third parties for intellectual property infringement arising from the use of our products in their intended manner. Therefore, we may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and could divert the attention of our management. Adverse determinations in any litigation could subject us to significant liabilities to third parties, require us to remove certain features from our products or seek costly licenses from third parties or prevent us from manufacturing and selling our systems. In addition, infringement indemnification clauses in system sale agreements may require us to take other actions or require us to provide certain remedies to customers who are exposed to indemnified liabilities. Any of these situations could have a material adverse effect on our business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operations were to be disrupted at Axcelis’ manufacturing facilities, it would have a negative impact on our business.</w:t>
      </w:r>
    </w:p>
    <w:p>
      <w:pPr>
        <w:spacing w:after="0" w:line="24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primary manufacturing facility is located in Massachusetts, with a smaller facility located in South Korea. Our operations could be subject to disruption for a variety of reasons, including, but not limited to severe weather events, natural disasters, work stoppages, operational facility constraints and terrorism. Such disruption could cause delays in shipments of products to our customers and could result in cancellation of orders or loss of customers, which could seriously harm our business.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do not have access to capital on favorable terms, on the timeline we anticipate, or at all, our financial condition and results of operations could be materially adversely affected.</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require a substantial amount of capital to meet our operating requirements and remain competitive. We routinely incur significant costs to purchase inventory to meet expected system sales, to develop and introduce new products, and to place evaluation systems at new customer sites. There can be no assurance that we will realize a return on the capital expended. Although our current cash levels and borrowing capacity are expected to be adequate for our foreseeable cash requirements, if our operating results falter, or our cash flow or capital resources prove inadequate, we may incur debt to fund these requirements. Significant volatility or disruption in the global financial markets may result in us not being able to obtain additional financing on favorable terms, on the timeline we anticipate, or at all, and we may not be able to refinance, if necessary, any outstanding debt when due, all of which could have a material adverse effect on our financial condition. Any inability to obtain financing on favorable terms, on the timeline we anticipate, or at all, may cause us to curtail our operations significantly, reduce planned capital expenditures and research and development, or obtain funds through arrangements that management does not currently anticipate, including disposing of our assets and relinquishing rights to certain technologies, the occurrence of any of which may significantly impair our ability to remain competitive, and materially and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which could result in substantial losses for investors.</w:t>
      </w:r>
    </w:p>
    <w:p>
      <w:pPr>
        <w:spacing w:after="0" w:line="237" w:lineRule="exact"/>
        <w:rPr>
          <w:sz w:val="20"/>
          <w:szCs w:val="20"/>
          <w:color w:val="auto"/>
        </w:rPr>
      </w:pPr>
    </w:p>
    <w:p>
      <w:pPr>
        <w:ind w:right="199" w:firstLine="648"/>
        <w:spacing w:after="0" w:line="301" w:lineRule="auto"/>
        <w:rPr>
          <w:sz w:val="20"/>
          <w:szCs w:val="20"/>
          <w:color w:val="auto"/>
        </w:rPr>
      </w:pPr>
      <w:r>
        <w:rPr>
          <w:rFonts w:ascii="Arial" w:cs="Arial" w:eastAsia="Arial" w:hAnsi="Arial"/>
          <w:sz w:val="16"/>
          <w:szCs w:val="16"/>
          <w:color w:val="auto"/>
        </w:rPr>
        <w:t>The stock markets in general, and the markets for semiconductor equipment stocks in particular, have experienced extreme volatility that has often been unrelated to the operating performance of particular companies. These broad market fluctuations may adversely affect the trading price of our common stock. The market price of the common stock may also fluctuate significantly in response to the following factors, among others, some of which are beyond our control:</w:t>
      </w:r>
    </w:p>
    <w:p>
      <w:pPr>
        <w:spacing w:after="0" w:line="157" w:lineRule="exact"/>
        <w:rPr>
          <w:sz w:val="20"/>
          <w:szCs w:val="20"/>
          <w:color w:val="auto"/>
        </w:rPr>
      </w:pPr>
    </w:p>
    <w:p>
      <w:pPr>
        <w:ind w:left="680" w:hanging="32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23" w:lineRule="exact"/>
        <w:rPr>
          <w:rFonts w:ascii="Arial" w:cs="Arial" w:eastAsia="Arial" w:hAnsi="Arial"/>
          <w:sz w:val="18"/>
          <w:szCs w:val="18"/>
          <w:color w:val="auto"/>
        </w:rPr>
      </w:pPr>
    </w:p>
    <w:p>
      <w:pPr>
        <w:ind w:left="680" w:hanging="32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or repurchase of shares of our common stock;</w:t>
      </w:r>
    </w:p>
    <w:p>
      <w:pPr>
        <w:spacing w:after="0" w:line="9" w:lineRule="exact"/>
        <w:rPr>
          <w:rFonts w:ascii="Arial" w:cs="Arial" w:eastAsia="Arial" w:hAnsi="Arial"/>
          <w:sz w:val="18"/>
          <w:szCs w:val="18"/>
          <w:color w:val="auto"/>
        </w:rPr>
      </w:pPr>
    </w:p>
    <w:p>
      <w:pPr>
        <w:ind w:left="680" w:hanging="32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9" w:lineRule="exact"/>
        <w:rPr>
          <w:rFonts w:ascii="Arial" w:cs="Arial" w:eastAsia="Arial" w:hAnsi="Arial"/>
          <w:sz w:val="18"/>
          <w:szCs w:val="18"/>
          <w:color w:val="auto"/>
        </w:rPr>
      </w:pPr>
    </w:p>
    <w:p>
      <w:pPr>
        <w:ind w:left="680" w:hanging="32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680" w:right="99" w:hanging="324"/>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joint ventures, capital commitments, new products or product enhancements;</w:t>
      </w:r>
    </w:p>
    <w:p>
      <w:pPr>
        <w:ind w:left="680" w:hanging="32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 major customer or failure to complete significant transactions;</w:t>
      </w:r>
    </w:p>
    <w:p>
      <w:pPr>
        <w:spacing w:after="0" w:line="9" w:lineRule="exact"/>
        <w:rPr>
          <w:rFonts w:ascii="Arial" w:cs="Arial" w:eastAsia="Arial" w:hAnsi="Arial"/>
          <w:sz w:val="18"/>
          <w:szCs w:val="18"/>
          <w:color w:val="auto"/>
        </w:rPr>
      </w:pPr>
    </w:p>
    <w:p>
      <w:pPr>
        <w:ind w:left="680" w:hanging="324"/>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 w:lineRule="exact"/>
        <w:rPr>
          <w:rFonts w:ascii="Arial" w:cs="Arial" w:eastAsia="Arial" w:hAnsi="Arial"/>
          <w:sz w:val="18"/>
          <w:szCs w:val="18"/>
          <w:color w:val="auto"/>
        </w:rPr>
      </w:pPr>
    </w:p>
    <w:p>
      <w:pPr>
        <w:ind w:left="680" w:right="219" w:hanging="324"/>
        <w:spacing w:after="0" w:line="26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positions adopted by investor stewardship groups and proxy advisory firms regarding desired environmental, social and governance disclosures, policies, ranking systems and other initiatives.</w:t>
      </w:r>
    </w:p>
    <w:p>
      <w:pPr>
        <w:spacing w:after="0" w:line="199"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The trading price of our common stock in the past has been significantly volatile, and we cannot accurately predict every potential risk that may materially and adversely affect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19" w:firstLine="648"/>
        <w:spacing w:after="0" w:line="257" w:lineRule="auto"/>
        <w:rPr>
          <w:sz w:val="20"/>
          <w:szCs w:val="20"/>
          <w:color w:val="auto"/>
        </w:rPr>
      </w:pPr>
      <w:r>
        <w:rPr>
          <w:rFonts w:ascii="Arial" w:cs="Arial" w:eastAsia="Arial" w:hAnsi="Arial"/>
          <w:sz w:val="18"/>
          <w:szCs w:val="18"/>
          <w:color w:val="auto"/>
        </w:rPr>
        <w:t>We lease our principal facility in Beverly, Massachusetts, which comprises 417,000 square feet. The facility is principally used for manufacturing, research and development, sales/marketing, customer support, advanced process development, product demonstration, customer-training center and corporate headquarters. In addition, we expanded our manufacturing capabilities with the opening of our new Axcelis Asia Operations Center in South Korea, which comprises 38,000 square feet.</w:t>
      </w:r>
    </w:p>
    <w:p>
      <w:pPr>
        <w:spacing w:after="0" w:line="188" w:lineRule="exact"/>
        <w:rPr>
          <w:sz w:val="20"/>
          <w:szCs w:val="20"/>
          <w:color w:val="auto"/>
        </w:rPr>
      </w:pPr>
    </w:p>
    <w:p>
      <w:pPr>
        <w:ind w:right="619" w:firstLine="648"/>
        <w:spacing w:after="0" w:line="277" w:lineRule="auto"/>
        <w:rPr>
          <w:sz w:val="20"/>
          <w:szCs w:val="20"/>
          <w:color w:val="auto"/>
        </w:rPr>
      </w:pPr>
      <w:r>
        <w:rPr>
          <w:rFonts w:ascii="Arial" w:cs="Arial" w:eastAsia="Arial" w:hAnsi="Arial"/>
          <w:sz w:val="18"/>
          <w:szCs w:val="18"/>
          <w:color w:val="auto"/>
        </w:rPr>
        <w:t>We believe that our manufacturing facilities and equipment generally are well maintained, in good operating condition, suitable for our purposes, and adequate for our present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23 acres of undeveloped property in Beverly, Massachusetts, adjacent to our headquarters.</w:t>
      </w:r>
    </w:p>
    <w:p>
      <w:pPr>
        <w:spacing w:after="0" w:line="225" w:lineRule="exact"/>
        <w:rPr>
          <w:sz w:val="20"/>
          <w:szCs w:val="20"/>
          <w:color w:val="auto"/>
        </w:rPr>
      </w:pPr>
    </w:p>
    <w:p>
      <w:pPr>
        <w:ind w:right="239" w:firstLine="648"/>
        <w:spacing w:after="0" w:line="263" w:lineRule="auto"/>
        <w:rPr>
          <w:sz w:val="20"/>
          <w:szCs w:val="20"/>
          <w:color w:val="auto"/>
        </w:rPr>
      </w:pPr>
      <w:r>
        <w:rPr>
          <w:rFonts w:ascii="Arial" w:cs="Arial" w:eastAsia="Arial" w:hAnsi="Arial"/>
          <w:sz w:val="18"/>
          <w:szCs w:val="18"/>
          <w:color w:val="auto"/>
        </w:rPr>
        <w:t>As of December 31, 2021, we also leased 38 other properties, of which 10 are located in the United States and the remainder are located in Asia and Europe, including offices in Taiwan, Singapore, South Korea, China, Japan, Italy and Germany. These properties are used for sales and service offices and warehousing.</w:t>
      </w:r>
    </w:p>
    <w:p>
      <w:pPr>
        <w:spacing w:after="0" w:line="184" w:lineRule="exact"/>
        <w:rPr>
          <w:sz w:val="20"/>
          <w:szCs w:val="20"/>
          <w:color w:val="auto"/>
        </w:rPr>
      </w:pPr>
    </w:p>
    <w:p>
      <w:pPr>
        <w:ind w:right="399" w:firstLine="648"/>
        <w:spacing w:after="0" w:line="277" w:lineRule="auto"/>
        <w:rPr>
          <w:sz w:val="20"/>
          <w:szCs w:val="20"/>
          <w:color w:val="auto"/>
        </w:rPr>
      </w:pPr>
      <w:r>
        <w:rPr>
          <w:rFonts w:ascii="Arial" w:cs="Arial" w:eastAsia="Arial" w:hAnsi="Arial"/>
          <w:sz w:val="18"/>
          <w:szCs w:val="18"/>
          <w:color w:val="auto"/>
        </w:rPr>
        <w:t>Our Beverly, Massachusetts facility is ISO 9001:2015 and ISO 14001:2015 certified and our European office is ISO 9001:2015 certified.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79" w:firstLine="648"/>
        <w:spacing w:after="0" w:line="342" w:lineRule="auto"/>
        <w:rPr>
          <w:sz w:val="20"/>
          <w:szCs w:val="20"/>
          <w:color w:val="auto"/>
        </w:rPr>
      </w:pPr>
      <w:r>
        <w:rPr>
          <w:rFonts w:ascii="Arial" w:cs="Arial" w:eastAsia="Arial" w:hAnsi="Arial"/>
          <w:sz w:val="16"/>
          <w:szCs w:val="16"/>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20" w:right="600" w:hanging="712"/>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ACLS. As of February 23, 2022, we had approximately 788 stockholders of record.</w:t>
      </w:r>
    </w:p>
    <w:p>
      <w:pPr>
        <w:spacing w:after="0" w:line="25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stock repurchase activity for the 12 months ended December 31, 2021 pursuant to our stock repurchase program, the authorization for which ended at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Average Price</w:t>
            </w: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Program</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(in thousands except per share amounts)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January 1, 2021 through January 31,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rPr>
              <w:t>N/A</w:t>
            </w: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100,000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February 1, 2021 through February 28,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N/A</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100,000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1, 2021 through March 31,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28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3"/>
              </w:rPr>
              <w:t>$38.41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88,362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April 1, 2021 through April 30,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128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3"/>
              </w:rPr>
              <w:t>$43.35</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83,290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May 1, 2021 through May 31,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8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3"/>
              </w:rPr>
              <w:t>$39.74</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79,316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June 1, 2021 through June 30,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28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3"/>
              </w:rPr>
              <w:t>$40.74</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74,997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2021 through July 31,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28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3"/>
              </w:rPr>
              <w:t>$37.23</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71,461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August 1, 2021 through August 31,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28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3"/>
              </w:rPr>
              <w:t>$43.16</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66,713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September 1, 2021 through September 30,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28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3"/>
              </w:rPr>
              <w:t>$49.12</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62,489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October 1, 2021 through October 31,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28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3"/>
              </w:rPr>
              <w:t>$48.66</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57,863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November 1, 2021 through November 30,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280" w:type="dxa"/>
            <w:vAlign w:val="bottom"/>
            <w:gridSpan w:val="2"/>
            <w:shd w:val="clear" w:color="auto" w:fill="CCEEFF"/>
          </w:tcPr>
          <w:p>
            <w:pPr>
              <w:jc w:val="center"/>
              <w:ind w:left="128"/>
              <w:spacing w:after="0" w:line="149" w:lineRule="exact"/>
              <w:rPr>
                <w:sz w:val="20"/>
                <w:szCs w:val="20"/>
                <w:color w:val="auto"/>
              </w:rPr>
            </w:pPr>
            <w:r>
              <w:rPr>
                <w:rFonts w:ascii="Arial" w:cs="Arial" w:eastAsia="Arial" w:hAnsi="Arial"/>
                <w:sz w:val="14"/>
                <w:szCs w:val="14"/>
                <w:color w:val="auto"/>
                <w:w w:val="93"/>
              </w:rPr>
              <w:t>$60.50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51,508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December 1, 2021 through December 31, 2021</w:t>
            </w: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w:t>
            </w:r>
          </w:p>
        </w:tc>
        <w:tc>
          <w:tcPr>
            <w:tcW w:w="1280" w:type="dxa"/>
            <w:vAlign w:val="bottom"/>
            <w:tcBorders>
              <w:bottom w:val="single" w:sz="8" w:color="CCEEFF"/>
            </w:tcBorders>
            <w:gridSpan w:val="2"/>
          </w:tcPr>
          <w:p>
            <w:pPr>
              <w:jc w:val="center"/>
              <w:ind w:left="128"/>
              <w:spacing w:after="0" w:line="149" w:lineRule="exact"/>
              <w:rPr>
                <w:sz w:val="20"/>
                <w:szCs w:val="20"/>
                <w:color w:val="auto"/>
              </w:rPr>
            </w:pPr>
            <w:r>
              <w:rPr>
                <w:rFonts w:ascii="Arial" w:cs="Arial" w:eastAsia="Arial" w:hAnsi="Arial"/>
                <w:sz w:val="14"/>
                <w:szCs w:val="14"/>
                <w:color w:val="auto"/>
                <w:w w:val="93"/>
              </w:rPr>
              <w:t>$63.38</w:t>
            </w:r>
          </w:p>
        </w:tc>
        <w:tc>
          <w:tcPr>
            <w:tcW w:w="1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gridSpan w:val="2"/>
            <w:shd w:val="clear" w:color="auto" w:fill="CCEEFF"/>
          </w:tcPr>
          <w:p>
            <w:pPr>
              <w:ind w:left="1280"/>
              <w:spacing w:after="0" w:line="142"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1,141</w:t>
            </w:r>
          </w:p>
        </w:tc>
        <w:tc>
          <w:tcPr>
            <w:tcW w:w="1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1,141</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17" w:name="page18"/>
    <w:bookmarkEnd w:id="17"/>
    <w:p>
      <w:pPr>
        <w:ind w:right="100" w:firstLine="648"/>
        <w:spacing w:after="0" w:line="279" w:lineRule="auto"/>
        <w:rPr>
          <w:sz w:val="20"/>
          <w:szCs w:val="20"/>
          <w:color w:val="auto"/>
        </w:rPr>
      </w:pPr>
      <w:r>
        <w:rPr>
          <w:rFonts w:ascii="Arial" w:cs="Arial" w:eastAsia="Arial" w:hAnsi="Arial"/>
          <w:sz w:val="17"/>
          <w:szCs w:val="17"/>
          <w:color w:val="auto"/>
        </w:rPr>
        <w:t>We currently maintain one equity compensation plan, the 2012 Equity Incentive Plan (the “2012 Equity Plan”). The number of shares issuable upon exercise of outstanding options and unvested restricted stock units granted to employees and non-employee directors, as well as the number of shares remaining available for future issuance, under our equity compensation plans as of December 31, 2021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5795010" cy="2889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88925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(A)</w:t>
            </w:r>
          </w:p>
        </w:tc>
        <w:tc>
          <w:tcPr>
            <w:tcW w:w="1640" w:type="dxa"/>
            <w:vAlign w:val="bottom"/>
            <w:tcBorders>
              <w:top w:val="single" w:sz="8" w:color="auto"/>
            </w:tcBorders>
          </w:tcPr>
          <w:p>
            <w:pPr>
              <w:jc w:val="center"/>
              <w:ind w:right="8"/>
              <w:spacing w:after="0" w:line="139" w:lineRule="exact"/>
              <w:rPr>
                <w:sz w:val="20"/>
                <w:szCs w:val="20"/>
                <w:color w:val="auto"/>
              </w:rPr>
            </w:pPr>
            <w:r>
              <w:rPr>
                <w:rFonts w:ascii="Arial" w:cs="Arial" w:eastAsia="Arial" w:hAnsi="Arial"/>
                <w:sz w:val="14"/>
                <w:szCs w:val="14"/>
                <w:b w:val="1"/>
                <w:bCs w:val="1"/>
                <w:color w:val="auto"/>
              </w:rPr>
              <w:t>(B)</w:t>
            </w:r>
          </w:p>
        </w:tc>
        <w:tc>
          <w:tcPr>
            <w:tcW w:w="27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3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Number of shares to be issued 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 exercise</w:t>
            </w: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 remaining available for</w:t>
            </w:r>
          </w:p>
        </w:tc>
        <w:tc>
          <w:tcPr>
            <w:tcW w:w="0" w:type="dxa"/>
            <w:vAlign w:val="bottom"/>
          </w:tcPr>
          <w:p>
            <w:pPr>
              <w:spacing w:after="0"/>
              <w:rPr>
                <w:sz w:val="1"/>
                <w:szCs w:val="1"/>
                <w:color w:val="auto"/>
              </w:rPr>
            </w:pPr>
          </w:p>
        </w:tc>
      </w:tr>
      <w:tr>
        <w:trPr>
          <w:trHeight w:val="148"/>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 outstanding</w:t>
            </w:r>
          </w:p>
        </w:tc>
        <w:tc>
          <w:tcPr>
            <w:tcW w:w="16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 equity compensation</w:t>
            </w:r>
          </w:p>
        </w:tc>
        <w:tc>
          <w:tcPr>
            <w:tcW w:w="0" w:type="dxa"/>
            <w:vAlign w:val="bottom"/>
          </w:tcPr>
          <w:p>
            <w:pPr>
              <w:spacing w:after="0"/>
              <w:rPr>
                <w:sz w:val="1"/>
                <w:szCs w:val="1"/>
                <w:color w:val="auto"/>
              </w:rPr>
            </w:pPr>
          </w:p>
        </w:tc>
      </w:tr>
      <w:tr>
        <w:trPr>
          <w:trHeight w:val="105"/>
        </w:trPr>
        <w:tc>
          <w:tcPr>
            <w:tcW w:w="2680" w:type="dxa"/>
            <w:vAlign w:val="bottom"/>
            <w:vMerge w:val="continue"/>
          </w:tcPr>
          <w:p>
            <w:pPr>
              <w:spacing w:after="0"/>
              <w:rPr>
                <w:sz w:val="9"/>
                <w:szCs w:val="9"/>
                <w:color w:val="auto"/>
              </w:rPr>
            </w:pPr>
          </w:p>
        </w:tc>
        <w:tc>
          <w:tcPr>
            <w:tcW w:w="2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 and rights</w:t>
            </w:r>
          </w:p>
        </w:tc>
        <w:tc>
          <w:tcPr>
            <w:tcW w:w="1640" w:type="dxa"/>
            <w:vAlign w:val="bottom"/>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2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 shares reflected in column</w:t>
            </w:r>
          </w:p>
        </w:tc>
        <w:tc>
          <w:tcPr>
            <w:tcW w:w="0" w:type="dxa"/>
            <w:vAlign w:val="bottom"/>
          </w:tcPr>
          <w:p>
            <w:pPr>
              <w:spacing w:after="0"/>
              <w:rPr>
                <w:sz w:val="1"/>
                <w:szCs w:val="1"/>
                <w:color w:val="auto"/>
              </w:rPr>
            </w:pPr>
          </w:p>
        </w:tc>
      </w:tr>
      <w:tr>
        <w:trPr>
          <w:trHeight w:val="43"/>
        </w:trPr>
        <w:tc>
          <w:tcPr>
            <w:tcW w:w="268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2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6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rights (2)</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7"/>
              </w:rPr>
              <w:t>(A)) (3)</w:t>
            </w: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Equity compensation plans approved by</w:t>
            </w:r>
          </w:p>
        </w:tc>
        <w:tc>
          <w:tcPr>
            <w:tcW w:w="2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1,013,367</w:t>
            </w:r>
          </w:p>
        </w:tc>
        <w:tc>
          <w:tcPr>
            <w:tcW w:w="1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$ 1.48</w:t>
            </w:r>
          </w:p>
        </w:tc>
        <w:tc>
          <w:tcPr>
            <w:tcW w:w="2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2,427,867</w:t>
            </w:r>
          </w:p>
        </w:tc>
        <w:tc>
          <w:tcPr>
            <w:tcW w:w="0" w:type="dxa"/>
            <w:vAlign w:val="bottom"/>
          </w:tcPr>
          <w:p>
            <w:pPr>
              <w:spacing w:after="0"/>
              <w:rPr>
                <w:sz w:val="1"/>
                <w:szCs w:val="1"/>
                <w:color w:val="auto"/>
              </w:rPr>
            </w:pPr>
          </w:p>
        </w:tc>
      </w:tr>
      <w:tr>
        <w:trPr>
          <w:trHeight w:val="101"/>
        </w:trPr>
        <w:tc>
          <w:tcPr>
            <w:tcW w:w="2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40" w:type="dxa"/>
            <w:vAlign w:val="bottom"/>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2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680" w:type="dxa"/>
            <w:vAlign w:val="bottom"/>
            <w:vMerge w:val="continue"/>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680" w:type="dxa"/>
            <w:vAlign w:val="bottom"/>
          </w:tcPr>
          <w:p>
            <w:pPr>
              <w:ind w:left="20"/>
              <w:spacing w:after="0" w:line="130" w:lineRule="exact"/>
              <w:rPr>
                <w:sz w:val="20"/>
                <w:szCs w:val="20"/>
                <w:color w:val="auto"/>
              </w:rPr>
            </w:pPr>
            <w:r>
              <w:rPr>
                <w:rFonts w:ascii="Arial" w:cs="Arial" w:eastAsia="Arial" w:hAnsi="Arial"/>
                <w:sz w:val="14"/>
                <w:szCs w:val="14"/>
                <w:color w:val="auto"/>
                <w:w w:val="97"/>
              </w:rPr>
              <w:t>Equity compensation plans not approved by</w:t>
            </w:r>
          </w:p>
        </w:tc>
        <w:tc>
          <w:tcPr>
            <w:tcW w:w="20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ind w:right="8"/>
              <w:spacing w:after="0"/>
              <w:rPr>
                <w:sz w:val="20"/>
                <w:szCs w:val="20"/>
                <w:color w:val="auto"/>
              </w:rPr>
            </w:pPr>
            <w:r>
              <w:rPr>
                <w:rFonts w:ascii="Arial" w:cs="Arial" w:eastAsia="Arial" w:hAnsi="Arial"/>
                <w:sz w:val="14"/>
                <w:szCs w:val="14"/>
                <w:color w:val="auto"/>
              </w:rPr>
              <w:t>NA</w:t>
            </w:r>
          </w:p>
        </w:tc>
        <w:tc>
          <w:tcPr>
            <w:tcW w:w="27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1"/>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stockholders</w:t>
            </w:r>
          </w:p>
        </w:tc>
        <w:tc>
          <w:tcPr>
            <w:tcW w:w="20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6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1,013,367</w:t>
            </w:r>
          </w:p>
        </w:tc>
        <w:tc>
          <w:tcPr>
            <w:tcW w:w="1640" w:type="dxa"/>
            <w:vAlign w:val="bottom"/>
            <w:shd w:val="clear" w:color="auto" w:fill="CCEEFF"/>
          </w:tcPr>
          <w:p>
            <w:pPr>
              <w:spacing w:after="0"/>
              <w:rPr>
                <w:sz w:val="14"/>
                <w:szCs w:val="14"/>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2,427,867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400" w:type="dxa"/>
            <w:vAlign w:val="bottom"/>
          </w:tcPr>
          <w:p>
            <w:pPr>
              <w:ind w:left="20"/>
              <w:spacing w:after="0" w:line="143" w:lineRule="exact"/>
              <w:rPr>
                <w:sz w:val="20"/>
                <w:szCs w:val="20"/>
                <w:color w:val="auto"/>
              </w:rPr>
            </w:pPr>
            <w:r>
              <w:rPr>
                <w:rFonts w:ascii="Arial" w:cs="Arial" w:eastAsia="Arial" w:hAnsi="Arial"/>
                <w:sz w:val="14"/>
                <w:szCs w:val="14"/>
                <w:color w:val="auto"/>
              </w:rPr>
              <w:t>Weighted average exercise price of outstanding</w:t>
            </w:r>
          </w:p>
        </w:tc>
        <w:tc>
          <w:tcPr>
            <w:tcW w:w="5720" w:type="dxa"/>
            <w:vAlign w:val="bottom"/>
            <w:vMerge w:val="restart"/>
          </w:tcPr>
          <w:p>
            <w:pPr>
              <w:jc w:val="right"/>
              <w:ind w:right="4408"/>
              <w:spacing w:after="0"/>
              <w:rPr>
                <w:sz w:val="20"/>
                <w:szCs w:val="20"/>
                <w:color w:val="auto"/>
              </w:rPr>
            </w:pPr>
            <w:r>
              <w:rPr>
                <w:rFonts w:ascii="Arial" w:cs="Arial" w:eastAsia="Arial" w:hAnsi="Arial"/>
                <w:sz w:val="14"/>
                <w:szCs w:val="14"/>
                <w:color w:val="auto"/>
              </w:rPr>
              <w:t>$13.51</w:t>
            </w:r>
          </w:p>
        </w:tc>
        <w:tc>
          <w:tcPr>
            <w:tcW w:w="0" w:type="dxa"/>
            <w:vAlign w:val="bottom"/>
          </w:tcPr>
          <w:p>
            <w:pPr>
              <w:spacing w:after="0"/>
              <w:rPr>
                <w:sz w:val="1"/>
                <w:szCs w:val="1"/>
                <w:color w:val="auto"/>
              </w:rPr>
            </w:pPr>
          </w:p>
        </w:tc>
      </w:tr>
      <w:tr>
        <w:trPr>
          <w:trHeight w:val="101"/>
        </w:trPr>
        <w:tc>
          <w:tcPr>
            <w:tcW w:w="3400" w:type="dxa"/>
            <w:vAlign w:val="bottom"/>
            <w:vMerge w:val="restart"/>
          </w:tcPr>
          <w:p>
            <w:pPr>
              <w:ind w:left="20"/>
              <w:spacing w:after="0"/>
              <w:rPr>
                <w:sz w:val="20"/>
                <w:szCs w:val="20"/>
                <w:color w:val="auto"/>
              </w:rPr>
            </w:pPr>
            <w:r>
              <w:rPr>
                <w:rFonts w:ascii="Arial" w:cs="Arial" w:eastAsia="Arial" w:hAnsi="Arial"/>
                <w:sz w:val="14"/>
                <w:szCs w:val="14"/>
                <w:color w:val="auto"/>
              </w:rPr>
              <w:t>options at December 31, 2021</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400" w:type="dxa"/>
            <w:vAlign w:val="bottom"/>
            <w:vMerge w:val="continue"/>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34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Weighted average remaining term of</w:t>
            </w:r>
          </w:p>
        </w:tc>
        <w:tc>
          <w:tcPr>
            <w:tcW w:w="5720" w:type="dxa"/>
            <w:vAlign w:val="bottom"/>
            <w:vMerge w:val="restart"/>
            <w:shd w:val="clear" w:color="auto" w:fill="CCEEFF"/>
          </w:tcPr>
          <w:p>
            <w:pPr>
              <w:jc w:val="right"/>
              <w:ind w:right="4408"/>
              <w:spacing w:after="0"/>
              <w:rPr>
                <w:sz w:val="20"/>
                <w:szCs w:val="20"/>
                <w:color w:val="auto"/>
              </w:rPr>
            </w:pPr>
            <w:r>
              <w:rPr>
                <w:rFonts w:ascii="Arial" w:cs="Arial" w:eastAsia="Arial" w:hAnsi="Arial"/>
                <w:sz w:val="14"/>
                <w:szCs w:val="14"/>
                <w:color w:val="auto"/>
              </w:rPr>
              <w:t>0.73 years</w:t>
            </w:r>
          </w:p>
        </w:tc>
        <w:tc>
          <w:tcPr>
            <w:tcW w:w="0" w:type="dxa"/>
            <w:vAlign w:val="bottom"/>
          </w:tcPr>
          <w:p>
            <w:pPr>
              <w:spacing w:after="0"/>
              <w:rPr>
                <w:sz w:val="1"/>
                <w:szCs w:val="1"/>
                <w:color w:val="auto"/>
              </w:rPr>
            </w:pPr>
          </w:p>
        </w:tc>
      </w:tr>
      <w:tr>
        <w:trPr>
          <w:trHeight w:val="101"/>
        </w:trPr>
        <w:tc>
          <w:tcPr>
            <w:tcW w:w="34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outstanding options at December 31, 2021</w:t>
            </w:r>
          </w:p>
        </w:tc>
        <w:tc>
          <w:tcPr>
            <w:tcW w:w="5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400" w:type="dxa"/>
            <w:vAlign w:val="bottom"/>
            <w:vMerge w:val="continue"/>
            <w:shd w:val="clear" w:color="auto" w:fill="CCEEFF"/>
          </w:tcPr>
          <w:p>
            <w:pPr>
              <w:spacing w:after="0"/>
              <w:rPr>
                <w:sz w:val="6"/>
                <w:szCs w:val="6"/>
                <w:color w:val="auto"/>
              </w:rPr>
            </w:pPr>
          </w:p>
        </w:tc>
        <w:tc>
          <w:tcPr>
            <w:tcW w:w="5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 w:right="280" w:hanging="2"/>
        <w:spacing w:after="0" w:line="268" w:lineRule="auto"/>
        <w:tabs>
          <w:tab w:leader="none" w:pos="36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as of December 31, 2021: (A) 111,249 shares issuable on exercise of outstanding options under the 2012 Equity Plan, plus (B) 902,118 shares issuable on vesting of outstanding RSUs under the 2012 Equity Plan (some of which will be withheld in respect of tax withholding obligations).</w:t>
      </w:r>
    </w:p>
    <w:p>
      <w:pPr>
        <w:ind w:left="20" w:right="480" w:hanging="2"/>
        <w:spacing w:after="0" w:line="221" w:lineRule="auto"/>
        <w:tabs>
          <w:tab w:leader="none" w:pos="368"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purposes of this table, the weighted-average exercise price of outstanding options, warrants and rights includes RSUs as if they had a $0 exercise price. The weighted-average exercise price of outstanding options alone at December 31, 2021 was $13.51.</w:t>
      </w:r>
    </w:p>
    <w:p>
      <w:pPr>
        <w:ind w:left="20" w:right="300" w:hanging="2"/>
        <w:spacing w:after="0" w:line="221" w:lineRule="auto"/>
        <w:tabs>
          <w:tab w:leader="none" w:pos="36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total shares available for issuance under our 2012 Equity Plan and our Employee Stock Purchase Plan, as of December 31, 2021, as follows:</w:t>
      </w:r>
    </w:p>
    <w:p>
      <w:pPr>
        <w:ind w:left="880"/>
        <w:spacing w:after="0"/>
        <w:rPr>
          <w:rFonts w:ascii="Arial" w:cs="Arial" w:eastAsia="Arial" w:hAnsi="Arial"/>
          <w:sz w:val="14"/>
          <w:szCs w:val="14"/>
          <w:color w:val="auto"/>
        </w:rPr>
      </w:pPr>
      <w:r>
        <w:rPr>
          <w:rFonts w:ascii="Arial" w:cs="Arial" w:eastAsia="Arial" w:hAnsi="Arial"/>
          <w:sz w:val="13"/>
          <w:szCs w:val="13"/>
          <w:color w:val="auto"/>
        </w:rPr>
        <w:t>1,473,477 shares were available for future issuance under the 2012 Equity Plan. Such amount represents the total number of shares reserved</w:t>
      </w:r>
    </w:p>
    <w:p>
      <w:pPr>
        <w:ind w:left="880"/>
        <w:spacing w:after="0" w:line="238" w:lineRule="auto"/>
        <w:rPr>
          <w:sz w:val="20"/>
          <w:szCs w:val="20"/>
          <w:color w:val="auto"/>
        </w:rPr>
      </w:pPr>
      <w:r>
        <w:rPr>
          <w:rFonts w:ascii="Arial" w:cs="Arial" w:eastAsia="Arial" w:hAnsi="Arial"/>
          <w:sz w:val="13"/>
          <w:szCs w:val="13"/>
          <w:color w:val="auto"/>
        </w:rPr>
        <w:t>for issuance under the 2012 Equity Plan ((7,762,500 shares approved by the shareholders, plus 1,777,029 shares added in accordance with the terms of the 2012 Equity Plan as a result of the expiration or forfeiture of awards granted under our prior equity grant plan that were</w:t>
      </w:r>
    </w:p>
    <w:p>
      <w:pPr>
        <w:spacing w:after="0" w:line="1" w:lineRule="exact"/>
        <w:rPr>
          <w:sz w:val="20"/>
          <w:szCs w:val="20"/>
          <w:color w:val="auto"/>
        </w:rPr>
      </w:pPr>
    </w:p>
    <w:p>
      <w:pPr>
        <w:ind w:left="880" w:right="60" w:hanging="862"/>
        <w:spacing w:after="0" w:line="221" w:lineRule="auto"/>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outstanding at the time of the adoption of the 2012 Equity Plan), less the shares issuable on options and restricted stock units (counted at 1.5 shares each) outstanding under the 2012 Equity Plan included in column (A)) and the shares issued prior to such date on exercise of options and vesting of restricted stock units granted under the 2012 Equity Plan. This plan is generally used for grants to employees and directors and was approved by our stockholders at our 2012 annual meeting.</w:t>
      </w:r>
    </w:p>
    <w:p>
      <w:pPr>
        <w:spacing w:after="0" w:line="1" w:lineRule="exact"/>
        <w:rPr>
          <w:rFonts w:ascii="Arial" w:cs="Arial" w:eastAsia="Arial" w:hAnsi="Arial"/>
          <w:sz w:val="14"/>
          <w:szCs w:val="14"/>
          <w:color w:val="auto"/>
        </w:rPr>
      </w:pPr>
    </w:p>
    <w:p>
      <w:pPr>
        <w:ind w:left="880" w:right="460" w:hanging="862"/>
        <w:spacing w:after="0" w:line="190" w:lineRule="auto"/>
        <w:tabs>
          <w:tab w:leader="none" w:pos="880" w:val="left"/>
        </w:tabs>
        <w:numPr>
          <w:ilvl w:val="0"/>
          <w:numId w:val="11"/>
        </w:numPr>
        <w:rPr>
          <w:rFonts w:ascii="Arial" w:cs="Arial" w:eastAsia="Arial" w:hAnsi="Arial"/>
          <w:sz w:val="23"/>
          <w:szCs w:val="23"/>
          <w:color w:val="auto"/>
          <w:vertAlign w:val="subscript"/>
        </w:rPr>
      </w:pPr>
      <w:r>
        <w:rPr>
          <w:rFonts w:ascii="Arial" w:cs="Arial" w:eastAsia="Arial" w:hAnsi="Arial"/>
          <w:sz w:val="12"/>
          <w:szCs w:val="12"/>
          <w:color w:val="auto"/>
        </w:rPr>
        <w:t>954,390 shares were available under our 2021 Employee Stock Purchase Plan, which represents the total number of shares reserved for issuance under the plan (1,000,000) less the shares purchased through December 31,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semiconductor capital equipment industry is subject to cyclical swings in capital spending by semiconductor chip manufacturers. Capital spending is influenced by demand for semiconductors and the products using them, the utilization rate and capacity of existing semiconductor chip manufacturing facilities and changes in semiconductor technology, all of which are outside of our control. As a result, our revenue may fluctuate from year to year and period to period. Our established cost structure does not vary significantly with changes in volume. We may also experience fluctuations in operating results and cash flows depending on our revenue level.</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2021 was an exceptional year for Axcelis despite logistical challenges brought on by the geo-political environment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COVID-19 pandemic. As a result of the strength of the overall electronics market and the continued growth of the Purion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family in 2021, we delivered record full year revenue, operating profit and gross margin since becoming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independent public company in 2001. Revenue for 2021 was $662.4 million, an increase of 39.6% from 2020 revenue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$474.6 million. Systems revenue for 2021 was $454.6 million, compared to $293.6 million in 2020. Operating profit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$127.3 million in 2021, compared to $58.0 million in 2020. Gross margin for the year was 43.2% compared to 41.8% in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year was $98.7 million, an increase of 97.4% following a 39.6% increase in revenue from the prior year.</w:t>
      </w:r>
    </w:p>
    <w:p>
      <w:pPr>
        <w:spacing w:after="0" w:line="23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in a strong competitive position as we participate in a period of extended industry growth. A focused strategy on ion implant, combined with the hard work and dedication of our employees and the encouragement and support of our customers and suppliers, enabled us to achieve numerous critical milestones in our drive to market leadership. We were able to rapidly grow our manufacturing and supply chain capabilities through smart capacity planning and execution, including the opening of our new Axcelis Asia Operations Center in South Korea and the expansion of clean manufacturing in Beverly. In 2021, we continued to expand the Purion installed base, growing our large and diverse group of customers mainly in the mature process technology segment. We continued our focus on the mature process technology segment in 2021, launching new Purion product extensions including the Purion H200™ high current implanter, targeted for the production of power devices, and the Purion XEmax™ used to manufacture image sensors. Through the introduction of these new products and continuous cost reduction measures, we increased our gross margin year over year, making this the fourth consecutive year with gross margin greater than 40 percent.</w:t>
      </w:r>
    </w:p>
    <w:p>
      <w:pPr>
        <w:spacing w:after="0" w:line="18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continue to work diligently to ensure that manufacturing and operating expense levels remain well aligned to business conditions.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 for our systems and aftermarket products and services is represented by a relatively small number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companies. In 2021, the top 20 semiconductor chip manufacturers accounted for approximately 92.0% of total semiconductor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equipment spending, up from 90.4% in 2020. Our net revenue from our ten largest customers accounted for 69.5%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revenue for the year ended December 31, 2021 compared to 74.0% and 74.1% of revenue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 respectively. For the year ended December 31, 2021, we had two customers representing 17.8%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15.4%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Management’s discussion and analysis of our financial condition and results of operations are based upon Axcelis’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the following accounting policies are critical in the portrayal of our financial condition and results of operations and require management’s most significant judgments and estimates in the preparation of our consolidated financial statements. For additional accounting policies, see Note 2 to the consolidated financial statements for the year ended December 31, 2021 included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accounting policies relating to the recognition of revenue require management to make estimates, determinations and judgments based on historical experience and on various other assumptions, which include (i) the existence of a contract with the customer, (ii) the identification of the performance obligations in the contract, (iii) the value of any variable consideration in the contract, (iv) the standalone selling price of multiple obligations in the contract, for the purpose of allocating the consideration in the contract, and (v) determining when a performance obligation has been met. Our revenue recognition policies are set forth in section (i) of Note 2, Summary of Significant Accounting Policies, to the consolidated financial statements for the year ended December 31, 2021 included in this Annual Report on Form 10-K. Recognition of revenue based on incorrect judgments, including an erroneous allocation of the estimated sales price between the units of accounting, could result in inappropriate recognition of revenue, or incorrect timing of revenue recognition, which could have a material effect on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Inventory—Provision for Excess and Obsolescence and Lower of Cost or Net Realizable Value</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record a provision for estimated excess and obsolete inventory and lower of cost or net realizable value. The provision is determined using management’s assumptions of materials usage, based on estimates of forecasted and historical demand and market conditions. Specifically, our assumptions of forecasted system sales and the size and utilization of the installed base of systems may have a significant effect on estimated materials usage. If actual market conditions become less favorable than those projected by management, additional inventory write-downs may be required.</w:t>
      </w:r>
    </w:p>
    <w:p>
      <w:pPr>
        <w:spacing w:after="0" w:line="161"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Although we make every effort to ensure the accuracy of our forecasts or product demand and pricing assumptions, any significant unanticipated changes in demand, pricing, or technical developments would significantly impact the value of our inventory and our reported operating results. In the future, if we determine that inventory needs to be written down, we will recognize such costs in our cost of revenue at the time of such determination. If we subsequently sell product that has previously been written down, our gross margin in that period will be favorably impacted.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relative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net operating loss and tax credit carryforwards.</w:t>
      </w:r>
    </w:p>
    <w:p>
      <w:pPr>
        <w:spacing w:after="0" w:line="14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Our consolidated financial statements contain certain deferred tax assets which have arisen primarily as a result of operating losses, as well as other temporary differences between financial and income tax accounting.</w:t>
      </w:r>
    </w:p>
    <w:p>
      <w:pPr>
        <w:spacing w:after="0" w:line="14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establish a valuation allowance when it is more likely than not that some portion or all of the deferred tax assets will not be realized. Significant management judgment is required in determining our provision for income taxes, the deferred tax assets and liabilities and any valuation allowance recorded against those net deferred tax assets.</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evaluate the weight of all available evidence such as historical losses, the expected timing of the reversals of existing temporary differences and projected future taxable income to determine whether it is more likely than not that some portion or all of the net deferred income tax assets will not be realized.</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income tax expense includes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as operating expense.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following year-to-year comparative statements include the 2021 and 2020 year periods. For comparative statements for 2020 and 2019 periods, please refer to our 2020 Annual Report on Form 10-K, filed with the Securities and Exchange Commission on February 26,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298"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Year ended</w:t>
      </w:r>
    </w:p>
    <w:p>
      <w:pPr>
        <w:jc w:val="center"/>
        <w:ind w:left="6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6"/>
                <w:szCs w:val="16"/>
                <w:color w:val="auto"/>
              </w:rPr>
              <w:t>Product</w:t>
            </w: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95.8 %</w:t>
            </w:r>
          </w:p>
        </w:tc>
        <w:tc>
          <w:tcPr>
            <w:tcW w:w="1360" w:type="dxa"/>
            <w:vAlign w:val="bottom"/>
            <w:gridSpan w:val="2"/>
          </w:tcPr>
          <w:p>
            <w:pPr>
              <w:jc w:val="right"/>
              <w:ind w:right="264"/>
              <w:spacing w:after="0"/>
              <w:rPr>
                <w:sz w:val="20"/>
                <w:szCs w:val="20"/>
                <w:color w:val="auto"/>
              </w:rPr>
            </w:pPr>
            <w:r>
              <w:rPr>
                <w:rFonts w:ascii="Arial" w:cs="Arial" w:eastAsia="Arial" w:hAnsi="Arial"/>
                <w:sz w:val="16"/>
                <w:szCs w:val="16"/>
                <w:color w:val="auto"/>
              </w:rPr>
              <w:t>94.8 %</w:t>
            </w: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46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88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6"/>
                <w:szCs w:val="16"/>
                <w:color w:val="auto"/>
              </w:rPr>
              <w:t>Product</w:t>
            </w:r>
          </w:p>
        </w:tc>
        <w:tc>
          <w:tcPr>
            <w:tcW w:w="880" w:type="dxa"/>
            <w:vAlign w:val="bottom"/>
          </w:tcPr>
          <w:p>
            <w:pPr>
              <w:jc w:val="right"/>
              <w:spacing w:after="0"/>
              <w:rPr>
                <w:sz w:val="20"/>
                <w:szCs w:val="20"/>
                <w:color w:val="auto"/>
              </w:rPr>
            </w:pPr>
            <w:r>
              <w:rPr>
                <w:rFonts w:ascii="Arial" w:cs="Arial" w:eastAsia="Arial" w:hAnsi="Arial"/>
                <w:sz w:val="16"/>
                <w:szCs w:val="16"/>
                <w:color w:val="auto"/>
              </w:rPr>
              <w:t>52.8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53.2</w:t>
            </w:r>
          </w:p>
        </w:tc>
        <w:tc>
          <w:tcPr>
            <w:tcW w:w="4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6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880" w:type="dxa"/>
            <w:vAlign w:val="bottom"/>
          </w:tcPr>
          <w:p>
            <w:pPr>
              <w:jc w:val="right"/>
              <w:spacing w:after="0"/>
              <w:rPr>
                <w:sz w:val="20"/>
                <w:szCs w:val="20"/>
                <w:color w:val="auto"/>
              </w:rPr>
            </w:pPr>
            <w:r>
              <w:rPr>
                <w:rFonts w:ascii="Arial" w:cs="Arial" w:eastAsia="Arial" w:hAnsi="Arial"/>
                <w:sz w:val="16"/>
                <w:szCs w:val="16"/>
                <w:color w:val="auto"/>
              </w:rPr>
              <w:t>56.8</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58.2</w:t>
            </w:r>
          </w:p>
        </w:tc>
        <w:tc>
          <w:tcPr>
            <w:tcW w:w="4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460" w:type="dxa"/>
            <w:vAlign w:val="bottom"/>
            <w:shd w:val="clear" w:color="auto" w:fill="CCEEFF"/>
          </w:tcPr>
          <w:p>
            <w:pPr>
              <w:spacing w:after="0"/>
              <w:rPr>
                <w:sz w:val="18"/>
                <w:szCs w:val="18"/>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c>
          <w:tcPr>
            <w:tcW w:w="4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46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3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4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60" w:type="dxa"/>
            <w:vAlign w:val="bottom"/>
            <w:shd w:val="clear" w:color="auto" w:fill="CCEEFF"/>
          </w:tcPr>
          <w:p>
            <w:pPr>
              <w:spacing w:after="0"/>
              <w:rPr>
                <w:sz w:val="17"/>
                <w:szCs w:val="17"/>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Other (expense) income: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income</w:t>
            </w:r>
          </w:p>
        </w:tc>
        <w:tc>
          <w:tcPr>
            <w:tcW w:w="118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880" w:type="dxa"/>
            <w:vAlign w:val="bottom"/>
          </w:tcPr>
          <w:p>
            <w:pPr>
              <w:jc w:val="right"/>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46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expense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4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60" w:type="dxa"/>
            <w:vAlign w:val="bottom"/>
            <w:shd w:val="clear" w:color="auto" w:fill="CCEEFF"/>
          </w:tcPr>
          <w:p>
            <w:pPr>
              <w:spacing w:after="0"/>
              <w:rPr>
                <w:sz w:val="17"/>
                <w:szCs w:val="17"/>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Income tax provision</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30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60" w:type="dxa"/>
            <w:vAlign w:val="bottom"/>
            <w:tcBorders>
              <w:top w:val="single" w:sz="8" w:color="CCEEFF"/>
              <w:bottom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74"/>
              </w:rPr>
              <w:t>%</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2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jc w:val="right"/>
              <w:ind w:right="306"/>
              <w:spacing w:after="0" w:line="129" w:lineRule="exact"/>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6"/>
                <w:szCs w:val="16"/>
                <w:color w:val="auto"/>
              </w:rPr>
              <w:t>Product</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$ 634,445</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$ 449,903</w:t>
            </w:r>
          </w:p>
        </w:tc>
        <w:tc>
          <w:tcPr>
            <w:tcW w:w="200" w:type="dxa"/>
            <w:vAlign w:val="bottom"/>
          </w:tcPr>
          <w:p>
            <w:pPr>
              <w:spacing w:after="0"/>
              <w:rPr>
                <w:sz w:val="18"/>
                <w:szCs w:val="18"/>
                <w:color w:val="auto"/>
              </w:rPr>
            </w:pPr>
          </w:p>
        </w:tc>
        <w:tc>
          <w:tcPr>
            <w:tcW w:w="720" w:type="dxa"/>
            <w:vAlign w:val="bottom"/>
            <w:gridSpan w:val="2"/>
          </w:tcPr>
          <w:p>
            <w:pPr>
              <w:jc w:val="right"/>
              <w:ind w:right="6"/>
              <w:spacing w:after="0"/>
              <w:rPr>
                <w:sz w:val="20"/>
                <w:szCs w:val="20"/>
                <w:color w:val="auto"/>
              </w:rPr>
            </w:pPr>
            <w:r>
              <w:rPr>
                <w:rFonts w:ascii="Arial" w:cs="Arial" w:eastAsia="Arial" w:hAnsi="Arial"/>
                <w:sz w:val="16"/>
                <w:szCs w:val="16"/>
                <w:color w:val="auto"/>
                <w:w w:val="87"/>
              </w:rPr>
              <w:t>$ 184,542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w w:val="92"/>
              </w:rPr>
              <w:t>41.0 %</w:t>
            </w:r>
          </w:p>
        </w:tc>
      </w:tr>
      <w:tr>
        <w:trPr>
          <w:trHeight w:val="219"/>
        </w:trPr>
        <w:tc>
          <w:tcPr>
            <w:tcW w:w="2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95.8 %</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94.8 %</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6"/>
                <w:szCs w:val="16"/>
                <w:color w:val="auto"/>
              </w:rPr>
              <w:t>Services</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27,983</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24,657</w:t>
            </w:r>
          </w:p>
        </w:tc>
        <w:tc>
          <w:tcPr>
            <w:tcW w:w="200" w:type="dxa"/>
            <w:vAlign w:val="bottom"/>
          </w:tcPr>
          <w:p>
            <w:pPr>
              <w:spacing w:after="0"/>
              <w:rPr>
                <w:sz w:val="18"/>
                <w:szCs w:val="18"/>
                <w:color w:val="auto"/>
              </w:rPr>
            </w:pPr>
          </w:p>
        </w:tc>
        <w:tc>
          <w:tcPr>
            <w:tcW w:w="720" w:type="dxa"/>
            <w:vAlign w:val="bottom"/>
            <w:gridSpan w:val="2"/>
          </w:tcPr>
          <w:p>
            <w:pPr>
              <w:jc w:val="right"/>
              <w:ind w:right="6"/>
              <w:spacing w:after="0"/>
              <w:rPr>
                <w:sz w:val="20"/>
                <w:szCs w:val="20"/>
                <w:color w:val="auto"/>
              </w:rPr>
            </w:pPr>
            <w:r>
              <w:rPr>
                <w:rFonts w:ascii="Arial" w:cs="Arial" w:eastAsia="Arial" w:hAnsi="Arial"/>
                <w:sz w:val="16"/>
                <w:szCs w:val="16"/>
                <w:color w:val="auto"/>
              </w:rPr>
              <w:t>3,326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w w:val="92"/>
              </w:rPr>
              <w:t>13.5 %</w:t>
            </w:r>
          </w:p>
        </w:tc>
      </w:tr>
      <w:tr>
        <w:trPr>
          <w:trHeight w:val="219"/>
        </w:trPr>
        <w:tc>
          <w:tcPr>
            <w:tcW w:w="2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4.2 %</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5.2 %</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20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$ 662,428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$ 474,560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w w:val="84"/>
              </w:rPr>
              <w:t>$ 187,868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w w:val="92"/>
              </w:rPr>
              <w:t xml:space="preserve">39.6 </w:t>
            </w:r>
            <w:r>
              <w:rPr>
                <w:rFonts w:ascii="Arial" w:cs="Arial" w:eastAsia="Arial" w:hAnsi="Arial"/>
                <w:sz w:val="16"/>
                <w:szCs w:val="16"/>
                <w:color w:val="auto"/>
                <w:w w:val="92"/>
              </w:rPr>
              <w:t>%</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Product revenue, which includes new system sales, sales of spare parts, product upgrades and used system sales was $634.4 million or 95.8% of revenue in 2021, compared with $449.9 million or 94.8% of revenue in 2020. The increase in product revenue in 2021 was primarily driven by an increase in the number of Purion systems sold.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A portion of our revenue from system sales is deferred until installation and other services related to future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deliverables are performed. The total amount of deferred revenue at December 31, 2021 and 2020 was $68.4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$23.1 million, respectively. The increase was primarily due to an increase in system prepayments in the current year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systems sold.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Services revenue, which includes the labor component of maintenance and service contracts and fees for service hours provided by on-site service personnel, was $28.0 million, or 4.2% of revenue for 2021, compared with $24.7 million, or 5.2% of revenue for 2020. Although services revenue should increase with the expansion of the installed base of systems, it can fluctuate from period to period based on capacity utilization at customers’ manufacturing facilities, which affects the need for equipment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the line item revenue categories discussed above, management also uses revenue categorizations which break down revenue into other groupings. Management regularly disaggregates revenue in the following categories, which it finds relevant and useful:</w:t>
      </w:r>
    </w:p>
    <w:p>
      <w:pPr>
        <w:spacing w:after="0" w:line="184" w:lineRule="exact"/>
        <w:rPr>
          <w:sz w:val="20"/>
          <w:szCs w:val="20"/>
          <w:color w:val="auto"/>
        </w:rPr>
      </w:pPr>
    </w:p>
    <w:p>
      <w:pPr>
        <w:ind w:left="1320" w:right="580" w:hanging="316"/>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Systems and Customer Satisfaction and Innovation (also known as “aftermarket”) revenue, in which “CS&amp;I” or “Aftermarket” revenue is</w:t>
      </w:r>
    </w:p>
    <w:p>
      <w:pPr>
        <w:spacing w:after="0" w:line="170" w:lineRule="exact"/>
        <w:rPr>
          <w:rFonts w:ascii="Arial" w:cs="Arial" w:eastAsia="Arial" w:hAnsi="Arial"/>
          <w:sz w:val="18"/>
          <w:szCs w:val="18"/>
          <w:color w:val="auto"/>
        </w:rPr>
      </w:pPr>
    </w:p>
    <w:p>
      <w:pPr>
        <w:ind w:left="1980" w:right="660" w:hanging="328"/>
        <w:spacing w:after="0" w:line="258" w:lineRule="auto"/>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systems combined with;</w:t>
      </w:r>
    </w:p>
    <w:p>
      <w:pPr>
        <w:spacing w:after="0" w:line="1" w:lineRule="exact"/>
        <w:rPr>
          <w:rFonts w:ascii="Arial" w:cs="Arial" w:eastAsia="Arial" w:hAnsi="Arial"/>
          <w:sz w:val="18"/>
          <w:szCs w:val="18"/>
          <w:color w:val="auto"/>
        </w:rPr>
      </w:pPr>
    </w:p>
    <w:p>
      <w:pPr>
        <w:ind w:left="1980" w:hanging="328"/>
        <w:spacing w:after="0"/>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Service revenue, which is the labor component of aftermarket revenues</w:t>
      </w:r>
    </w:p>
    <w:p>
      <w:pPr>
        <w:spacing w:after="0" w:line="211" w:lineRule="exact"/>
        <w:rPr>
          <w:sz w:val="20"/>
          <w:szCs w:val="20"/>
          <w:color w:val="auto"/>
        </w:rPr>
      </w:pPr>
    </w:p>
    <w:p>
      <w:pPr>
        <w:ind w:left="1300" w:right="380"/>
        <w:spacing w:after="0" w:line="308" w:lineRule="auto"/>
        <w:rPr>
          <w:sz w:val="20"/>
          <w:szCs w:val="20"/>
          <w:color w:val="auto"/>
        </w:rPr>
      </w:pPr>
      <w:r>
        <w:rPr>
          <w:rFonts w:ascii="Arial" w:cs="Arial" w:eastAsia="Arial" w:hAnsi="Arial"/>
          <w:sz w:val="17"/>
          <w:szCs w:val="17"/>
          <w:color w:val="auto"/>
        </w:rPr>
        <w:t>Aftermarket revenue reflect current fab utilization as opposed to System revenue, which reflects capital investment decisions by our customers, which have differing economic drivers;</w:t>
      </w:r>
    </w:p>
    <w:p>
      <w:pPr>
        <w:spacing w:after="0" w:line="146" w:lineRule="exact"/>
        <w:rPr>
          <w:sz w:val="20"/>
          <w:szCs w:val="20"/>
          <w:color w:val="auto"/>
        </w:rPr>
      </w:pPr>
    </w:p>
    <w:p>
      <w:pPr>
        <w:ind w:left="1320" w:right="40" w:hanging="316"/>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20" w:right="140" w:hanging="316"/>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by our customers’ end markets, since they tend to be subject to different economic environments at different periods of time, impacting a customer’s likelihood of purchasing capital equipment during any particular period; currently, management uses three end market categories: Memory, mature process technology and leading edge foundry and logic.</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CS&amp;I/aftermarket revenue categories for the twelve month periods ended December 31, 2021 and 2020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CS&amp;I/Aftermarket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 from our aftermarket business was $207.8 million in 2021, compared to $180.9 million for 2020. Aftermarket revenue generally increases with the expansion of the installed base of systems but can fluctuate from period to period based on capacity utilization at customers’ manufacturing facilities which affects the sale of spare parts and demand for equipment service.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341" w:right="1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(dollars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left="582"/>
              <w:spacing w:after="0"/>
              <w:rPr>
                <w:sz w:val="20"/>
                <w:szCs w:val="20"/>
                <w:color w:val="auto"/>
              </w:rPr>
            </w:pPr>
            <w:r>
              <w:rPr>
                <w:rFonts w:ascii="Arial" w:cs="Arial" w:eastAsia="Arial" w:hAnsi="Arial"/>
                <w:sz w:val="14"/>
                <w:szCs w:val="14"/>
                <w:b w:val="1"/>
                <w:bCs w:val="1"/>
                <w:color w:val="auto"/>
                <w:w w:val="92"/>
              </w:rPr>
              <w:t>Year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94"/>
              </w:rPr>
              <w:t>Period-to-Period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84"/>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20"/>
              <w:spacing w:after="0"/>
              <w:rPr>
                <w:sz w:val="20"/>
                <w:szCs w:val="20"/>
                <w:color w:val="auto"/>
              </w:rPr>
            </w:pPr>
            <w:r>
              <w:rPr>
                <w:rFonts w:ascii="Arial" w:cs="Arial" w:eastAsia="Arial" w:hAnsi="Arial"/>
                <w:sz w:val="16"/>
                <w:szCs w:val="16"/>
                <w:color w:val="auto"/>
              </w:rPr>
              <w:t>Product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284,887</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197,513</w:t>
            </w:r>
          </w:p>
        </w:tc>
        <w:tc>
          <w:tcPr>
            <w:tcW w:w="260" w:type="dxa"/>
            <w:vAlign w:val="bottom"/>
          </w:tcPr>
          <w:p>
            <w:pPr>
              <w:spacing w:after="0"/>
              <w:rPr>
                <w:sz w:val="18"/>
                <w:szCs w:val="18"/>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87,374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44.2</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Product gross margin</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44.9 %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i w:val="1"/>
                <w:iCs w:val="1"/>
                <w:color w:val="auto"/>
              </w:rPr>
              <w:t>43.9 %</w:t>
            </w: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45.5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3"/>
        </w:trPr>
        <w:tc>
          <w:tcPr>
            <w:tcW w:w="2480" w:type="dxa"/>
            <w:vAlign w:val="bottom"/>
          </w:tcPr>
          <w:p>
            <w:pPr>
              <w:ind w:left="320"/>
              <w:spacing w:after="0"/>
              <w:rPr>
                <w:sz w:val="20"/>
                <w:szCs w:val="20"/>
                <w:color w:val="auto"/>
              </w:rPr>
            </w:pPr>
            <w:r>
              <w:rPr>
                <w:rFonts w:ascii="Arial" w:cs="Arial" w:eastAsia="Arial" w:hAnsi="Arial"/>
                <w:sz w:val="16"/>
                <w:szCs w:val="16"/>
                <w:i w:val="1"/>
                <w:iCs w:val="1"/>
                <w:color w:val="auto"/>
              </w:rPr>
              <w:t>Services gross margin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5.6 %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6"/>
                <w:szCs w:val="16"/>
                <w:i w:val="1"/>
                <w:iCs w:val="1"/>
                <w:color w:val="auto"/>
              </w:rPr>
              <w:t>4.3 %</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286,445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198,584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87,861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44.2</w:t>
            </w:r>
          </w:p>
        </w:tc>
        <w:tc>
          <w:tcPr>
            <w:tcW w:w="46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i w:val="1"/>
                <w:iCs w:val="1"/>
                <w:color w:val="auto"/>
                <w:w w:val="84"/>
              </w:rPr>
              <w:t>%</w:t>
            </w: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i w:val="1"/>
                <w:iCs w:val="1"/>
                <w:color w:val="auto"/>
                <w:w w:val="84"/>
              </w:rPr>
              <w:t>%</w:t>
            </w: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4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43.2</w:t>
            </w:r>
          </w:p>
        </w:tc>
        <w:tc>
          <w:tcPr>
            <w:tcW w:w="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41.8</w:t>
            </w:r>
          </w:p>
        </w:tc>
        <w:tc>
          <w:tcPr>
            <w:tcW w:w="2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Gross margin from product revenue was 44.9% for the twelve months ended December 31, 2021, compared to 43.9% for the twelve months ended December 31, 2020. The increase in gross margin resulted from improved margins on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Gross margin from services revenue was 5.6% for the twelve months ended December 31, 2021, compared to 4.3% for the twelve months ended December 31, 2020. The increase in gross margin is attributable to changes in the mix of service contracts.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right"/>
              <w:ind w:right="69"/>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94"/>
              </w:rPr>
              <w:t>Period-to-Period</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w w:val="96"/>
              </w:rPr>
              <w:t>2020</w:t>
            </w:r>
          </w:p>
        </w:tc>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80" w:type="dxa"/>
            <w:vAlign w:val="bottom"/>
            <w:gridSpan w:val="2"/>
            <w:vMerge w:val="continue"/>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2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65,431</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61,833</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3,598</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i w:val="1"/>
                <w:iCs w:val="1"/>
                <w:color w:val="auto"/>
              </w:rPr>
              <w:t xml:space="preserve">5.8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
              <w:spacing w:after="0" w:line="149" w:lineRule="exact"/>
              <w:rPr>
                <w:sz w:val="20"/>
                <w:szCs w:val="20"/>
                <w:color w:val="auto"/>
              </w:rPr>
            </w:pPr>
            <w:r>
              <w:rPr>
                <w:rFonts w:ascii="Arial" w:cs="Arial" w:eastAsia="Arial" w:hAnsi="Arial"/>
                <w:sz w:val="14"/>
                <w:szCs w:val="14"/>
                <w:i w:val="1"/>
                <w:iCs w:val="1"/>
                <w:color w:val="auto"/>
              </w:rPr>
              <w:t>9.9 %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i w:val="1"/>
                <w:iCs w:val="1"/>
                <w:color w:val="auto"/>
              </w:rPr>
              <w:t>13.0 %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8,802</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i w:val="1"/>
                <w:iCs w:val="1"/>
                <w:color w:val="auto"/>
              </w:rPr>
              <w:t xml:space="preserve">22.7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
              <w:spacing w:after="0" w:line="149" w:lineRule="exact"/>
              <w:rPr>
                <w:sz w:val="20"/>
                <w:szCs w:val="20"/>
                <w:color w:val="auto"/>
              </w:rPr>
            </w:pPr>
            <w:r>
              <w:rPr>
                <w:rFonts w:ascii="Arial" w:cs="Arial" w:eastAsia="Arial" w:hAnsi="Arial"/>
                <w:sz w:val="14"/>
                <w:szCs w:val="14"/>
                <w:i w:val="1"/>
                <w:iCs w:val="1"/>
                <w:color w:val="auto"/>
              </w:rPr>
              <w:t>7.1 %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i w:val="1"/>
                <w:iCs w:val="1"/>
                <w:color w:val="auto"/>
              </w:rPr>
              <w:t>8.2 %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39,964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6,177</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i w:val="1"/>
                <w:iCs w:val="1"/>
                <w:color w:val="auto"/>
              </w:rPr>
              <w:t xml:space="preserve">15.5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8"/>
              <w:spacing w:after="0" w:line="149" w:lineRule="exact"/>
              <w:rPr>
                <w:sz w:val="20"/>
                <w:szCs w:val="20"/>
                <w:color w:val="auto"/>
              </w:rPr>
            </w:pPr>
            <w:r>
              <w:rPr>
                <w:rFonts w:ascii="Arial" w:cs="Arial" w:eastAsia="Arial" w:hAnsi="Arial"/>
                <w:sz w:val="14"/>
                <w:szCs w:val="14"/>
                <w:i w:val="1"/>
                <w:iCs w:val="1"/>
                <w:color w:val="auto"/>
              </w:rPr>
              <w:t>7.0 %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i w:val="1"/>
                <w:iCs w:val="1"/>
                <w:color w:val="auto"/>
              </w:rPr>
              <w:t>8.4 %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159,120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140,543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18,577</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i w:val="1"/>
                <w:iCs w:val="1"/>
                <w:color w:val="auto"/>
              </w:rPr>
              <w:t xml:space="preserve">13.2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18"/>
              <w:spacing w:after="0"/>
              <w:rPr>
                <w:sz w:val="20"/>
                <w:szCs w:val="20"/>
                <w:color w:val="auto"/>
              </w:rPr>
            </w:pPr>
            <w:r>
              <w:rPr>
                <w:rFonts w:ascii="Arial" w:cs="Arial" w:eastAsia="Arial" w:hAnsi="Arial"/>
                <w:sz w:val="12"/>
                <w:szCs w:val="12"/>
                <w:i w:val="1"/>
                <w:iCs w:val="1"/>
                <w:color w:val="auto"/>
                <w:w w:val="74"/>
              </w:rPr>
              <w:t>%</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24.0</w:t>
            </w: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29.6</w:t>
            </w: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operating expenses consist primarily of personnel costs, including salaries, commissions, bonuses, stock-based compensation and related benefits and taxes; project material costs related to the design and development of new products and enhancement of existing products; and professional fees, travel and depreciation expenses. Personnel costs are our largest expense, representing $100.3 million, or 63.1% of our total operating expenses, for the year ended December 31, 2021; and $90.1 million, or 64.1% of our total operating expenses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left="404"/>
              <w:spacing w:after="0"/>
              <w:rPr>
                <w:sz w:val="20"/>
                <w:szCs w:val="20"/>
                <w:color w:val="auto"/>
              </w:rPr>
            </w:pPr>
            <w:r>
              <w:rPr>
                <w:rFonts w:ascii="Arial" w:cs="Arial" w:eastAsia="Arial" w:hAnsi="Arial"/>
                <w:sz w:val="14"/>
                <w:szCs w:val="14"/>
                <w:b w:val="1"/>
                <w:bCs w:val="1"/>
                <w:color w:val="auto"/>
                <w:w w:val="92"/>
              </w:rPr>
              <w:t>Year ended</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Period-to-Period</w:t>
            </w:r>
          </w:p>
        </w:tc>
      </w:tr>
      <w:tr>
        <w:trPr>
          <w:trHeight w:val="171"/>
        </w:trPr>
        <w:tc>
          <w:tcPr>
            <w:tcW w:w="3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r>
      <w:tr>
        <w:trPr>
          <w:trHeight w:val="128"/>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w w:val="99"/>
              </w:rPr>
              <w:t>(dollars in thousands)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 xml:space="preserve">5.8 </w:t>
            </w:r>
            <w:r>
              <w:rPr>
                <w:rFonts w:ascii="Arial" w:cs="Arial" w:eastAsia="Arial" w:hAnsi="Arial"/>
                <w:sz w:val="16"/>
                <w:szCs w:val="16"/>
                <w:color w:val="auto"/>
              </w:rPr>
              <w:t>%</w:t>
            </w:r>
          </w:p>
        </w:tc>
      </w:tr>
      <w:tr>
        <w:trPr>
          <w:trHeight w:val="210"/>
        </w:trPr>
        <w:tc>
          <w:tcPr>
            <w:tcW w:w="392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9.9 %</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i w:val="1"/>
                <w:iCs w:val="1"/>
                <w:color w:val="auto"/>
              </w:rPr>
              <w:t>13.0 %</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8" w:lineRule="exact"/>
        <w:rPr>
          <w:sz w:val="20"/>
          <w:szCs w:val="20"/>
          <w:color w:val="auto"/>
        </w:rPr>
      </w:pPr>
    </w:p>
    <w:p>
      <w:pPr>
        <w:ind w:left="20" w:right="12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drive competitive advantages.</w:t>
      </w:r>
    </w:p>
    <w:p>
      <w:pPr>
        <w:spacing w:after="0" w:line="187" w:lineRule="exact"/>
        <w:rPr>
          <w:sz w:val="20"/>
          <w:szCs w:val="20"/>
          <w:color w:val="auto"/>
        </w:rPr>
      </w:pPr>
    </w:p>
    <w:p>
      <w:pPr>
        <w:ind w:left="20" w:right="20" w:firstLine="648"/>
        <w:spacing w:after="0" w:line="259" w:lineRule="auto"/>
        <w:rPr>
          <w:sz w:val="20"/>
          <w:szCs w:val="20"/>
          <w:color w:val="auto"/>
        </w:rPr>
      </w:pPr>
      <w:r>
        <w:rPr>
          <w:rFonts w:ascii="Arial" w:cs="Arial" w:eastAsia="Arial" w:hAnsi="Arial"/>
          <w:sz w:val="18"/>
          <w:szCs w:val="18"/>
          <w:color w:val="auto"/>
        </w:rPr>
        <w:t>Research and development expense was $65.4 million in 2021, an increase of $3.6 million, or 5.8%, compared with $61.8 million in 2020. The increase was primarily due to higher payroll related costs due to increased headcount and incentive based pay as well as increased material and supplies expense and depreciation associated with capital additions to support ongoing projects.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gridSpan w:val="3"/>
          </w:tcPr>
          <w:p>
            <w:pPr>
              <w:jc w:val="center"/>
              <w:ind w:left="306"/>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(dollars in</w:t>
            </w:r>
          </w:p>
        </w:tc>
        <w:tc>
          <w:tcPr>
            <w:tcW w:w="820" w:type="dxa"/>
            <w:vAlign w:val="bottom"/>
            <w:gridSpan w:val="2"/>
          </w:tcPr>
          <w:p>
            <w:pPr>
              <w:jc w:val="right"/>
              <w:ind w:right="246"/>
              <w:spacing w:after="0" w:line="129" w:lineRule="exact"/>
              <w:rPr>
                <w:sz w:val="20"/>
                <w:szCs w:val="20"/>
                <w:color w:val="auto"/>
              </w:rPr>
            </w:pPr>
            <w:r>
              <w:rPr>
                <w:rFonts w:ascii="Arial" w:cs="Arial" w:eastAsia="Arial" w:hAnsi="Arial"/>
                <w:sz w:val="12"/>
                <w:szCs w:val="12"/>
                <w:b w:val="1"/>
                <w:bCs w:val="1"/>
                <w:color w:val="auto"/>
                <w:w w:val="74"/>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i w:val="1"/>
                <w:iCs w:val="1"/>
                <w:color w:val="auto"/>
              </w:rPr>
              <w:t xml:space="preserve">22.7 </w:t>
            </w: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6"/>
                <w:szCs w:val="16"/>
                <w:i w:val="1"/>
                <w:iCs w:val="1"/>
                <w:color w:val="auto"/>
              </w:rPr>
              <w:t>Percentage of revenue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7.1 %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8.2 %</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8" w:lineRule="exact"/>
        <w:rPr>
          <w:sz w:val="20"/>
          <w:szCs w:val="20"/>
          <w:color w:val="auto"/>
        </w:rPr>
      </w:pPr>
    </w:p>
    <w:p>
      <w:pPr>
        <w:ind w:left="20"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Sales and marketing expense was $47.5 million in 2021, an increase of $8.8 million, or 22.7%, compared with</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$38.7 million in 2020. The increase was primarily due to higher payroll related costs due to increased headcount and incentive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based pay as well as increased freight and project materials expense.</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jc w:val="center"/>
              <w:ind w:left="344"/>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324"/>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6"/>
          </w:tcPr>
          <w:p>
            <w:pPr>
              <w:ind w:left="2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46,141</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39,964</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6,177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i w:val="1"/>
                <w:iCs w:val="1"/>
                <w:color w:val="auto"/>
              </w:rPr>
              <w:t xml:space="preserve">15.5 </w:t>
            </w: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6"/>
                <w:szCs w:val="16"/>
                <w:i w:val="1"/>
                <w:iCs w:val="1"/>
                <w:color w:val="auto"/>
              </w:rPr>
              <w:t>Percentage of revenue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7.0 %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8.4 %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208" w:lineRule="exact"/>
        <w:rPr>
          <w:sz w:val="20"/>
          <w:szCs w:val="20"/>
          <w:color w:val="auto"/>
        </w:rPr>
      </w:pPr>
    </w:p>
    <w:p>
      <w:pPr>
        <w:ind w:left="20"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jc w:val="both"/>
        <w:ind w:left="20" w:right="20" w:firstLine="648"/>
        <w:spacing w:after="0" w:line="263" w:lineRule="auto"/>
        <w:rPr>
          <w:sz w:val="20"/>
          <w:szCs w:val="20"/>
          <w:color w:val="auto"/>
        </w:rPr>
      </w:pPr>
      <w:r>
        <w:rPr>
          <w:rFonts w:ascii="Arial" w:cs="Arial" w:eastAsia="Arial" w:hAnsi="Arial"/>
          <w:sz w:val="18"/>
          <w:szCs w:val="18"/>
          <w:color w:val="auto"/>
        </w:rPr>
        <w:t>General and administrative expense was $46.1 million in 2021, an increase of $6.2 million, or 15.5% compared with $40.0 million in 2020. The increase was primarily due to higher payroll related costs due to increased headcount and incentive based pay as well as increases in various other expenses to support growth.</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(Expense) Income</w:t>
      </w:r>
    </w:p>
    <w:p>
      <w:pPr>
        <w:spacing w:after="0" w:line="229" w:lineRule="exact"/>
        <w:rPr>
          <w:sz w:val="20"/>
          <w:szCs w:val="20"/>
          <w:color w:val="auto"/>
        </w:rPr>
      </w:pPr>
    </w:p>
    <w:p>
      <w:pPr>
        <w:ind w:left="2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lease obligation we incurred in connection with the 2015 sale of our headquarters facility (“sale leaseback”) and other financing obligations, foreign exchange gains and losses attributable to fluctuations of the U.S. dollar against the local currencies of certain of the countries in which we operate, as well as interest earned on our invested cash balances.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57950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40"/>
          </w:cols>
          <w:pgMar w:left="1360" w:top="121" w:right="13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left="40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Period-to-period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5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06"/>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w w:val="96"/>
              </w:rPr>
              <w:t>%</w:t>
            </w:r>
          </w:p>
        </w:tc>
        <w:tc>
          <w:tcPr>
            <w:tcW w:w="420" w:type="dxa"/>
            <w:vAlign w:val="bottom"/>
          </w:tcPr>
          <w:p>
            <w:pPr>
              <w:spacing w:after="0"/>
              <w:rPr>
                <w:sz w:val="12"/>
                <w:szCs w:val="12"/>
                <w:color w:val="auto"/>
              </w:rPr>
            </w:pPr>
          </w:p>
        </w:tc>
      </w:tr>
      <w:tr>
        <w:trPr>
          <w:trHeight w:val="128"/>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(6,897)</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(2,155)</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(4,742)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i w:val="1"/>
                <w:iCs w:val="1"/>
                <w:color w:val="auto"/>
              </w:rPr>
              <w:t xml:space="preserve">220.0 </w:t>
            </w:r>
            <w:r>
              <w:rPr>
                <w:rFonts w:ascii="Arial" w:cs="Arial" w:eastAsia="Arial" w:hAnsi="Arial"/>
                <w:sz w:val="16"/>
                <w:szCs w:val="16"/>
                <w:color w:val="auto"/>
              </w:rPr>
              <w:t>%</w:t>
            </w:r>
          </w:p>
        </w:tc>
      </w:tr>
      <w:tr>
        <w:trPr>
          <w:trHeight w:val="210"/>
        </w:trPr>
        <w:tc>
          <w:tcPr>
            <w:tcW w:w="412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(1.0)%</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i w:val="1"/>
                <w:iCs w:val="1"/>
                <w:color w:val="auto"/>
              </w:rPr>
              <w:t>(0.4)%</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20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Other expense for the year ended December 31, 2021 was $6.9 million, which includes $5.1 million of interest expense related to our sale leaseback obligation and $2.5 million of foreign currency translation losses, slightly offset by other miscellaneous income of $0.3 million, a reversal of interest expense of $0.2 million relating to a tax position for which the statute of limitations expired and interest income of $0.2 million. Other expense for the year ended December 31, 2020 was $2.2 million, which includes $5.2 million of interest expense related to our sale leaseback obligation, offset partially by $1.4 million of foreign currency translation gains, other miscellaneous income of $0.9 million and interest income of $0.7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left="404"/>
              <w:spacing w:after="0"/>
              <w:rPr>
                <w:sz w:val="20"/>
                <w:szCs w:val="20"/>
                <w:color w:val="auto"/>
              </w:rPr>
            </w:pPr>
            <w:r>
              <w:rPr>
                <w:rFonts w:ascii="Arial" w:cs="Arial" w:eastAsia="Arial" w:hAnsi="Arial"/>
                <w:sz w:val="14"/>
                <w:szCs w:val="14"/>
                <w:b w:val="1"/>
                <w:bCs w:val="1"/>
                <w:color w:val="auto"/>
                <w:w w:val="92"/>
              </w:rPr>
              <w:t>Year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3"/>
              </w:rPr>
              <w:t>Period-to-period</w:t>
            </w:r>
          </w:p>
        </w:tc>
      </w:tr>
      <w:tr>
        <w:trPr>
          <w:trHeight w:val="171"/>
        </w:trPr>
        <w:tc>
          <w:tcPr>
            <w:tcW w:w="4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06"/>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4"/>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r>
      <w:tr>
        <w:trPr>
          <w:trHeight w:val="128"/>
        </w:trPr>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i w:val="1"/>
                <w:iCs w:val="1"/>
                <w:color w:val="auto"/>
              </w:rPr>
              <w:t xml:space="preserve">268.9 </w:t>
            </w:r>
            <w:r>
              <w:rPr>
                <w:rFonts w:ascii="Arial" w:cs="Arial" w:eastAsia="Arial" w:hAnsi="Arial"/>
                <w:sz w:val="16"/>
                <w:szCs w:val="16"/>
                <w:color w:val="auto"/>
              </w:rPr>
              <w:t>%</w:t>
            </w:r>
          </w:p>
        </w:tc>
      </w:tr>
      <w:tr>
        <w:trPr>
          <w:trHeight w:val="210"/>
        </w:trPr>
        <w:tc>
          <w:tcPr>
            <w:tcW w:w="400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08"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Income tax expense was $21.8 million for the year ended December 31, 2021 compared to $5.9 million in the previous year. The effective tax rate for the year ended December 31, 2021 was 18.1% compared to 10.6% for year the ended December 31, 2020. The increase in the effective tax rate is primarily due to a previously unrecognized tax benefit of $4.3 million in the prior year. We have significant net operating loss carryforwards in the United States and certain European jurisdictions, and as a result, we do not currently pay significant income taxes in those jurisdictions.</w:t>
      </w:r>
    </w:p>
    <w:p>
      <w:pPr>
        <w:spacing w:after="0" w:line="17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At December 31, 2021, we had $35.5 million of net deferred tax assets worldwide relating to net operating loss carryforwards, tax credit carryforwards and other temporary differences, which are available to reduce income taxes in future years. We have recorded a $7.7 million valuation allowance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liquidity is affected by many factors. Some of these relate specifically to the operations of our business. For example, our sales and other factors are influenced by the uncertainties of global economies, including the availability of credit and the condition of the overall semiconductor capital equipment industry. Our established cost structure does not vary significantly with changes in volume. We experience fluctuations in operating results and cash flows depending on fluctuations in our revenue level.</w:t>
      </w:r>
    </w:p>
    <w:p>
      <w:pPr>
        <w:spacing w:after="0" w:line="188"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In 2021, $150.2 million of cash was provided by operating activities. This compares to $69.7 million of cash provided by operations in 2020. Cash and cash equivalents at December 31, 2021 was $294.9 million, compared to $203.5 million at December 31, 2020. Approximately $32.6 million of cash was located in foreign jurisdictions as of December 31, 2021. In addition to the cash and cash equivalent balance at December 31, 2021, we had $0.8 million in restricted cash which relates to a $0.7 million letter of credit relating to workers’ compensation insurance and a $0.1 million deposit relating to customs activity. Working capital at December 31, 2021 was $469.1 million. At December 31, 2021, we had no bank debt.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expenditures were $8.7 million for the year ended December 31, 2021. Capital expenditures were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$7.4 million for the year ended December 31, 2020. Total capital expenditures for 2022 are projected to be approximately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334" w:right="1399" w:bottom="1440" w:gutter="0" w:footer="0" w:header="0"/>
        </w:sectPr>
      </w:pPr>
    </w:p>
    <w:bookmarkStart w:id="26" w:name="page27"/>
    <w:bookmarkEnd w:id="26"/>
    <w:p>
      <w:pPr>
        <w:ind w:right="200"/>
        <w:spacing w:after="0" w:line="277" w:lineRule="auto"/>
        <w:rPr>
          <w:sz w:val="20"/>
          <w:szCs w:val="20"/>
          <w:color w:val="auto"/>
        </w:rPr>
      </w:pPr>
      <w:r>
        <w:rPr>
          <w:rFonts w:ascii="Arial" w:cs="Arial" w:eastAsia="Arial" w:hAnsi="Arial"/>
          <w:sz w:val="18"/>
          <w:szCs w:val="18"/>
          <w:color w:val="auto"/>
        </w:rPr>
        <w:t>$13.0 million. Future capital expenditures beyond 2022 will depend on a number of factors, including the timing and rate of expansion of our business and our ability to generate cash to fund them.</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Cash used in financing activities for the year ended December 31, 2021 was $52.4 million, which consisted of $50.0 million related to our stock repurchase program, $6.6 million related to net settlement of restricted stock issuances and $0.8 million related to principal reduction on our financing lease. These amounts were partially offset by $3.7 million in proceeds of stock option exercises and $1.2 million in proceeds from our employee stock purchase plan. Cash used in financing activities was $2.4 million for the year ended December 31, 2020, which consisted of $7.5 million related to our stock repurchase program, $3.9 million related to net settlement of restricted stock issuances, and $0.4 million of principal payment on our finance lease obligation. These uses of cash were partially offset by $8.4 million in proceeds of stock option exercises and $1.0 million in proceeds from our employee stock purchase plan.</w:t>
      </w:r>
    </w:p>
    <w:p>
      <w:pPr>
        <w:spacing w:after="0" w:line="17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outstanding letters of credit, surety bonds and deposits in the amount of $14.4 million to cover the security deposit under the lease of our headquarters, our workers’ compensation insurance program, customs and bank deposits and certain value added tax claims in Europe.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our commercial commitments as of December 31, 2021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Commitment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2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left="297"/>
              <w:spacing w:after="0"/>
              <w:rPr>
                <w:sz w:val="20"/>
                <w:szCs w:val="20"/>
                <w:color w:val="auto"/>
              </w:rPr>
            </w:pPr>
            <w:r>
              <w:rPr>
                <w:rFonts w:ascii="Arial" w:cs="Arial" w:eastAsia="Arial" w:hAnsi="Arial"/>
                <w:sz w:val="14"/>
                <w:szCs w:val="14"/>
                <w:b w:val="1"/>
                <w:bCs w:val="1"/>
                <w:color w:val="auto"/>
                <w:w w:val="95"/>
              </w:rPr>
              <w:t>Expiration by Period</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Surety bonds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Standby letters of credit and deposits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our contractual obligations as of December 31, 2021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Payments Due by Period</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2023-2024</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2025-2026</w:t>
            </w:r>
          </w:p>
        </w:tc>
        <w:tc>
          <w:tcPr>
            <w:tcW w:w="14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2027 - Beyond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 leaseback obligation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$ 12,366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$ 11,938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 order commitments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226,448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223,922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334,207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234,841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$ 18,319</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$ 13,193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of December 31, 2021.</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have net operating loss and tax credit carryforwards, the tax effect of which aggregate $33.7 million at December 31, 2021. These carryforwards, which expire principally between 2022 and 2034, are available to reduce future income tax liabilities in the United States and certain foreign jurisdictions.</w:t>
      </w:r>
    </w:p>
    <w:p>
      <w:pPr>
        <w:spacing w:after="0" w:line="18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consider the undistributed earnings of our foreign subsidiaries as of December 31, 2021, to be indefinitely reinvested and, accordingly, no U.S. income taxes have been provided thereon. As of December 31, 2021, the amount of cash associated with indefinitely reinvested foreign earnings was approximately $10.4 million. We have not, nor do we anticipate the need to, repatriate funds to the United States to satisfy domestic liquidity needs arising in the ordinary course of business, including liquidity needs associated with any domestic debt service requirements. Upon repatriation of those earnings, in the form of dividends or otherwise, we could be subject to withholding taxes payable to the various foreign tax jurisdictions.</w:t>
      </w:r>
    </w:p>
    <w:p>
      <w:pPr>
        <w:spacing w:after="0" w:line="164"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filing, prior to which time we may file another shelf registration statement to maintain the availability of this financing option.</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December 31, 2021,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believe that based on our current market, revenue, expense and cash flow forecasts, our existing cash, cash equivalents and borrowing capacity will be sufficient to satisfy our anticipated cash requirements for the short and long-term.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are no significant related-party transactions that require disclosure in the consolidated financial statements for the year ended December 31, 2021, or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A discussion of recent accounting pronouncements, the impact of some of which may be material, is included in Note 2 to the consolidated financial statements for the year ended December 31, 2021 included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exposure to market risk for changes in interest rates relates primarily to our investment portfolio, which consists entirely of cash equivalents at December 31, 2021. The primary objective of our investment activities is to preserve principal. This is accomplished by investing in marketable investment grade securities. We do not use derivative financial instruments in managing our investment portfolio. Due to the nature of our investments, we do not expect our operating results or cash flows to be affected to any significant degree by any change in market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Substantially all of our sales are billed in U.S. dollars, thereby reducing the impact of fluctuations in foreign exchange rates on our results. Operating margins of certain foreign operations can fluctuate with changes in foreign exchange rates to the extent revenue is billed in U.S. dollars and operating expenses are incurred in the local currency. During the years ended December 31, 2021 and 2020, approximately 21.6% and 26.0% of our revenue, respectively, were derived in local currencies from foreign operations with this inherent risk. In addition, at both December 31, 2021 and 2020, our operations outside of the United States accounted for approximately 12.6% and 13.7% of our total assets, respectively, the majority of which was denominated in currencies other than the U.S. dollar. We currently do not use derivative financial instruments in managing our foreign currency exchange risk.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to this Item is submitted as a separate section of this report immediately following Item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annual report (the “Evaluation Date”). Based on this evaluation, our principal executive officer and principal financial officer concluded that, as of the Evaluation Date, these disclosure controls and procedures are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all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2021. In making this assessment, management used the criteria set forth in the Committee of Sponsoring Organizations of the Treadway Commission (COSO) Internal Control—2013 Integrated Framework.</w:t>
      </w:r>
    </w:p>
    <w:p>
      <w:pPr>
        <w:spacing w:after="0" w:line="18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Based on this assessment, management has concluded that, as of December 31, 2021, our internal control over financial reporting is effective based on those criteria.</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independent registered public accounting firm of Ernst &amp; Young LLP, as auditors of our consolidated financial statements, has issued an attestation report on its assessment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21" w:right="1439" w:bottom="1440" w:gutter="0" w:footer="0" w:header="0"/>
        </w:sectPr>
      </w:pPr>
    </w:p>
    <w:bookmarkStart w:id="29" w:name="page30"/>
    <w:bookmarkEnd w:id="29"/>
    <w:p>
      <w:pPr>
        <w:ind w:right="2300" w:firstLine="2307"/>
        <w:spacing w:after="0" w:line="42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Axcelis Technologies, Inc. </w:t>
      </w:r>
      <w:r>
        <w:rPr>
          <w:rFonts w:ascii="Arial" w:cs="Arial" w:eastAsia="Arial" w:hAnsi="Arial"/>
          <w:sz w:val="18"/>
          <w:szCs w:val="18"/>
          <w:b w:val="1"/>
          <w:bCs w:val="1"/>
          <w:color w:val="auto"/>
        </w:rPr>
        <w:t>Opinion on Internal Control Over Financial Reporting</w:t>
      </w:r>
    </w:p>
    <w:p>
      <w:pPr>
        <w:jc w:val="both"/>
        <w:ind w:firstLine="648"/>
        <w:spacing w:after="0" w:line="257" w:lineRule="auto"/>
        <w:rPr>
          <w:sz w:val="20"/>
          <w:szCs w:val="20"/>
          <w:color w:val="auto"/>
        </w:rPr>
      </w:pPr>
      <w:r>
        <w:rPr>
          <w:rFonts w:ascii="Arial" w:cs="Arial" w:eastAsia="Arial" w:hAnsi="Arial"/>
          <w:sz w:val="18"/>
          <w:szCs w:val="18"/>
          <w:color w:val="auto"/>
        </w:rPr>
        <w:t>We have audited Axcelis Technologies, Inc.’s internal control over financial reporting as of December 31, 2021, based on criteria established in Internal Control—Integrated Framework issued by the Committee of Sponsoring Organizations of the Treadway Commission (2013 framework) (the COSO criteria). In our opinion, Axcelis Technologies, Inc. (the Company) maintained, in all material respects, effective internal control over financial reporting as of December 31, 2021, based on the COSO criteria.</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February 25, 2022 expressed an unqualified opinion thereon.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9" w:firstLine="648"/>
        <w:spacing w:after="0" w:line="286" w:lineRule="auto"/>
        <w:rPr>
          <w:sz w:val="20"/>
          <w:szCs w:val="20"/>
          <w:color w:val="auto"/>
        </w:rPr>
      </w:pPr>
      <w:r>
        <w:rPr>
          <w:rFonts w:ascii="Arial" w:cs="Arial" w:eastAsia="Arial" w:hAnsi="Arial"/>
          <w:sz w:val="17"/>
          <w:szCs w:val="17"/>
          <w:color w:val="auto"/>
        </w:rPr>
        <w:t>There was no change in our internal control over financial reporting (as defined in Rule 13a-15(f) under the Exchange Act) identified in connection with the evaluation of our internal control that occurred during our fourth quarter that has materially affected, or is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121" w:right="1440"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59" w:firstLine="648"/>
        <w:spacing w:after="0" w:line="263" w:lineRule="auto"/>
        <w:rPr>
          <w:sz w:val="20"/>
          <w:szCs w:val="20"/>
          <w:color w:val="auto"/>
        </w:rPr>
      </w:pPr>
      <w:r>
        <w:rPr>
          <w:rFonts w:ascii="Arial" w:cs="Arial" w:eastAsia="Arial" w:hAnsi="Arial"/>
          <w:sz w:val="18"/>
          <w:szCs w:val="18"/>
          <w:color w:val="auto"/>
        </w:rPr>
        <w:t>A portion of the information required by Item 10 of Form 10-K is incorporated by reference from the information responsive thereto contained in the sections in Axcelis Proxy Statement for the Annual Meeting of Stockholders to be held May 10, 2022 (the “Proxy Statement”) captioned:</w:t>
      </w:r>
    </w:p>
    <w:p>
      <w:pPr>
        <w:spacing w:after="0" w:line="184" w:lineRule="exact"/>
        <w:rPr>
          <w:sz w:val="20"/>
          <w:szCs w:val="20"/>
          <w:color w:val="auto"/>
        </w:rPr>
      </w:pPr>
    </w:p>
    <w:p>
      <w:pPr>
        <w:ind w:left="1000" w:hanging="3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“Proposal 1: Election of Directors,”</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Committees,” and</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w:t>
      </w:r>
    </w:p>
    <w:p>
      <w:pPr>
        <w:spacing w:after="0" w:line="225" w:lineRule="exact"/>
        <w:rPr>
          <w:sz w:val="20"/>
          <w:szCs w:val="20"/>
          <w:color w:val="auto"/>
        </w:rPr>
      </w:pPr>
    </w:p>
    <w:p>
      <w:pPr>
        <w:ind w:right="99" w:firstLine="648"/>
        <w:spacing w:after="0" w:line="277" w:lineRule="auto"/>
        <w:rPr>
          <w:sz w:val="20"/>
          <w:szCs w:val="20"/>
          <w:color w:val="auto"/>
        </w:rPr>
      </w:pPr>
      <w:r>
        <w:rPr>
          <w:rFonts w:ascii="Arial" w:cs="Arial" w:eastAsia="Arial" w:hAnsi="Arial"/>
          <w:sz w:val="18"/>
          <w:szCs w:val="18"/>
          <w:color w:val="auto"/>
        </w:rPr>
        <w:t>The remainder of such information is set forth under the heading “Information about Our Executive Officers” at the end of Item 1 in Part I of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19" w:firstLine="648"/>
        <w:spacing w:after="0" w:line="277" w:lineRule="auto"/>
        <w:rPr>
          <w:sz w:val="20"/>
          <w:szCs w:val="20"/>
          <w:color w:val="auto"/>
        </w:rPr>
      </w:pPr>
      <w:r>
        <w:rPr>
          <w:rFonts w:ascii="Arial" w:cs="Arial" w:eastAsia="Arial" w:hAnsi="Arial"/>
          <w:sz w:val="18"/>
          <w:szCs w:val="18"/>
          <w:color w:val="auto"/>
        </w:rPr>
        <w:t>The information required by Item 11 of Form 10-K is incorporated by reference from the information responsive thereto contained in the sections in the Proxy Statement captioned:</w:t>
      </w:r>
    </w:p>
    <w:p>
      <w:pPr>
        <w:spacing w:after="0" w:line="170" w:lineRule="exact"/>
        <w:rPr>
          <w:sz w:val="20"/>
          <w:szCs w:val="20"/>
          <w:color w:val="auto"/>
        </w:rPr>
      </w:pPr>
    </w:p>
    <w:p>
      <w:pPr>
        <w:ind w:left="1000" w:hanging="3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Compensation,” and</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“Board Committees—Compensation Committee Interlocks and Insider Participation.”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right="319" w:firstLine="648"/>
        <w:spacing w:after="0" w:line="277" w:lineRule="auto"/>
        <w:rPr>
          <w:sz w:val="20"/>
          <w:szCs w:val="20"/>
          <w:color w:val="auto"/>
        </w:rPr>
      </w:pPr>
      <w:r>
        <w:rPr>
          <w:rFonts w:ascii="Arial" w:cs="Arial" w:eastAsia="Arial" w:hAnsi="Arial"/>
          <w:sz w:val="18"/>
          <w:szCs w:val="18"/>
          <w:color w:val="auto"/>
        </w:rPr>
        <w:t>The information required by Item 12 of Form 10-K is incorporated by reference from the information responsive thereto contained in the sections in the Proxy Statement captioned:</w:t>
      </w:r>
    </w:p>
    <w:p>
      <w:pPr>
        <w:spacing w:after="0" w:line="170" w:lineRule="exact"/>
        <w:rPr>
          <w:sz w:val="20"/>
          <w:szCs w:val="20"/>
          <w:color w:val="auto"/>
        </w:rPr>
      </w:pPr>
    </w:p>
    <w:p>
      <w:pPr>
        <w:ind w:left="1000" w:hanging="3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 Ownership of 5% Stockholders,” and</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 Ownership of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19" w:firstLine="648"/>
        <w:spacing w:after="0" w:line="277" w:lineRule="auto"/>
        <w:rPr>
          <w:sz w:val="20"/>
          <w:szCs w:val="20"/>
          <w:color w:val="auto"/>
        </w:rPr>
      </w:pPr>
      <w:r>
        <w:rPr>
          <w:rFonts w:ascii="Arial" w:cs="Arial" w:eastAsia="Arial" w:hAnsi="Arial"/>
          <w:sz w:val="18"/>
          <w:szCs w:val="18"/>
          <w:color w:val="auto"/>
        </w:rPr>
        <w:t>The information required by Item 13 of Form 10-K is incorporated by reference from the information responsive thereto contained in the sections in the Proxy Statement captioned:</w:t>
      </w:r>
    </w:p>
    <w:p>
      <w:pPr>
        <w:spacing w:after="0" w:line="170" w:lineRule="exact"/>
        <w:rPr>
          <w:sz w:val="20"/>
          <w:szCs w:val="20"/>
          <w:color w:val="auto"/>
        </w:rPr>
      </w:pPr>
    </w:p>
    <w:p>
      <w:pPr>
        <w:ind w:left="1000" w:hanging="3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“Board of Directors,” and</w:t>
      </w:r>
    </w:p>
    <w:p>
      <w:pPr>
        <w:spacing w:after="0" w:line="225" w:lineRule="exact"/>
        <w:rPr>
          <w:rFonts w:ascii="Arial" w:cs="Arial" w:eastAsia="Arial" w:hAnsi="Arial"/>
          <w:sz w:val="18"/>
          <w:szCs w:val="18"/>
          <w:color w:val="auto"/>
        </w:rPr>
      </w:pPr>
    </w:p>
    <w:p>
      <w:pPr>
        <w:ind w:left="1000" w:hanging="3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Governance—Certain Relationships and Related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59" w:firstLine="648"/>
        <w:spacing w:after="0" w:line="263" w:lineRule="auto"/>
        <w:rPr>
          <w:sz w:val="20"/>
          <w:szCs w:val="20"/>
          <w:color w:val="auto"/>
        </w:rPr>
      </w:pPr>
      <w:r>
        <w:rPr>
          <w:rFonts w:ascii="Arial" w:cs="Arial" w:eastAsia="Arial" w:hAnsi="Arial"/>
          <w:sz w:val="18"/>
          <w:szCs w:val="18"/>
          <w:color w:val="auto"/>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337" w:right="1440" w:bottom="1440" w:gutter="0" w:footer="0" w:header="0"/>
        </w:sectPr>
      </w:pPr>
    </w:p>
    <w:bookmarkStart w:id="32" w:name="page33"/>
    <w:bookmarkEnd w:id="32"/>
    <w:p>
      <w:pPr>
        <w:jc w:val="center"/>
        <w:ind w:right="-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1320" w:hanging="640"/>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160" w:type="dxa"/>
            <w:vAlign w:val="bottom"/>
            <w:gridSpan w:val="1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Consolidated Statements of Operations — For the years ended December 31, 2021, 2020 and</w:t>
              </w:r>
            </w:hyperlink>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2019</w:t>
              </w:r>
            </w:hyperlink>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Comprehensive Income — For the years ended December 31, 2021,</w:t>
              </w:r>
            </w:hyperlink>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2020 and 2019</w:t>
              </w:r>
            </w:hyperlink>
          </w:p>
        </w:tc>
        <w:tc>
          <w:tcPr>
            <w:tcW w:w="592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Balance Sheets — December 31, 2021 and 2020</w:t>
              </w:r>
            </w:hyperlink>
          </w:p>
        </w:tc>
        <w:tc>
          <w:tcPr>
            <w:tcW w:w="26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Consolidated Statements of Stockholders’ Equity — For the years ended December 31, 2021,</w:t>
              </w:r>
            </w:hyperlink>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2020 and 2019</w:t>
              </w:r>
            </w:hyperlink>
          </w:p>
        </w:tc>
        <w:tc>
          <w:tcPr>
            <w:tcW w:w="5480" w:type="dxa"/>
            <w:vAlign w:val="bottom"/>
            <w:tcBorders>
              <w:top w:val="single" w:sz="8" w:color="0000EE"/>
            </w:tcBorders>
            <w:gridSpan w:val="5"/>
          </w:tcPr>
          <w:p>
            <w:pPr>
              <w:spacing w:after="0"/>
              <w:rPr>
                <w:sz w:val="17"/>
                <w:szCs w:val="17"/>
                <w:color w:val="auto"/>
              </w:rPr>
            </w:pPr>
          </w:p>
        </w:tc>
        <w:tc>
          <w:tcPr>
            <w:tcW w:w="4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Consolidated Statements of Cash Flows — For the years ended December 31, 2021, 2020 and</w:t>
              </w:r>
            </w:hyperlink>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2019</w:t>
              </w:r>
            </w:hyperlink>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0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Notes to Consolidated Financial Statements</w:t>
              </w:r>
            </w:hyperlink>
          </w:p>
        </w:tc>
        <w:tc>
          <w:tcPr>
            <w:tcW w:w="40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453"/>
        </w:trPr>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w w:val="74"/>
              </w:rPr>
              <w:t>2)</w:t>
            </w:r>
          </w:p>
        </w:tc>
        <w:tc>
          <w:tcPr>
            <w:tcW w:w="36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auto"/>
              </w:rPr>
              <w:t>Financial Statement Schedules:</w:t>
            </w:r>
          </w:p>
        </w:tc>
        <w:tc>
          <w:tcPr>
            <w:tcW w:w="420" w:type="dxa"/>
            <w:vAlign w:val="bottom"/>
          </w:tcPr>
          <w:p>
            <w:pPr>
              <w:spacing w:after="0"/>
              <w:rPr>
                <w:sz w:val="24"/>
                <w:szCs w:val="24"/>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Schedule II—Valuation and Qualifying Accounts for the years ended December 31, 2021, 2020 and 2019.</w:t>
      </w:r>
    </w:p>
    <w:p>
      <w:pPr>
        <w:spacing w:after="0" w:line="248" w:lineRule="exact"/>
        <w:rPr>
          <w:sz w:val="20"/>
          <w:szCs w:val="20"/>
          <w:color w:val="auto"/>
        </w:rPr>
      </w:pPr>
    </w:p>
    <w:p>
      <w:pPr>
        <w:ind w:left="1320" w:hanging="640"/>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00" w:right="459"/>
        <w:spacing w:after="0" w:line="277" w:lineRule="auto"/>
        <w:rPr>
          <w:sz w:val="20"/>
          <w:szCs w:val="20"/>
          <w:color w:val="auto"/>
        </w:rPr>
      </w:pPr>
      <w:r>
        <w:rPr>
          <w:rFonts w:ascii="Arial" w:cs="Arial" w:eastAsia="Arial" w:hAnsi="Arial"/>
          <w:sz w:val="18"/>
          <w:szCs w:val="18"/>
          <w:color w:val="auto"/>
        </w:rPr>
        <w:t>The exhibits filed as part of this Form 10-K are listed on the Exhibit Index immediately preceding the signature page, which Exhibit Index is incorporated herein by reference.</w:t>
      </w:r>
    </w:p>
    <w:p>
      <w:pPr>
        <w:spacing w:after="0" w:line="170" w:lineRule="exact"/>
        <w:rPr>
          <w:sz w:val="20"/>
          <w:szCs w:val="20"/>
          <w:color w:val="auto"/>
        </w:rPr>
      </w:pPr>
    </w:p>
    <w:p>
      <w:pPr>
        <w:ind w:left="1300" w:right="39"/>
        <w:spacing w:after="0" w:line="263" w:lineRule="auto"/>
        <w:rPr>
          <w:sz w:val="20"/>
          <w:szCs w:val="20"/>
          <w:color w:val="auto"/>
        </w:rPr>
      </w:pPr>
      <w:r>
        <w:rPr>
          <w:rFonts w:ascii="Arial" w:cs="Arial" w:eastAsia="Arial" w:hAnsi="Arial"/>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337" w:right="1440" w:bottom="1440" w:gutter="0" w:footer="0" w:header="0"/>
        </w:sectPr>
      </w:pPr>
    </w:p>
    <w:bookmarkStart w:id="33" w:name="page34"/>
    <w:bookmarkEnd w:id="33"/>
    <w:p>
      <w:pPr>
        <w:ind w:left="23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Axcelis Technologies,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audited the accompanying consolidated balance sheets of Axcelis Technologies, Inc. (the Company) as of December 31, 2021 and 2020, the related consolidated statements of operations, comprehensive income, stockholders’ equity and cash flows for each of the three years in the period ended December 31, 2021,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Systems Revenue recognition</w:t>
      </w:r>
    </w:p>
    <w:p>
      <w:pPr>
        <w:spacing w:after="0" w:line="131"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and Note 3 to the consolidated financial statements, the Company generates</w:t>
      </w:r>
    </w:p>
    <w:p>
      <w:pPr>
        <w:spacing w:after="0" w:line="23" w:lineRule="exact"/>
        <w:rPr>
          <w:sz w:val="20"/>
          <w:szCs w:val="20"/>
          <w:color w:val="auto"/>
        </w:rPr>
      </w:pPr>
    </w:p>
    <w:p>
      <w:pPr>
        <w:jc w:val="both"/>
        <w:ind w:left="1580" w:hanging="1579"/>
        <w:spacing w:after="0" w:line="253" w:lineRule="auto"/>
        <w:tabs>
          <w:tab w:leader="none" w:pos="15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revenue from the sale of ion implantation and other processing equipment used in the manufacture of semiconductor chips (“systems revenue”). The Company’s revenue contracts for systems have multiple performance obligations, including the systems themselves and obligations that are not delivered simultaneously with the systems. Systems revenue accounted for $454.6 million of the Company’s total revenue of $662.4 million in 2021.</w:t>
      </w:r>
    </w:p>
    <w:p>
      <w:pPr>
        <w:spacing w:after="0" w:line="96" w:lineRule="exact"/>
        <w:rPr>
          <w:sz w:val="20"/>
          <w:szCs w:val="20"/>
          <w:color w:val="auto"/>
        </w:rPr>
      </w:pPr>
    </w:p>
    <w:p>
      <w:pPr>
        <w:jc w:val="both"/>
        <w:ind w:left="1580"/>
        <w:spacing w:after="0" w:line="311" w:lineRule="auto"/>
        <w:rPr>
          <w:sz w:val="20"/>
          <w:szCs w:val="20"/>
          <w:color w:val="auto"/>
        </w:rPr>
      </w:pPr>
      <w:r>
        <w:rPr>
          <w:rFonts w:ascii="Arial" w:cs="Arial" w:eastAsia="Arial" w:hAnsi="Arial"/>
          <w:sz w:val="16"/>
          <w:szCs w:val="16"/>
          <w:color w:val="auto"/>
        </w:rPr>
        <w:t>Auditing the Company’s determination of the distinct performance obligations related to its systems revenue contracts involved extensive audit effort to identify all of the promised products and services in an arrangement and assess distinct performance obligations. These determinations have a significant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effect on the pattern of revenue recognition.</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7680" w:type="dxa"/>
            <w:vAlign w:val="bottom"/>
          </w:tcPr>
          <w:p>
            <w:pPr>
              <w:ind w:left="140"/>
              <w:spacing w:after="0"/>
              <w:rPr>
                <w:sz w:val="20"/>
                <w:szCs w:val="20"/>
                <w:color w:val="auto"/>
              </w:rPr>
            </w:pPr>
            <w:r>
              <w:rPr>
                <w:rFonts w:ascii="Arial" w:cs="Arial" w:eastAsia="Arial" w:hAnsi="Arial"/>
                <w:sz w:val="18"/>
                <w:szCs w:val="18"/>
                <w:color w:val="auto"/>
                <w:w w:val="91"/>
              </w:rPr>
              <w:t>We obtained an understanding, evaluated the design and tested the operating effectiveness of controls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7680" w:type="dxa"/>
            <w:vAlign w:val="bottom"/>
          </w:tcPr>
          <w:p>
            <w:pPr>
              <w:ind w:left="140"/>
              <w:spacing w:after="0"/>
              <w:rPr>
                <w:sz w:val="20"/>
                <w:szCs w:val="20"/>
                <w:color w:val="auto"/>
              </w:rPr>
            </w:pPr>
            <w:r>
              <w:rPr>
                <w:rFonts w:ascii="Arial" w:cs="Arial" w:eastAsia="Arial" w:hAnsi="Arial"/>
                <w:sz w:val="18"/>
                <w:szCs w:val="18"/>
                <w:color w:val="auto"/>
                <w:w w:val="96"/>
              </w:rPr>
              <w:t>over the Company’s systems revenue recognition process. For example, we tested management’s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7680" w:type="dxa"/>
            <w:vAlign w:val="bottom"/>
          </w:tcPr>
          <w:p>
            <w:pPr>
              <w:ind w:left="140"/>
              <w:spacing w:after="0"/>
              <w:rPr>
                <w:sz w:val="20"/>
                <w:szCs w:val="20"/>
                <w:color w:val="auto"/>
              </w:rPr>
            </w:pPr>
            <w:r>
              <w:rPr>
                <w:rFonts w:ascii="Arial" w:cs="Arial" w:eastAsia="Arial" w:hAnsi="Arial"/>
                <w:sz w:val="18"/>
                <w:szCs w:val="18"/>
                <w:color w:val="auto"/>
                <w:w w:val="99"/>
              </w:rPr>
              <w:t>controls over the identification of distinct performance obligations in systems revenue contracts.</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7680" w:type="dxa"/>
            <w:vAlign w:val="bottom"/>
            <w:vMerge w:val="restart"/>
          </w:tcPr>
          <w:p>
            <w:pPr>
              <w:ind w:left="140"/>
              <w:spacing w:after="0"/>
              <w:rPr>
                <w:sz w:val="20"/>
                <w:szCs w:val="20"/>
                <w:color w:val="auto"/>
              </w:rPr>
            </w:pPr>
            <w:r>
              <w:rPr>
                <w:rFonts w:ascii="Arial" w:cs="Arial" w:eastAsia="Arial" w:hAnsi="Arial"/>
                <w:sz w:val="18"/>
                <w:szCs w:val="18"/>
                <w:color w:val="auto"/>
                <w:w w:val="91"/>
              </w:rPr>
              <w:t>To test systems revenue recognition, our procedures included, among others, independently identifying</w:t>
            </w: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89"/>
              </w:rPr>
              <w:t>promises and determining the interdependence of the performance obligations. For example, we selected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89"/>
              </w:rPr>
              <w:t>and read a sample of arrangements to evaluate the completeness of the promised products and services.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3"/>
              </w:rPr>
              <w:t>We also confirmed directly with certain of the Company’s customers the terms of the selected system</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revenue arrangement.</w:t>
            </w:r>
          </w:p>
        </w:tc>
        <w:tc>
          <w:tcPr>
            <w:tcW w:w="0" w:type="dxa"/>
            <w:vAlign w:val="bottom"/>
          </w:tcPr>
          <w:p>
            <w:pPr>
              <w:spacing w:after="0"/>
              <w:rPr>
                <w:sz w:val="1"/>
                <w:szCs w:val="1"/>
                <w:color w:val="auto"/>
              </w:rPr>
            </w:pPr>
          </w:p>
        </w:tc>
      </w:tr>
      <w:tr>
        <w:trPr>
          <w:trHeight w:val="338"/>
        </w:trPr>
        <w:tc>
          <w:tcPr>
            <w:tcW w:w="1440" w:type="dxa"/>
            <w:vAlign w:val="bottom"/>
          </w:tcPr>
          <w:p>
            <w:pPr>
              <w:spacing w:after="0"/>
              <w:rPr>
                <w:sz w:val="24"/>
                <w:szCs w:val="24"/>
                <w:color w:val="auto"/>
              </w:rPr>
            </w:pPr>
          </w:p>
        </w:tc>
        <w:tc>
          <w:tcPr>
            <w:tcW w:w="76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Estimate of Excess Inventory</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7680" w:type="dxa"/>
            <w:vAlign w:val="bottom"/>
          </w:tcPr>
          <w:p>
            <w:pPr>
              <w:ind w:left="140"/>
              <w:spacing w:after="0"/>
              <w:rPr>
                <w:sz w:val="20"/>
                <w:szCs w:val="20"/>
                <w:color w:val="auto"/>
              </w:rPr>
            </w:pPr>
            <w:r>
              <w:rPr>
                <w:rFonts w:ascii="Arial" w:cs="Arial" w:eastAsia="Arial" w:hAnsi="Arial"/>
                <w:sz w:val="18"/>
                <w:szCs w:val="18"/>
                <w:color w:val="auto"/>
                <w:w w:val="92"/>
              </w:rPr>
              <w:t>The Company’s inventories totaled $195.0 million, net, as of December 31, 2021. As described in Note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7680" w:type="dxa"/>
            <w:vAlign w:val="bottom"/>
          </w:tcPr>
          <w:p>
            <w:pPr>
              <w:ind w:left="140"/>
              <w:spacing w:after="0"/>
              <w:rPr>
                <w:sz w:val="20"/>
                <w:szCs w:val="20"/>
                <w:color w:val="auto"/>
              </w:rPr>
            </w:pPr>
            <w:r>
              <w:rPr>
                <w:rFonts w:ascii="Arial" w:cs="Arial" w:eastAsia="Arial" w:hAnsi="Arial"/>
                <w:sz w:val="18"/>
                <w:szCs w:val="18"/>
                <w:color w:val="auto"/>
                <w:w w:val="93"/>
              </w:rPr>
              <w:t>2 and Note 6 to the consolidated financial statements, the Company records a provision for estimated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0"/>
              </w:rPr>
              <w:t>excess inventory. Management determines the provision using its assumptions of future materials usage,</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based on estimates of demand and market conditions.</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4"/>
                <w:szCs w:val="24"/>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3"/>
              </w:rPr>
              <w:t>Auditing the Company’s provision for excess inventory is complex due to the highly judgmental nature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3"/>
              </w:rPr>
              <w:t>of the factors used to estimate demand and market conditions. Specifically, the Company’s estimated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0"/>
              </w:rPr>
              <w:t>materials usage may be significantly affected by management’s assumptions of forecasted system sales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and the size and utilization of the installed base of systems. Management’s identification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1"/>
              </w:rPr>
              <w:t>measurement of these factors are forward looking and could be affected by future economic and market</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conditions that could have a significant effect on the excess inventory reserve.</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7680" w:type="dxa"/>
            <w:vAlign w:val="bottom"/>
          </w:tcPr>
          <w:p>
            <w:pPr>
              <w:ind w:left="140"/>
              <w:spacing w:after="0"/>
              <w:rPr>
                <w:sz w:val="20"/>
                <w:szCs w:val="20"/>
                <w:color w:val="auto"/>
              </w:rPr>
            </w:pPr>
            <w:r>
              <w:rPr>
                <w:rFonts w:ascii="Arial" w:cs="Arial" w:eastAsia="Arial" w:hAnsi="Arial"/>
                <w:sz w:val="18"/>
                <w:szCs w:val="18"/>
                <w:color w:val="auto"/>
                <w:w w:val="91"/>
              </w:rPr>
              <w:t>We obtained an understanding, evaluated the design, and tested the operating effectiveness of internal</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7680" w:type="dxa"/>
            <w:vAlign w:val="bottom"/>
          </w:tcPr>
          <w:p>
            <w:pPr>
              <w:ind w:left="140"/>
              <w:spacing w:after="0"/>
              <w:rPr>
                <w:sz w:val="20"/>
                <w:szCs w:val="20"/>
                <w:color w:val="auto"/>
              </w:rPr>
            </w:pPr>
            <w:r>
              <w:rPr>
                <w:rFonts w:ascii="Arial" w:cs="Arial" w:eastAsia="Arial" w:hAnsi="Arial"/>
                <w:sz w:val="18"/>
                <w:szCs w:val="18"/>
                <w:color w:val="auto"/>
                <w:w w:val="99"/>
              </w:rPr>
              <w:t>controls, including management review controls, over the Company’s excess inventory reserve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7680" w:type="dxa"/>
            <w:vAlign w:val="bottom"/>
          </w:tcPr>
          <w:p>
            <w:pPr>
              <w:ind w:left="140"/>
              <w:spacing w:after="0"/>
              <w:rPr>
                <w:sz w:val="20"/>
                <w:szCs w:val="20"/>
                <w:color w:val="auto"/>
              </w:rPr>
            </w:pPr>
            <w:r>
              <w:rPr>
                <w:rFonts w:ascii="Arial" w:cs="Arial" w:eastAsia="Arial" w:hAnsi="Arial"/>
                <w:sz w:val="18"/>
                <w:szCs w:val="18"/>
                <w:color w:val="auto"/>
                <w:w w:val="89"/>
              </w:rPr>
              <w:t>estimation process. This included management’s assessment of the assumptions and data underlying the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7680" w:type="dxa"/>
            <w:vAlign w:val="bottom"/>
          </w:tcPr>
          <w:p>
            <w:pPr>
              <w:ind w:left="140"/>
              <w:spacing w:after="0"/>
              <w:rPr>
                <w:sz w:val="20"/>
                <w:szCs w:val="20"/>
                <w:color w:val="auto"/>
              </w:rPr>
            </w:pPr>
            <w:r>
              <w:rPr>
                <w:rFonts w:ascii="Arial" w:cs="Arial" w:eastAsia="Arial" w:hAnsi="Arial"/>
                <w:sz w:val="18"/>
                <w:szCs w:val="18"/>
                <w:color w:val="auto"/>
                <w:w w:val="92"/>
              </w:rPr>
              <w:t>excess inventory provision. For example, we tested controls over management’s review of its systems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5"/>
              </w:rPr>
              <w:t>sales forecasts, as well as management’s review of the assumptions relating to the market size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6"/>
              </w:rPr>
              <w:t>utilization of installed systems. We also tested management’s controls over the completeness and</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accuracy of the data used in the estimation model.</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4"/>
                <w:szCs w:val="24"/>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1"/>
              </w:rPr>
              <w:t>Our substantive audit procedures included, among others, evaluating the significant assumptions stated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6"/>
              </w:rPr>
              <w:t>above and testing the accuracy and completeness of the underlying data used by management to</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0"/>
              </w:rPr>
              <w:t>compute the value of excess inventory. For example, we compared the quantities of on-hand inventories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1"/>
              </w:rPr>
              <w:t>to historical and forecasted materials usage and evaluated adjustments to forecasts for specific product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5"/>
              </w:rPr>
              <w:t>considerations, such as technological changes or alternative uses. We also assessed the historical</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89"/>
              </w:rPr>
              <w:t>accuracy of management’s estimates and performed sensitivity analyses over the significant assumptions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w w:val="98"/>
              </w:rPr>
              <w:t>to evaluate the changes in the excess inventory estimates that would result from changes in the</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Arial" w:cs="Arial" w:eastAsia="Arial" w:hAnsi="Arial"/>
                <w:sz w:val="18"/>
                <w:szCs w:val="18"/>
                <w:color w:val="auto"/>
              </w:rPr>
              <w:t>underlying assumptions.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Twelve months ended</w:t>
      </w:r>
    </w:p>
    <w:p>
      <w:pPr>
        <w:jc w:val="center"/>
        <w:ind w:left="49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634,445</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449,903</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27,983</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662,428</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474,560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349,558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252,390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26,425</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375,983</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275,976</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46,141</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39,964</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159,120</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140,543</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(4,835)</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(5,211)</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(6,897)</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21,778</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98,650</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49,982</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0.50</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33,555</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33,257</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32,559</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 weighted average common shares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34,268</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34,128</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33,828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57950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60"/>
          </w:cols>
          <w:pgMar w:left="1360" w:top="121" w:right="1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Twelve months ended</w:t>
      </w:r>
    </w:p>
    <w:p>
      <w:pPr>
        <w:jc w:val="center"/>
        <w:ind w:left="6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$ 98,650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$ 49,982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200"/>
              <w:spacing w:after="0" w:line="201" w:lineRule="exact"/>
              <w:rPr>
                <w:sz w:val="20"/>
                <w:szCs w:val="20"/>
                <w:color w:val="auto"/>
              </w:rPr>
            </w:pPr>
            <w:r>
              <w:rPr>
                <w:rFonts w:ascii="Arial" w:cs="Arial" w:eastAsia="Arial" w:hAnsi="Arial"/>
                <w:sz w:val="18"/>
                <w:szCs w:val="18"/>
                <w:color w:val="auto"/>
                <w:w w:val="93"/>
              </w:rPr>
              <w:t>Amortization of actuarial gain (loss) and other adjustments from pension plan, net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of tax</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$ 96,980</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$ 53,675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16,328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8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294,923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86,865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40,303</w:t>
            </w:r>
          </w:p>
        </w:tc>
        <w:tc>
          <w:tcPr>
            <w:tcW w:w="8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753,240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8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150,140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214,281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stock, $0.001 par value, 75,000 shares authorized; 33,240 shares issued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outstanding at December 31, 2021; 33,633 shares issued and outstanding at December 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559,883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570,102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481,602</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38" w:name="page39"/>
    <w:bookmarkEnd w:id="38"/>
    <w:p>
      <w:pPr>
        <w:jc w:val="center"/>
        <w:ind w:right="540"/>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4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continue"/>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$ 565,116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(157,260)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1"/>
              </w:rPr>
              <w:t>Issuance of shares under Employee Stock Purchase Plan</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common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(17,744)</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32,585</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559,878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(140,226)</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419,427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 in pension obligation, net of tax</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2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1"/>
              </w:rPr>
              <w:t>Issuance of shares under Employee Stock 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Issuance of restricted common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(1,725)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33,633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481,602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98,650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1"/>
              </w:rPr>
              <w:t>Issuance of shares under Employee Stock Purchase Plan</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common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(20,588)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(49,992)</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33,240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$ 559,883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660"/>
          </w:cols>
          <w:pgMar w:left="1380" w:top="121" w:right="8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Twelve months ended</w:t>
      </w:r>
    </w:p>
    <w:p>
      <w:pPr>
        <w:jc w:val="center"/>
        <w:ind w:left="6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49,982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Adjustments to reconcile net income to net cash provided by (used in) operating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(17,652)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150,190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(49,992)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204,232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146,534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184,902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295,680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204,232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146,534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 paid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Axcelis Technologies, Inc. (“Axcelis” or the “Company”) was incorporated in Delaware in 1995, and is a worldwide producer of ion implantation and other processing equipment used in the fabrication of semiconductor chips in the United States, Europe and Asia. In addition, we provide extensive aftermarket service and support, including spare parts, equipment upgrades, used equipment and maintenance services to the semiconductor industry.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accompanying consolidated financial statements reflect the application of certain significant accounting policies as described in this note and elsewhere in the footnotes.</w:t>
      </w:r>
    </w:p>
    <w:p>
      <w:pPr>
        <w:spacing w:after="0" w:line="166" w:lineRule="exact"/>
        <w:rPr>
          <w:sz w:val="20"/>
          <w:szCs w:val="20"/>
          <w:color w:val="auto"/>
        </w:rPr>
      </w:pPr>
    </w:p>
    <w:p>
      <w:pPr>
        <w:ind w:left="660" w:hanging="655"/>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accompanying consolidated financial statements include the consolidated accounts of the Company and its wholly-owned, controlled subsidiaries. All intercompany balances and transactions have been eliminated in consolidation.</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Events occurring subsequent to December 31, 2021 have been evaluated for potential recognition or disclosure in the consolidated financial statements.</w:t>
      </w:r>
    </w:p>
    <w:p>
      <w:pPr>
        <w:spacing w:after="0" w:line="166" w:lineRule="exact"/>
        <w:rPr>
          <w:sz w:val="20"/>
          <w:szCs w:val="20"/>
          <w:color w:val="auto"/>
        </w:rPr>
      </w:pPr>
    </w:p>
    <w:p>
      <w:pPr>
        <w:ind w:left="680" w:hanging="675"/>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periods. On an ongoing basis, we evaluate our estimates and judgments, including those related to revenue recognition, the realizable value of accounts receivable and inventories, valuing stock-based compensation instruments and reserves relating to tax assets and liabilities. Actual amounts could differ from these estimates. Changes in estimates are recorded in the period in which they become known.</w:t>
      </w:r>
    </w:p>
    <w:p>
      <w:pPr>
        <w:spacing w:after="0" w:line="162" w:lineRule="exact"/>
        <w:rPr>
          <w:sz w:val="20"/>
          <w:szCs w:val="20"/>
          <w:color w:val="auto"/>
        </w:rPr>
      </w:pPr>
    </w:p>
    <w:p>
      <w:pPr>
        <w:ind w:left="660" w:hanging="655"/>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 and expenses. The resulting translation adjustments are recorded in stockholders’ equity as an element of accumulated other comprehensive income (loss). Foreign currency transaction gains and losses are included in other income (expense) in the Consolidated Statements of Operations.</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year ended December 31, 2021 we had $2.5 million in foreign exchange loss. For the year ended December 31, 2020 we had $1.4 million in foreign exchange gain. For the year ended December 31, 2019 we had $0.6 million in foreign exchange loss.</w:t>
      </w:r>
    </w:p>
    <w:p>
      <w:pPr>
        <w:spacing w:after="0" w:line="180" w:lineRule="exact"/>
        <w:rPr>
          <w:sz w:val="20"/>
          <w:szCs w:val="20"/>
          <w:color w:val="auto"/>
        </w:rPr>
      </w:pPr>
    </w:p>
    <w:p>
      <w:pPr>
        <w:ind w:left="680" w:hanging="675"/>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Cash and cash equivalents consist of cash on hand and highly liquid investments with original maturities of ninety days or less. Cash equivalents consist primarily of money market funds, U.S. Government and Agency Securities and deposit accounts. Cash equivalents are carried on the balance sheet at fair market value.</w:t>
      </w:r>
    </w:p>
    <w:p>
      <w:pPr>
        <w:spacing w:after="0" w:line="180" w:lineRule="exact"/>
        <w:rPr>
          <w:sz w:val="20"/>
          <w:szCs w:val="20"/>
          <w:color w:val="auto"/>
        </w:rPr>
      </w:pPr>
    </w:p>
    <w:p>
      <w:pPr>
        <w:ind w:left="660" w:hanging="655"/>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Inventories are carried at the lower of cost or net realizable value, determined using the first-in, first-out (“FIFO”) method. We periodically review our inventories and make provisions as necessary for estimated obsolescence or damaged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41" w:name="page42"/>
    <w:bookmarkEnd w:id="41"/>
    <w:p>
      <w:pPr>
        <w:ind w:right="200"/>
        <w:spacing w:after="0" w:line="263" w:lineRule="auto"/>
        <w:rPr>
          <w:sz w:val="20"/>
          <w:szCs w:val="20"/>
          <w:color w:val="auto"/>
        </w:rPr>
      </w:pPr>
      <w:r>
        <w:rPr>
          <w:rFonts w:ascii="Arial" w:cs="Arial" w:eastAsia="Arial" w:hAnsi="Arial"/>
          <w:sz w:val="18"/>
          <w:szCs w:val="18"/>
          <w:color w:val="auto"/>
        </w:rPr>
        <w:t>goods to ensure values approximate lower of cost or net realizable value. The amount of such markdowns is equal to the difference between cost of inventory and the estimated market value based upon assumptions about future demands, selling prices, and market conditions.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record a provision for estimated excess inventory. The provision is determined using management’s assumptions of materials usage, based on estimates of demand, market conditions, and the size and utilization of our installed base. If actual market conditions become less favorable than those projected by management, additional inventory write-downs may be required.</w:t>
      </w:r>
    </w:p>
    <w:p>
      <w:pPr>
        <w:spacing w:after="0" w:line="183" w:lineRule="exact"/>
        <w:rPr>
          <w:sz w:val="20"/>
          <w:szCs w:val="20"/>
          <w:color w:val="auto"/>
        </w:rPr>
      </w:pPr>
    </w:p>
    <w:p>
      <w:pPr>
        <w:ind w:left="640" w:hanging="635"/>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Leased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are stated at cost, less accumulated depreciation and amortization.</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January 30, 2015, we sold our corporate headquarters facility. As part of this sale, we also entered into a 22-year lease agreement. We accounted for the sale leaseback transaction as a financing arrangement for financial reporting purposes. We retained the historical costs of the property and the related accumulated depreciation on our financial books within property, plant and equipment and will continue to depreciate the property for financial reporting purposes over the lesser of its remaining useful life or its initial lease term of 22 years.</w:t>
      </w:r>
    </w:p>
    <w:p>
      <w:pPr>
        <w:spacing w:after="0" w:line="17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Depreciation and amortization are recorded using the straight-line method over the estimated useful lives of the related assets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20" w:type="dxa"/>
            <w:vAlign w:val="bottom"/>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195"/>
        </w:trPr>
        <w:tc>
          <w:tcPr>
            <w:tcW w:w="3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Lesser of the lease term or</w:t>
            </w:r>
          </w:p>
        </w:tc>
      </w:tr>
      <w:tr>
        <w:trPr>
          <w:trHeight w:val="23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buildings and equipment (under lease)</w:t>
            </w: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estimated useful life of the asset</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3420" w:type="dxa"/>
            <w:vAlign w:val="bottom"/>
          </w:tcPr>
          <w:p>
            <w:pPr>
              <w:ind w:left="140"/>
              <w:spacing w:after="0"/>
              <w:rPr>
                <w:sz w:val="20"/>
                <w:szCs w:val="20"/>
                <w:color w:val="auto"/>
              </w:rPr>
            </w:pPr>
            <w:r>
              <w:rPr>
                <w:rFonts w:ascii="Arial" w:cs="Arial" w:eastAsia="Arial" w:hAnsi="Arial"/>
                <w:sz w:val="18"/>
                <w:szCs w:val="18"/>
                <w:color w:val="auto"/>
              </w:rPr>
              <w:t>3 to 10 years</w:t>
            </w:r>
          </w:p>
        </w:tc>
      </w:tr>
    </w:tbl>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Repairs and maintenance costs are expensed as incurred. Expenditures greater than $2.5 thousand for renewals and betterments are capitalized and depreciated over their useful lives.</w:t>
      </w:r>
    </w:p>
    <w:p>
      <w:pPr>
        <w:spacing w:after="0" w:line="166" w:lineRule="exact"/>
        <w:rPr>
          <w:sz w:val="20"/>
          <w:szCs w:val="20"/>
          <w:color w:val="auto"/>
        </w:rPr>
      </w:pPr>
    </w:p>
    <w:p>
      <w:pPr>
        <w:ind w:left="660" w:hanging="655"/>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record impairment losses on long-lived assets when events and circumstances indicate that these assets might not be recoverable. Recoverability is assessed by a comparison of the assets’ carrying amount to their expected future undiscounted net cash flows. If such assets are considered to be impaired, the impairment is measured based on the amount by which the carrying value exceeds its fair value.</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did not have any indicators of impairment during the period ending December 31, 2021. We did not record an impairment charge in the years ended December 31, 2021, 2020, or 2019.</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Actual performance could be materially different from our current forecasts, which could impact estimates of undiscounted cash flows and may result in the impairment of the carrying amount of the long-lived assets in the future. This could be caused by strategic decisions made in response to economic and competitive conditions, the impact of the economic environment on our customer base, or a material adverse change in our relationships with significant customers.</w:t>
      </w:r>
    </w:p>
    <w:p>
      <w:pPr>
        <w:spacing w:after="0" w:line="153" w:lineRule="exact"/>
        <w:rPr>
          <w:sz w:val="20"/>
          <w:szCs w:val="20"/>
          <w:color w:val="auto"/>
        </w:rPr>
      </w:pPr>
    </w:p>
    <w:p>
      <w:pPr>
        <w:ind w:left="680" w:hanging="630"/>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Risk and Off-Balance Sheet Risk</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are principally cash equivalents and accounts receivable. Our cash equivalents are principally maintained in investment grade money-market funds, U.S. Government and Agency Securities and deposit accounts.</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 significant off-balance-sheet risk such as currency exchange contracts, option contracts or other hedging arrangements.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42" w:name="page43"/>
    <w:bookmarkEnd w:id="42"/>
    <w:p>
      <w:pPr>
        <w:ind w:right="80" w:firstLine="648"/>
        <w:spacing w:after="0" w:line="257" w:lineRule="auto"/>
        <w:rPr>
          <w:sz w:val="20"/>
          <w:szCs w:val="20"/>
          <w:color w:val="auto"/>
        </w:rPr>
      </w:pPr>
      <w:r>
        <w:rPr>
          <w:rFonts w:ascii="Arial" w:cs="Arial" w:eastAsia="Arial" w:hAnsi="Arial"/>
          <w:sz w:val="18"/>
          <w:szCs w:val="18"/>
          <w:color w:val="auto"/>
        </w:rPr>
        <w:t>Our exposure to market risk for changes in interest rates relates primarily to cash equivalents. The primary objective of our investment activities is to preserve principal without significantly increasing risk. This is accomplished by investing in marketable investment grade securities. We do not use derivative financial instruments to manage our investment portfolio and do not expect operating results or cash flows to be affected to any significant degree by any change in market interest rates.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perform ongoing credit evaluations of our customers’ financial condition and generally require no collateral to secure accounts receivable. For selected overseas sales, we require customers to obtain letters of credit before product is shipped. We maintain an allowance for doubtful accounts based on our assessment of the collectability of accounts receivable. We review the allowance for doubtful accounts quarterly. We do not have any off-balance sheet credit exposure related to our customers.</w:t>
      </w:r>
    </w:p>
    <w:p>
      <w:pPr>
        <w:spacing w:after="0" w:line="18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Our customers consist of semiconductor chip manufacturers located throughout the world and net sales to our ten largest customers accounted for 69.5%, 74.0% and 74.1% of revenue in 2021, 2020 and 2019, respectively.</w:t>
      </w:r>
    </w:p>
    <w:p>
      <w:pPr>
        <w:spacing w:after="0" w:line="14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the year ended December 31, 2021 we had two customers representing 17.8% and 15.4% of total revenue, respectively. For the year ended December 31, 2020, we had two customers representing 17.9% and 16.4% of total revenue, respectively. For the year ended December 31, 2019, we had three customers representing 18.2%, 14.2% and 12.0% of total revenue, respectively.</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December 31, 2021, we had two customers account for 29.1% and 13.6% of consolidated accounts receivable, respectively. As of December 31, 2020, we had two customers account for 23.8% and 11.9% of consolidated accounts receivable, respectively.</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Some of the components and sub-assemblies included in our products are obtained either from a sole source or a limited group of suppliers. Disruption to our supply source, resulting either from economic conditions or other factors, could affect our ability to deliver products to our customers.</w:t>
      </w:r>
    </w:p>
    <w:p>
      <w:pPr>
        <w:spacing w:after="0" w:line="180" w:lineRule="exact"/>
        <w:rPr>
          <w:sz w:val="20"/>
          <w:szCs w:val="20"/>
          <w:color w:val="auto"/>
        </w:rPr>
      </w:pPr>
    </w:p>
    <w:p>
      <w:pPr>
        <w:ind w:left="620" w:hanging="615"/>
        <w:spacing w:after="0"/>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recognize revenue in accordance with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or (“ASC 606”). Under ASC 606, revenue is recognized when a customer obtains control of</w:t>
      </w:r>
      <w:r>
        <w:rPr>
          <w:rFonts w:ascii="Arial" w:cs="Arial" w:eastAsia="Arial" w:hAnsi="Arial"/>
          <w:sz w:val="17"/>
          <w:szCs w:val="17"/>
          <w:i w:val="1"/>
          <w:iCs w:val="1"/>
          <w:color w:val="auto"/>
        </w:rPr>
        <w:t xml:space="preserve"> </w:t>
      </w:r>
      <w:r>
        <w:rPr>
          <w:rFonts w:ascii="Arial" w:cs="Arial" w:eastAsia="Arial" w:hAnsi="Arial"/>
          <w:sz w:val="17"/>
          <w:szCs w:val="17"/>
          <w:color w:val="auto"/>
        </w:rPr>
        <w:t>promised goods or services in an amount that reflects the consideration we expect to receive in exchange for those goods or services. We measure revenue based on the consideration specified in the customer arrangement, and revenue is recognized when the performance obligations in the customer arrangement are satisfied. A performance obligation is a promise in a contract to transfer a distinct product or service to the customer. The transaction price of a contract is allocated to each distinct performance obligation based upon the relative standalone selling price for each performance obligation and recognized as revenue when, or as, the customer receives the benefit of the performance obligation. To account for and measure revenue, we apply the following five steps:</w:t>
      </w:r>
    </w:p>
    <w:p>
      <w:pPr>
        <w:spacing w:after="0" w:line="1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6"/>
          <w:szCs w:val="16"/>
          <w:i w:val="1"/>
          <w:iCs w:val="1"/>
          <w:color w:val="auto"/>
        </w:rPr>
        <w:t>Identify the contract with the customer</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6"/>
          <w:szCs w:val="16"/>
          <w:i w:val="1"/>
          <w:iCs w:val="1"/>
          <w:color w:val="auto"/>
        </w:rPr>
        <w:t>Identify the performance obligations in the contract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color w:val="auto"/>
        </w:rPr>
        <w:t>are capable of being distinct and distinct in the context of the contract. If these criteria are not met, the promised goods and services are accounted for as a combined performance obligation.</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Systems sales consist of multiple performance obligations, including the system itself and obligations that are not delivered simultaneously with the system. These undelivered obligations might include a combination of installation services, extended warranty and support and spare parts, all of which are generally covered by a single sales price.</w:t>
      </w:r>
    </w:p>
    <w:p>
      <w:pPr>
        <w:spacing w:after="0" w:line="16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Aftermarket business includes both products and services type arrangements. Performance obligations in these contracts consist of used tools, spare parts, equipment upgrades, maintenance services and customer training.</w:t>
      </w:r>
    </w:p>
    <w:p>
      <w:pPr>
        <w:spacing w:after="0" w:line="14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Customers who purchase new systems are provided an assurance-type warranty for one year after acceptance of the tool. For aftermarket transactions, we provide customers an assurance-type warranty for 90 days. Customers can choose to purchase extended warranty terms with enhanced support similar to a service-type warranty ranging from one to three years. In accordance with ASC 606, assurance-type warranties are not considered a performance obligation, whereas service-type warranties are.</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6"/>
          <w:szCs w:val="16"/>
          <w:i w:val="1"/>
          <w:iCs w:val="1"/>
          <w:color w:val="auto"/>
        </w:rPr>
        <w:t>Determine the transaction price</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 In applying this guidance, Companies must also consider whether any significant financing components exist.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transaction price for all transactions is based on the price reflected in the individual customer’s purchase order.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Variable consideration has not been identified as a significant component of the transaction price for any of our transactions.</w:t>
      </w:r>
    </w:p>
    <w:p>
      <w:pPr>
        <w:spacing w:after="0" w:line="23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those transactions where all performance obligations will be satisfied within one year or less, we apply the practical expedient outlined in ASC 606-10-32-18. This practical expedient allows us not to adjust promised consideration for the effects of a significant financing component if we expect at contract inception that the period between when we transfer the promised good or service to a customer and when the customer pays for that good or service will be one year or less.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6"/>
          <w:szCs w:val="16"/>
          <w:i w:val="1"/>
          <w:iCs w:val="1"/>
          <w:color w:val="auto"/>
        </w:rPr>
        <w:t>Allocate the transaction price to performance obligations in the contract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spacing w:after="0" w:line="18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Where required, we determine standalone selling price (“SSP”) for each obligation based on consideration of both market and Company specific factors, including the selling price and profit margin for similar products, the cost to produce, and the anticipated margin.</w:t>
      </w:r>
    </w:p>
    <w:p>
      <w:pPr>
        <w:spacing w:after="0" w:line="184"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For those contracts that contain multiple performance obligations (primarily systems sales, as well as some aftermarket contracts requiring both time and material inputs), we must determine the SSP. We use a cost plus margin approach in determining the SSP for any materials related performance obligations (such as upgrades, spare parts, systems). To determine the SSP for labor related performance obligations (such as the labor component of installation), we use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directly observable inputs based on the standalone sale prices for these services.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5)</w:t>
      </w:r>
      <w:r>
        <w:rPr>
          <w:sz w:val="20"/>
          <w:szCs w:val="20"/>
          <w:color w:val="auto"/>
        </w:rPr>
        <w:tab/>
      </w:r>
      <w:r>
        <w:rPr>
          <w:rFonts w:ascii="Arial" w:cs="Arial" w:eastAsia="Arial" w:hAnsi="Arial"/>
          <w:sz w:val="16"/>
          <w:szCs w:val="16"/>
          <w:i w:val="1"/>
          <w:iCs w:val="1"/>
          <w:color w:val="auto"/>
        </w:rPr>
        <w:t>Recognize revenue when or as we have satisfied a performance obligation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satisfy performance obligations either over time or at a point in time. Revenue is recognized over time if either 1) 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Examples of control are using the asset to produce goods or services, enhance the value of other assets or settle liabilities, and holding or selling the asset. For over time recognition, ASC 606 requires us to select a single revenue recognition method for the performance obligation that faithfully depicts our performance in transferring control of the goods and services. The guidance allows entities to choose between two methods to measure progress toward complete satisfaction of a performance obligation:</w:t>
      </w:r>
    </w:p>
    <w:p>
      <w:pPr>
        <w:spacing w:after="0" w:line="168"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produced or units delivered); and</w:t>
      </w:r>
    </w:p>
    <w:p>
      <w:pPr>
        <w:spacing w:after="0" w:line="187"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color w:val="auto"/>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the right to consideration from a customer in an amount that corresponds directly with the value to the customer of the entity’s performance completed to date (i.e., certain aftermarket contracts), as such we have elected a practical expedient to recognize revenue in the amount to which the entity has a right to invoice for such services.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Product related revenues (whether for systems or aftermarket business) are recognized at a point in time, when they are shipped or delivered, depending on shipping terms.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installation services, revenue is recognized at a point in time, once the installation of the tool is complete. The nature of the installation services is such that the customer does not simultaneously receive and consume the benefits provided by the entity’s performance, nor does performance of installation services create or enhance an asset that the customer controls. Installation services do not create an asset with an alternative use to the entity, and the entity does not have an enforceable right to payment for performance completed to date.</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Contract liabilities relate to payments invoiced or received in advance of completion of performance obligations under a contract. Contract liabilities are recognized as revenue upon the fulfillment of performance obligations.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Service-type warranties for any product are recognized over time, as these represent a stand ready obligation to service the product during the warranty period. Progress in the satisfaction of these performance obligations is measured using an input method of time elapsed.</w:t>
      </w:r>
    </w:p>
    <w:p>
      <w:pPr>
        <w:spacing w:after="0" w:line="184"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Maintenance and service contracts are recognized over time. Progress in the satisfaction of these performance obligations is measured using an input method of either time elapsed in the case of fixed period contracts, or labor hours expended, in the case of project-based contracts.</w:t>
      </w:r>
    </w:p>
    <w:p>
      <w:pPr>
        <w:spacing w:after="0" w:line="180" w:lineRule="exact"/>
        <w:rPr>
          <w:sz w:val="20"/>
          <w:szCs w:val="20"/>
          <w:color w:val="auto"/>
        </w:rPr>
      </w:pPr>
    </w:p>
    <w:p>
      <w:pPr>
        <w:ind w:left="640" w:hanging="635"/>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Recognizing Assets related to Recoverable Customer Contract Costs</w:t>
      </w:r>
    </w:p>
    <w:p>
      <w:pPr>
        <w:spacing w:after="0" w:line="2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recognize an asset related to incremental costs incurred by us to obtain a contract with a customer if we expect to recover those costs. We will recognize an asset from costs incurred to fulfill a contract only if such costs relate directly to a contract with an entity that we can specifically identify, the costs incurred will generate or enhance resources that will be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5" w:name="page46"/>
    <w:bookmarkEnd w:id="45"/>
    <w:p>
      <w:pPr>
        <w:ind w:right="320"/>
        <w:spacing w:after="0" w:line="263" w:lineRule="auto"/>
        <w:rPr>
          <w:sz w:val="20"/>
          <w:szCs w:val="20"/>
          <w:color w:val="auto"/>
        </w:rPr>
      </w:pPr>
      <w:r>
        <w:rPr>
          <w:rFonts w:ascii="Arial" w:cs="Arial" w:eastAsia="Arial" w:hAnsi="Arial"/>
          <w:sz w:val="18"/>
          <w:szCs w:val="18"/>
          <w:color w:val="auto"/>
        </w:rPr>
        <w:t>used in satisfying performance obligations in the future, and the costs are expected to be recovered. Any assets recognized related to costs to obtain or fulfill a contract are amortized on a systematic basis that is consistent with the transfer to the customer of the goods or services to which the asset relates.</w:t>
      </w:r>
    </w:p>
    <w:p>
      <w:pPr>
        <w:spacing w:after="0" w:line="22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substantially all of our business transactions, we incur incremental costs to obtain contracts with customers, in the form of sales commissions. We maintain a commission program which awards our employees for System sales, aftermarket activity and other individual goals. Under ASC 606, an asset is amortized on a systematic basis that is consistent with the transfer to the customer of the goods or services to which the asset relates. However, ASC 606 provides a practical expedient to allow for the recognition of commission expense when incurred if the amortization period of the asset that the entity otherwise would have recognized is one year or less. Based on the nature of our commission agreements, all commissions are expensed as incurred based upon the expectation that the amortization period would be one year or less.</w:t>
      </w:r>
    </w:p>
    <w:p>
      <w:pPr>
        <w:spacing w:after="0" w:line="162" w:lineRule="exact"/>
        <w:rPr>
          <w:sz w:val="20"/>
          <w:szCs w:val="20"/>
          <w:color w:val="auto"/>
        </w:rPr>
      </w:pPr>
    </w:p>
    <w:p>
      <w:pPr>
        <w:ind w:left="680" w:hanging="675"/>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221" w:lineRule="exact"/>
        <w:rPr>
          <w:sz w:val="20"/>
          <w:szCs w:val="20"/>
          <w:color w:val="auto"/>
        </w:rPr>
      </w:pPr>
    </w:p>
    <w:p>
      <w:pPr>
        <w:ind w:left="620" w:hanging="615"/>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generally recognize compensation expense for all stock-based payments to employees and directors, including grants of stock options and restricted stock units, based on the grant-date fair value of those stock-based payments. For stock option awards, we use the Black-Scholes option pricing model, adjusted for expected forfeitures. Other valuation models may be utilized in the limited circumstances where awards with market-based vesting considerations, such as the price of our common stock, or performance-based awards, are granted. Stock-based compensation expense is recognized ratably over the requisite service period. For each stock option or restricted stock unit grant with vesting based on a combination of time, market or performance conditions, where vesting will occur if either condition is met, the related compensation costs are recognized over the shorter of the explicit service period or the derived service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for additional information relating to stock-based compensation.</w:t>
      </w:r>
    </w:p>
    <w:p>
      <w:pPr>
        <w:spacing w:after="0" w:line="221" w:lineRule="exact"/>
        <w:rPr>
          <w:sz w:val="20"/>
          <w:szCs w:val="20"/>
          <w:color w:val="auto"/>
        </w:rPr>
      </w:pPr>
    </w:p>
    <w:p>
      <w:pPr>
        <w:ind w:left="680" w:hanging="675"/>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operating loss and tax credit carryforwards.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consolidated financial statements contain certain deferred tax assets which have arisen primarily as a result of operating losses, as well as other temporary differences between financial and tax basis accounting. We establish a valuation allowance if the likelihood of realization of the deferred tax assets is reduced based on an evaluation of objective verifiable evidence. Significant management judgment is required in determining our provision for income taxes, our deferred tax assets and liabilities and any valuation allowance recorded against those net deferred tax assets. We evaluate the weight of all available evidence to determine whether it is more likely than not that some portion or all of the net deferred income tax assets will not be realized.</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Income taxes include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within operating expense in the consolidated statements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for additional information relating to income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6" w:name="page47"/>
    <w:bookmarkEnd w:id="46"/>
    <w:p>
      <w:pPr>
        <w:ind w:left="620" w:hanging="615"/>
        <w:spacing w:after="0"/>
        <w:tabs>
          <w:tab w:leader="none" w:pos="6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Income per Share</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to include the number of additional common shares that would have been outstanding if the potentially dilutive common shares had been issued, calculated using the treasury stock method.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income per share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gridSpan w:val="7"/>
          </w:tcPr>
          <w:p>
            <w:pPr>
              <w:jc w:val="center"/>
              <w:ind w:right="53"/>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49,982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6"/>
                <w:szCs w:val="16"/>
                <w:color w:val="auto"/>
                <w:w w:val="95"/>
              </w:rPr>
              <w:t>Weighted average common shares outstanding used in computing basic income per share</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8"/>
              </w:rPr>
              <w:t>33,555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8"/>
              </w:rPr>
              <w:t>33,257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8"/>
              </w:rPr>
              <w:t>32,559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20" w:type="dxa"/>
            <w:vAlign w:val="bottom"/>
            <w:gridSpan w:val="2"/>
          </w:tcPr>
          <w:p>
            <w:pPr>
              <w:spacing w:after="0"/>
              <w:rPr>
                <w:sz w:val="20"/>
                <w:szCs w:val="20"/>
                <w:color w:val="auto"/>
              </w:rPr>
            </w:pPr>
            <w:r>
              <w:rPr>
                <w:rFonts w:ascii="Arial" w:cs="Arial" w:eastAsia="Arial" w:hAnsi="Arial"/>
                <w:sz w:val="16"/>
                <w:szCs w:val="16"/>
                <w:color w:val="auto"/>
              </w:rPr>
              <w:t>Weighted average common shares used in computing diluted net income per share</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34,268</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34,128</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33,828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per share</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tcPr>
          <w:p>
            <w:pPr>
              <w:ind w:left="200"/>
              <w:spacing w:after="0"/>
              <w:rPr>
                <w:sz w:val="20"/>
                <w:szCs w:val="20"/>
                <w:color w:val="auto"/>
              </w:rPr>
            </w:pPr>
            <w:r>
              <w:rPr>
                <w:rFonts w:ascii="Arial" w:cs="Arial" w:eastAsia="Arial" w:hAnsi="Arial"/>
                <w:sz w:val="16"/>
                <w:szCs w:val="16"/>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Diluted weighted average common shares outstanding does not include restricted stock units outstanding to purchase 2,554, 1,951 and 232,844 common equivalent shares for the periods ended December 31, 2021, 2020 and 2019, respectively, as their effect would have been anti-dilutive.</w:t>
      </w:r>
    </w:p>
    <w:p>
      <w:pPr>
        <w:spacing w:after="0" w:line="180" w:lineRule="exact"/>
        <w:rPr>
          <w:sz w:val="20"/>
          <w:szCs w:val="20"/>
          <w:color w:val="auto"/>
        </w:rPr>
      </w:pPr>
    </w:p>
    <w:p>
      <w:pPr>
        <w:ind w:left="660" w:hanging="655"/>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income, net of tax, by component, for the year ended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Defined benefit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7"/>
              </w:rPr>
              <w:t>pension plan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loss and pension reclassification</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(1,881)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hanging="615"/>
        <w:spacing w:after="0"/>
        <w:tabs>
          <w:tab w:leader="none" w:pos="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Guidance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Standards Update 2019-12 Income Taxes (Topic 740)</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adopted Financial Accounting Standards Board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(“ASU 2019-12”) as of January 1, 2021 on a prospective basis. The amendments in this ASU simplify the accounting for income taxes by removing certain exceptions from the previous standard as well as requiring entities to include franchise tax partially based on income as an income based tax and to account for an enacted change in tax laws or rates in the annual effective tax rate computation in the interim period that includes the enactment date. The guidance in ASU 2019-12 is required for annual reporting periods beginning after December 15, 2020. Adoption of ASU 2019-12 had no material effect on our consolidated financial statements and disclosures.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design, manufacture and service ion implantation and other processing equipment used in the fabrication of semiconductor chips and sell our products to leading semiconductor chip manufacturers worldwide. We offer a complete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t>line of high energy, high current and medium current implanters for all application requirements. In addition, we provide extensive aftermarket lifecycle products and services, including used tools, spare parts, equipment upgrades, maintenance service and customer training. Our revenue recognition policies are set forth in Section (i) of Note 2, Summary of Significant Accounting Policies.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Alternative Operational Revenue Categories used by Management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To reflect the organization of our business operations, management reviews revenue in two categories: revenue from sales of new systems and revenue arising from the sale of used systems, parts and labor to customers who own systems, which we refer to as “CS&amp;I” or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the revenues by categories used by management for the periods covered in this report: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24"/>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230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293,624</w:t>
            </w:r>
          </w:p>
        </w:tc>
        <w:tc>
          <w:tcPr>
            <w:tcW w:w="4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202,571</w:t>
            </w:r>
          </w:p>
        </w:tc>
      </w:tr>
      <w:tr>
        <w:trPr>
          <w:trHeight w:val="213"/>
        </w:trPr>
        <w:tc>
          <w:tcPr>
            <w:tcW w:w="2960" w:type="dxa"/>
            <w:vAlign w:val="bottom"/>
            <w:gridSpan w:val="2"/>
          </w:tcPr>
          <w:p>
            <w:pPr>
              <w:spacing w:after="0"/>
              <w:rPr>
                <w:sz w:val="20"/>
                <w:szCs w:val="20"/>
                <w:color w:val="auto"/>
              </w:rPr>
            </w:pPr>
            <w:r>
              <w:rPr>
                <w:rFonts w:ascii="Arial" w:cs="Arial" w:eastAsia="Arial" w:hAnsi="Arial"/>
                <w:sz w:val="16"/>
                <w:szCs w:val="16"/>
                <w:color w:val="auto"/>
              </w:rPr>
              <w:t>Aftermarket</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207,830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180,936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140,387</w:t>
            </w:r>
          </w:p>
        </w:tc>
      </w:tr>
      <w:tr>
        <w:trPr>
          <w:trHeight w:val="199"/>
        </w:trPr>
        <w:tc>
          <w:tcPr>
            <w:tcW w:w="20" w:type="dxa"/>
            <w:vAlign w:val="bottom"/>
          </w:tcPr>
          <w:p>
            <w:pPr>
              <w:spacing w:after="0"/>
              <w:rPr>
                <w:sz w:val="17"/>
                <w:szCs w:val="17"/>
                <w:color w:val="auto"/>
              </w:rPr>
            </w:pPr>
          </w:p>
        </w:tc>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0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662,428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474,560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342,958</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Economic Factors Affecting our Revenue: Geographic Breakdown of Revenue</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Global economic conditions have a direct impact on our revenue. We are substantially dependent on sales of our products and services to customers outside of the United States. Adverse economic conditions, political instability, potential adverse tax consequences, regulatory changes and volatility in exchange rates pose a risk that our clients may reduce, postpone or cancel spending for our products and services, which would impact our revenue.</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by geographic markets is determined based upon the location to which our products are shipped and where our services are performed. Revenue in our principal geographic markets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6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36,206</w:t>
            </w:r>
          </w:p>
        </w:tc>
      </w:tr>
      <w:tr>
        <w:trPr>
          <w:trHeight w:val="213"/>
        </w:trPr>
        <w:tc>
          <w:tcPr>
            <w:tcW w:w="3360" w:type="dxa"/>
            <w:vAlign w:val="bottom"/>
            <w:gridSpan w:val="2"/>
          </w:tcPr>
          <w:p>
            <w:pPr>
              <w:spacing w:after="0"/>
              <w:rPr>
                <w:sz w:val="20"/>
                <w:szCs w:val="20"/>
                <w:color w:val="auto"/>
              </w:rPr>
            </w:pPr>
            <w:r>
              <w:rPr>
                <w:rFonts w:ascii="Arial" w:cs="Arial" w:eastAsia="Arial" w:hAnsi="Arial"/>
                <w:sz w:val="16"/>
                <w:szCs w:val="16"/>
                <w:color w:val="auto"/>
              </w:rPr>
              <w:t>Asia Pacific</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516,105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251,020</w:t>
            </w:r>
          </w:p>
        </w:tc>
      </w:tr>
      <w:tr>
        <w:trPr>
          <w:trHeight w:val="219"/>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97,608</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55,732</w:t>
            </w:r>
          </w:p>
        </w:tc>
      </w:tr>
      <w:tr>
        <w:trPr>
          <w:trHeight w:val="196"/>
        </w:trPr>
        <w:tc>
          <w:tcPr>
            <w:tcW w:w="336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3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662,428</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474,560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342,958</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Recognition of Deferred Revenue from Contract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2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22,584</w:t>
            </w:r>
          </w:p>
        </w:tc>
      </w:tr>
      <w:tr>
        <w:trPr>
          <w:trHeight w:val="203"/>
        </w:trPr>
        <w:tc>
          <w:tcPr>
            <w:tcW w:w="2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Arial" w:cs="Arial" w:eastAsia="Arial" w:hAnsi="Arial"/>
                <w:sz w:val="16"/>
                <w:szCs w:val="16"/>
                <w:color w:val="auto"/>
              </w:rPr>
              <w:t>Deferral of revenue</w:t>
            </w: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24,403</w:t>
            </w: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deferred revenue</w:t>
            </w:r>
          </w:p>
        </w:tc>
        <w:tc>
          <w:tcPr>
            <w:tcW w:w="2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(17,736)</w:t>
            </w:r>
          </w:p>
        </w:tc>
      </w:tr>
      <w:tr>
        <w:trPr>
          <w:trHeight w:val="196"/>
        </w:trPr>
        <w:tc>
          <w:tcPr>
            <w:tcW w:w="4360" w:type="dxa"/>
            <w:vAlign w:val="bottom"/>
            <w:gridSpan w:val="2"/>
          </w:tcPr>
          <w:p>
            <w:pPr>
              <w:spacing w:after="0"/>
              <w:rPr>
                <w:sz w:val="20"/>
                <w:szCs w:val="20"/>
                <w:color w:val="auto"/>
              </w:rPr>
            </w:pPr>
            <w:r>
              <w:rPr>
                <w:rFonts w:ascii="Arial" w:cs="Arial" w:eastAsia="Arial" w:hAnsi="Arial"/>
                <w:sz w:val="16"/>
                <w:szCs w:val="16"/>
                <w:color w:val="auto"/>
              </w:rPr>
              <w:t>Balance, end of the period</w:t>
            </w:r>
          </w:p>
        </w:tc>
        <w:tc>
          <w:tcPr>
            <w:tcW w:w="21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29,251</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Contract liabilities relate to payments received or amounts invoiced in advance of completion of performance obligations under a contract. Contract liabilities are recognized as revenue upon the fulfillment of performance obligations.</w:t>
      </w:r>
    </w:p>
    <w:p>
      <w:pPr>
        <w:spacing w:after="0" w:line="18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of December 31, 2021, we had deferred revenue of $68.4 million. This represents the portion of the transaction price for contracts with customers allocated to the performance obligations that remain unsatisfied or partially unsatisfied. Short-term deferred revenue of $60.5 million as of December 31, 2021 represents performance obligations that are expected to be satisfied within the next 12 months. This amount relates primarily to prepayments made prior to system delivery as well as to installation and non-standard warranty performance obligations for system sales. Long-term deferred revenue of</w:t>
      </w:r>
    </w:p>
    <w:p>
      <w:pPr>
        <w:spacing w:after="0" w:line="2"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$8.0 million as of December 31, 2021 relates prepayments made prior to system delivery as well as to extended warranty performance obligations that we expect to be completed in excess of the next 12 months but within the next 24 months.</w:t>
      </w:r>
    </w:p>
    <w:p>
      <w:pPr>
        <w:spacing w:after="0" w:line="13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that are 90% due upon shipment of the tool and 10% due upon installation. Aftermarket transaction payment terms are such that payment is due either within 30 or 60 days of service provided or delivery of parts.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24"/>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294,923</w:t>
            </w:r>
          </w:p>
        </w:tc>
        <w:tc>
          <w:tcPr>
            <w:tcW w:w="560" w:type="dxa"/>
            <w:vAlign w:val="bottom"/>
            <w:gridSpan w:val="2"/>
            <w:shd w:val="clear" w:color="auto" w:fill="CCEEFF"/>
          </w:tcPr>
          <w:p>
            <w:pPr>
              <w:jc w:val="right"/>
              <w:ind w:right="24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203,479</w:t>
            </w:r>
          </w:p>
        </w:tc>
        <w:tc>
          <w:tcPr>
            <w:tcW w:w="100" w:type="dxa"/>
            <w:vAlign w:val="bottom"/>
            <w:shd w:val="clear" w:color="auto" w:fill="CCEEFF"/>
          </w:tcPr>
          <w:p>
            <w:pPr>
              <w:spacing w:after="0"/>
              <w:rPr>
                <w:sz w:val="18"/>
                <w:szCs w:val="18"/>
                <w:color w:val="auto"/>
              </w:rPr>
            </w:pPr>
          </w:p>
        </w:tc>
      </w:tr>
      <w:tr>
        <w:trPr>
          <w:trHeight w:val="213"/>
        </w:trPr>
        <w:tc>
          <w:tcPr>
            <w:tcW w:w="4300" w:type="dxa"/>
            <w:vAlign w:val="bottom"/>
            <w:gridSpan w:val="2"/>
          </w:tcPr>
          <w:p>
            <w:pPr>
              <w:spacing w:after="0"/>
              <w:rPr>
                <w:sz w:val="20"/>
                <w:szCs w:val="20"/>
                <w:color w:val="auto"/>
              </w:rPr>
            </w:pPr>
            <w:r>
              <w:rPr>
                <w:rFonts w:ascii="Arial" w:cs="Arial" w:eastAsia="Arial" w:hAnsi="Arial"/>
                <w:sz w:val="16"/>
                <w:szCs w:val="16"/>
                <w:color w:val="auto"/>
              </w:rPr>
              <w:t>Long-term restricted cash</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295,680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20" w:firstLine="648"/>
        <w:spacing w:after="0" w:line="308" w:lineRule="auto"/>
        <w:rPr>
          <w:sz w:val="20"/>
          <w:szCs w:val="20"/>
          <w:color w:val="auto"/>
        </w:rPr>
      </w:pPr>
      <w:r>
        <w:rPr>
          <w:rFonts w:ascii="Arial" w:cs="Arial" w:eastAsia="Arial" w:hAnsi="Arial"/>
          <w:sz w:val="17"/>
          <w:szCs w:val="17"/>
          <w:color w:val="auto"/>
        </w:rPr>
        <w:t>As of December 31, 2021, we had $0.8 million in restricted cash which relates to a $0.7 million letter of credit relating to workers’ compensation insurance and a $0.1 million deposit relating to customs activity.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 and Allowance for Credit Losses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Axcelis maintains an allowance for credit losses, which represents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delinquency trends, collection experience, current economic conditions, estimates for supportable forecasts, when appropriate, and credit risk characteristics.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Axcelis evaluates the credit risk of the customer when extending credit based on a combination of various financial</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84" w:right="1399" w:bottom="1440" w:gutter="0" w:footer="0" w:header="0"/>
        </w:sectPr>
      </w:pPr>
    </w:p>
    <w:bookmarkStart w:id="49" w:name="page50"/>
    <w:bookmarkEnd w:id="49"/>
    <w:p>
      <w:pPr>
        <w:jc w:val="both"/>
        <w:spacing w:after="0" w:line="342" w:lineRule="auto"/>
        <w:rPr>
          <w:sz w:val="20"/>
          <w:szCs w:val="20"/>
          <w:color w:val="auto"/>
        </w:rPr>
      </w:pPr>
      <w:r>
        <w:rPr>
          <w:rFonts w:ascii="Arial" w:cs="Arial" w:eastAsia="Arial" w:hAnsi="Arial"/>
          <w:sz w:val="16"/>
          <w:szCs w:val="16"/>
          <w:color w:val="auto"/>
        </w:rPr>
        <w:t>and qualitative factors that may affect its customers’ ability to pay. These factors may include the customer’s financial condition, past payment experience, and credit ratings from credit bureaus, as well as the value of the underlying collateral.</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performs detailed reviews of its receivables on a quarterly basis to assess the adequacy of the allowances and to determine if any impairment has occurred. Amounts determined to be uncollectable are charged directly against the allowance, while amounts recovered on previously written-off accounts increase the allowance. Changes to the allowance for credit losses are maintained through adjustments to the provision for credit losses, which are charged to current period earnings.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twelve months ended December 31, 2020 and 2019,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6"/>
                <w:szCs w:val="16"/>
                <w:color w:val="auto"/>
              </w:rPr>
              <w:t>Provision for credit losses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Charge-offs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Recoveries</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20" w:type="dxa"/>
            <w:vAlign w:val="bottom"/>
            <w:tcBorders>
              <w:right w:val="single" w:sz="8" w:color="CCEEFF"/>
            </w:tcBorders>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end of period</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components of accounts receivable are as follows:</w:t>
            </w: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0"/>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8"/>
          </w:tcPr>
          <w:p>
            <w:pPr>
              <w:jc w:val="right"/>
              <w:ind w:right="316"/>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2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w w:val="89"/>
              </w:rPr>
              <w:t>$ 104,410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86,865</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820" w:type="dxa"/>
            <w:vAlign w:val="bottom"/>
            <w:tcBorders>
              <w:top w:val="single" w:sz="8" w:color="auto"/>
              <w:bottom w:val="single" w:sz="8" w:color="auto"/>
            </w:tcBorders>
            <w:gridSpan w:val="4"/>
            <w:shd w:val="clear" w:color="auto" w:fill="CCEEFF"/>
          </w:tcPr>
          <w:p>
            <w:pPr>
              <w:jc w:val="right"/>
              <w:ind w:right="1"/>
              <w:spacing w:after="0"/>
              <w:rPr>
                <w:sz w:val="20"/>
                <w:szCs w:val="20"/>
                <w:color w:val="auto"/>
              </w:rPr>
            </w:pPr>
            <w:r>
              <w:rPr>
                <w:rFonts w:ascii="Arial" w:cs="Arial" w:eastAsia="Arial" w:hAnsi="Arial"/>
                <w:sz w:val="18"/>
                <w:szCs w:val="18"/>
                <w:color w:val="auto"/>
                <w:w w:val="89"/>
              </w:rPr>
              <w:t>$ 104,410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86,865</w:t>
            </w: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Inventories, net</w:t>
            </w: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ind w:left="660"/>
              <w:spacing w:after="0"/>
              <w:rPr>
                <w:sz w:val="20"/>
                <w:szCs w:val="20"/>
                <w:color w:val="auto"/>
              </w:rPr>
            </w:pPr>
            <w:r>
              <w:rPr>
                <w:rFonts w:ascii="Arial" w:cs="Arial" w:eastAsia="Arial" w:hAnsi="Arial"/>
                <w:sz w:val="18"/>
                <w:szCs w:val="18"/>
                <w:color w:val="auto"/>
              </w:rPr>
              <w:t>The components of inventories are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9"/>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$ 133,784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100,254</w:t>
            </w: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6"/>
                <w:szCs w:val="16"/>
                <w:color w:val="auto"/>
              </w:rPr>
              <w:t>Work in process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43,164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0" w:type="dxa"/>
            <w:vAlign w:val="bottom"/>
            <w:tcBorders>
              <w:right w:val="single" w:sz="8" w:color="CCEEFF"/>
            </w:tcBorders>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18,036</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26,955</w:t>
            </w:r>
          </w:p>
        </w:tc>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5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120" w:type="dxa"/>
            <w:vAlign w:val="bottom"/>
            <w:gridSpan w:val="2"/>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89"/>
              </w:rPr>
              <w:t>$ 194,984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161,076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5" w:lineRule="auto"/>
        <w:rPr>
          <w:sz w:val="20"/>
          <w:szCs w:val="20"/>
          <w:color w:val="auto"/>
        </w:rPr>
      </w:pPr>
      <w:r>
        <w:rPr>
          <w:rFonts w:ascii="Arial" w:cs="Arial" w:eastAsia="Arial" w:hAnsi="Arial"/>
          <w:sz w:val="16"/>
          <w:szCs w:val="16"/>
          <w:color w:val="auto"/>
        </w:rPr>
        <w:t>When recorded, inventory reserves are intended to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our ability to realize the value of inventories based on a combination of factors including the following: forecasted sales and the size and utilization of our installed base, estimated product end of life dates, estimated current and future market value and new product introductions. Purchasing and usage alternatives are also explored to mitigate inventory exposure. In 2021, we recorded a decrease of $1.9 million in inventory reserves. At December 31, 2021 and 2020, inventories are stated net of inventory reserves of $6.5 million and $8.3 million, respectively.</w:t>
      </w:r>
    </w:p>
    <w:p>
      <w:pPr>
        <w:spacing w:after="0" w:line="16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years ended December 31, 2021, 2020 and 2019, we recorded charges to cost of sales of $3.8 million, $3.7 million and $2.8 million, respectively, to reflect the lower of cost or net realizable value.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50" w:name="page51"/>
    <w:bookmarkEnd w:id="50"/>
    <w:p>
      <w:pPr>
        <w:ind w:right="139" w:firstLine="648"/>
        <w:spacing w:after="0" w:line="277" w:lineRule="auto"/>
        <w:rPr>
          <w:sz w:val="20"/>
          <w:szCs w:val="20"/>
          <w:color w:val="auto"/>
        </w:rPr>
      </w:pPr>
      <w:r>
        <w:rPr>
          <w:rFonts w:ascii="Arial" w:cs="Arial" w:eastAsia="Arial" w:hAnsi="Arial"/>
          <w:sz w:val="18"/>
          <w:szCs w:val="18"/>
          <w:color w:val="auto"/>
        </w:rPr>
        <w:t>We have inventory on consignment at customer locations at December 31, 2021 and 2020, of $5.5 million and $4.9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 net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property, plant and equipment are as follows:</w:t>
      </w:r>
    </w:p>
    <w:p>
      <w:pPr>
        <w:spacing w:after="0" w:line="325"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4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09"/>
        </w:trPr>
        <w:tc>
          <w:tcPr>
            <w:tcW w:w="4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ind w:left="320"/>
              <w:spacing w:after="0"/>
              <w:rPr>
                <w:sz w:val="20"/>
                <w:szCs w:val="20"/>
                <w:color w:val="auto"/>
              </w:rPr>
            </w:pPr>
            <w:r>
              <w:rPr>
                <w:rFonts w:ascii="Arial" w:cs="Arial" w:eastAsia="Arial" w:hAnsi="Arial"/>
                <w:sz w:val="14"/>
                <w:szCs w:val="14"/>
                <w:b w:val="1"/>
                <w:bCs w:val="1"/>
                <w:color w:val="auto"/>
              </w:rPr>
              <w:t>(in thousands)</w:t>
            </w:r>
          </w:p>
        </w:tc>
      </w:tr>
      <w:tr>
        <w:trPr>
          <w:trHeight w:val="28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15,881</w:t>
            </w: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60" w:type="dxa"/>
            <w:vAlign w:val="bottom"/>
            <w:shd w:val="clear" w:color="auto" w:fill="CCEEFF"/>
          </w:tcPr>
          <w:p>
            <w:pPr>
              <w:spacing w:after="0"/>
              <w:rPr>
                <w:sz w:val="24"/>
                <w:szCs w:val="24"/>
                <w:color w:val="auto"/>
              </w:rPr>
            </w:pPr>
          </w:p>
        </w:tc>
      </w:tr>
      <w:tr>
        <w:trPr>
          <w:trHeight w:val="284"/>
        </w:trPr>
        <w:tc>
          <w:tcPr>
            <w:tcW w:w="4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30,768</w:t>
            </w:r>
          </w:p>
        </w:tc>
        <w:tc>
          <w:tcPr>
            <w:tcW w:w="60" w:type="dxa"/>
            <w:vAlign w:val="bottom"/>
          </w:tcPr>
          <w:p>
            <w:pPr>
              <w:spacing w:after="0"/>
              <w:rPr>
                <w:sz w:val="24"/>
                <w:szCs w:val="24"/>
                <w:color w:val="auto"/>
              </w:rPr>
            </w:pPr>
          </w:p>
        </w:tc>
      </w:tr>
      <w:tr>
        <w:trPr>
          <w:trHeight w:val="28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5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60" w:type="dxa"/>
            <w:vAlign w:val="bottom"/>
            <w:shd w:val="clear" w:color="auto" w:fill="CCEEFF"/>
          </w:tcPr>
          <w:p>
            <w:pPr>
              <w:spacing w:after="0"/>
              <w:rPr>
                <w:sz w:val="24"/>
                <w:szCs w:val="24"/>
                <w:color w:val="auto"/>
              </w:rPr>
            </w:pPr>
          </w:p>
        </w:tc>
      </w:tr>
      <w:tr>
        <w:trPr>
          <w:trHeight w:val="263"/>
        </w:trPr>
        <w:tc>
          <w:tcPr>
            <w:tcW w:w="4180" w:type="dxa"/>
            <w:vAlign w:val="bottom"/>
          </w:tcPr>
          <w:p>
            <w:pPr>
              <w:ind w:left="200"/>
              <w:spacing w:after="0"/>
              <w:rPr>
                <w:sz w:val="20"/>
                <w:szCs w:val="20"/>
                <w:color w:val="auto"/>
              </w:rPr>
            </w:pPr>
            <w:r>
              <w:rPr>
                <w:rFonts w:ascii="Arial" w:cs="Arial" w:eastAsia="Arial" w:hAnsi="Arial"/>
                <w:sz w:val="18"/>
                <w:szCs w:val="18"/>
                <w:color w:val="auto"/>
              </w:rPr>
              <w:t>Total cost</w:t>
            </w: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57,045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48,352</w:t>
            </w:r>
          </w:p>
        </w:tc>
        <w:tc>
          <w:tcPr>
            <w:tcW w:w="60" w:type="dxa"/>
            <w:vAlign w:val="bottom"/>
          </w:tcPr>
          <w:p>
            <w:pPr>
              <w:spacing w:after="0"/>
              <w:rPr>
                <w:sz w:val="22"/>
                <w:szCs w:val="22"/>
                <w:color w:val="auto"/>
              </w:rPr>
            </w:pPr>
          </w:p>
        </w:tc>
      </w:tr>
      <w:tr>
        <w:trPr>
          <w:trHeight w:val="28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5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(22,073)</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(18,512)</w:t>
            </w:r>
          </w:p>
        </w:tc>
        <w:tc>
          <w:tcPr>
            <w:tcW w:w="60" w:type="dxa"/>
            <w:vAlign w:val="bottom"/>
            <w:shd w:val="clear" w:color="auto" w:fill="CCEEFF"/>
          </w:tcPr>
          <w:p>
            <w:pPr>
              <w:spacing w:after="0"/>
              <w:rPr>
                <w:sz w:val="24"/>
                <w:szCs w:val="24"/>
                <w:color w:val="auto"/>
              </w:rPr>
            </w:pPr>
          </w:p>
        </w:tc>
      </w:tr>
      <w:tr>
        <w:trPr>
          <w:trHeight w:val="250"/>
        </w:trPr>
        <w:tc>
          <w:tcPr>
            <w:tcW w:w="418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34,972</w:t>
            </w:r>
          </w:p>
        </w:tc>
        <w:tc>
          <w:tcPr>
            <w:tcW w:w="14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29,840</w:t>
            </w:r>
          </w:p>
        </w:tc>
        <w:tc>
          <w:tcPr>
            <w:tcW w:w="60" w:type="dxa"/>
            <w:vAlign w:val="bottom"/>
          </w:tcPr>
          <w:p>
            <w:pPr>
              <w:spacing w:after="0"/>
              <w:rPr>
                <w:sz w:val="21"/>
                <w:szCs w:val="21"/>
                <w:color w:val="auto"/>
              </w:rPr>
            </w:pPr>
          </w:p>
        </w:tc>
      </w:tr>
      <w:tr>
        <w:trPr>
          <w:trHeight w:val="20"/>
        </w:trPr>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right="99" w:firstLine="648"/>
        <w:spacing w:after="0" w:line="277" w:lineRule="auto"/>
        <w:rPr>
          <w:sz w:val="20"/>
          <w:szCs w:val="20"/>
          <w:color w:val="auto"/>
        </w:rPr>
      </w:pPr>
      <w:r>
        <w:rPr>
          <w:rFonts w:ascii="Arial" w:cs="Arial" w:eastAsia="Arial" w:hAnsi="Arial"/>
          <w:sz w:val="18"/>
          <w:szCs w:val="18"/>
          <w:color w:val="auto"/>
        </w:rPr>
        <w:t>Depreciation expense was $4.2 million, $3.4 million and $2.6 million for the years ended December 31, 2021, 2020 and 2019,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Assets Manufactured for Internal Use, net</w:t>
      </w:r>
    </w:p>
    <w:p>
      <w:pPr>
        <w:spacing w:after="0" w:line="162" w:lineRule="exact"/>
        <w:rPr>
          <w:sz w:val="20"/>
          <w:szCs w:val="20"/>
          <w:color w:val="auto"/>
        </w:rPr>
      </w:pPr>
    </w:p>
    <w:p>
      <w:pPr>
        <w:ind w:right="259" w:firstLine="648"/>
        <w:spacing w:after="0" w:line="277" w:lineRule="auto"/>
        <w:rPr>
          <w:sz w:val="20"/>
          <w:szCs w:val="20"/>
          <w:color w:val="auto"/>
        </w:rPr>
      </w:pPr>
      <w:r>
        <w:rPr>
          <w:rFonts w:ascii="Arial" w:cs="Arial" w:eastAsia="Arial" w:hAnsi="Arial"/>
          <w:sz w:val="18"/>
          <w:szCs w:val="18"/>
          <w:color w:val="auto"/>
        </w:rPr>
        <w:t>Assets manufactured for internal use, included in other assets, are depreciated using the straight-line method over their 10 year estimated useful life. Their components are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28"/>
        </w:trPr>
        <w:tc>
          <w:tcPr>
            <w:tcW w:w="5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5"/>
          </w:tcPr>
          <w:p>
            <w:pPr>
              <w:jc w:val="right"/>
              <w:ind w:right="293"/>
              <w:spacing w:after="0" w:line="12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Internal use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62,462</w:t>
            </w:r>
          </w:p>
        </w:tc>
        <w:tc>
          <w:tcPr>
            <w:tcW w:w="40" w:type="dxa"/>
            <w:vAlign w:val="bottom"/>
            <w:shd w:val="clear" w:color="auto" w:fill="CCEEFF"/>
          </w:tcPr>
          <w:p>
            <w:pPr>
              <w:spacing w:after="0"/>
              <w:rPr>
                <w:sz w:val="18"/>
                <w:szCs w:val="18"/>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 w:type="dxa"/>
            <w:vAlign w:val="bottom"/>
            <w:tcBorders>
              <w:bottom w:val="single" w:sz="8" w:color="CCEEFF"/>
            </w:tcBorders>
          </w:tcPr>
          <w:p>
            <w:pPr>
              <w:spacing w:after="0"/>
              <w:rPr>
                <w:sz w:val="18"/>
                <w:szCs w:val="18"/>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62,618</w:t>
            </w:r>
          </w:p>
        </w:tc>
        <w:tc>
          <w:tcPr>
            <w:tcW w:w="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(28,764)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(24,155)</w:t>
            </w:r>
          </w:p>
        </w:tc>
      </w:tr>
      <w:tr>
        <w:trPr>
          <w:trHeight w:val="209"/>
        </w:trPr>
        <w:tc>
          <w:tcPr>
            <w:tcW w:w="5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Assets manufactured for internal use,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products are used for research and development, training, and customer demonstration purposes.</w:t>
      </w:r>
    </w:p>
    <w:p>
      <w:pPr>
        <w:spacing w:after="0" w:line="158" w:lineRule="exact"/>
        <w:rPr>
          <w:sz w:val="20"/>
          <w:szCs w:val="20"/>
          <w:color w:val="auto"/>
        </w:rPr>
      </w:pPr>
    </w:p>
    <w:p>
      <w:pPr>
        <w:ind w:right="99" w:firstLine="648"/>
        <w:spacing w:after="0" w:line="277" w:lineRule="auto"/>
        <w:rPr>
          <w:sz w:val="20"/>
          <w:szCs w:val="20"/>
          <w:color w:val="auto"/>
        </w:rPr>
      </w:pPr>
      <w:r>
        <w:rPr>
          <w:rFonts w:ascii="Arial" w:cs="Arial" w:eastAsia="Arial" w:hAnsi="Arial"/>
          <w:sz w:val="18"/>
          <w:szCs w:val="18"/>
          <w:color w:val="auto"/>
        </w:rPr>
        <w:t>Depreciation expense was $5.3 million, $5.2 million and $3.9 million for the years ended December 31, 2021, 2020 and 2019,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62" w:lineRule="exact"/>
        <w:rPr>
          <w:sz w:val="20"/>
          <w:szCs w:val="20"/>
          <w:color w:val="auto"/>
        </w:rPr>
      </w:pPr>
    </w:p>
    <w:p>
      <w:pPr>
        <w:ind w:right="59" w:firstLine="648"/>
        <w:spacing w:after="0" w:line="301" w:lineRule="auto"/>
        <w:rPr>
          <w:sz w:val="20"/>
          <w:szCs w:val="20"/>
          <w:color w:val="auto"/>
        </w:rPr>
      </w:pPr>
      <w:r>
        <w:rPr>
          <w:rFonts w:ascii="Arial" w:cs="Arial" w:eastAsia="Arial" w:hAnsi="Arial"/>
          <w:sz w:val="16"/>
          <w:szCs w:val="16"/>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the use of a specific physical space or a specific physical item.</w:t>
      </w:r>
    </w:p>
    <w:p>
      <w:pPr>
        <w:spacing w:after="0" w:line="157" w:lineRule="exact"/>
        <w:rPr>
          <w:sz w:val="20"/>
          <w:szCs w:val="20"/>
          <w:color w:val="auto"/>
        </w:rPr>
      </w:pPr>
    </w:p>
    <w:p>
      <w:pPr>
        <w:ind w:right="299" w:firstLine="648"/>
        <w:spacing w:after="0" w:line="293" w:lineRule="auto"/>
        <w:rPr>
          <w:sz w:val="20"/>
          <w:szCs w:val="20"/>
          <w:color w:val="auto"/>
        </w:rPr>
      </w:pPr>
      <w:r>
        <w:rPr>
          <w:rFonts w:ascii="Arial" w:cs="Arial" w:eastAsia="Arial" w:hAnsi="Arial"/>
          <w:sz w:val="16"/>
          <w:szCs w:val="16"/>
          <w:color w:val="auto"/>
        </w:rPr>
        <w:t>We recognize operating lease obligations under Accounting Standards Codification Leases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The value of the right-of-use asset is initially determined based on the net present value of the associated</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51" w:name="page52"/>
    <w:bookmarkEnd w:id="51"/>
    <w:p>
      <w:pPr>
        <w:ind w:right="20"/>
        <w:spacing w:after="0" w:line="287" w:lineRule="auto"/>
        <w:rPr>
          <w:sz w:val="20"/>
          <w:szCs w:val="20"/>
          <w:color w:val="auto"/>
        </w:rPr>
      </w:pPr>
      <w:r>
        <w:rPr>
          <w:rFonts w:ascii="Arial" w:cs="Arial" w:eastAsia="Arial" w:hAnsi="Arial"/>
          <w:sz w:val="16"/>
          <w:szCs w:val="16"/>
          <w:color w:val="auto"/>
        </w:rPr>
        <w:t>liability, and is adjusted for deferred costs and possible impairments, if any.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Leases</w:t>
            </w:r>
          </w:p>
        </w:tc>
        <w:tc>
          <w:tcPr>
            <w:tcW w:w="34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3800" w:type="dxa"/>
            <w:vAlign w:val="bottom"/>
            <w:gridSpan w:val="2"/>
            <w:shd w:val="clear" w:color="auto" w:fill="CCEEFF"/>
          </w:tcPr>
          <w:p>
            <w:pPr>
              <w:ind w:left="1720"/>
              <w:spacing w:after="0"/>
              <w:rPr>
                <w:sz w:val="20"/>
                <w:szCs w:val="20"/>
                <w:color w:val="auto"/>
              </w:rPr>
            </w:pPr>
            <w:r>
              <w:rPr>
                <w:rFonts w:ascii="Arial" w:cs="Arial" w:eastAsia="Arial" w:hAnsi="Arial"/>
                <w:sz w:val="14"/>
                <w:szCs w:val="14"/>
                <w:color w:val="auto"/>
              </w:rPr>
              <w:t>Operating lease assets</w:t>
            </w: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Finance lease</w:t>
            </w:r>
          </w:p>
        </w:tc>
        <w:tc>
          <w:tcPr>
            <w:tcW w:w="3800" w:type="dxa"/>
            <w:vAlign w:val="bottom"/>
            <w:tcBorders>
              <w:bottom w:val="single" w:sz="8" w:color="CCEEFF"/>
            </w:tcBorders>
            <w:gridSpan w:val="2"/>
          </w:tcPr>
          <w:p>
            <w:pPr>
              <w:ind w:left="1720"/>
              <w:spacing w:after="0"/>
              <w:rPr>
                <w:sz w:val="20"/>
                <w:szCs w:val="20"/>
                <w:color w:val="auto"/>
              </w:rPr>
            </w:pPr>
            <w:r>
              <w:rPr>
                <w:rFonts w:ascii="Arial" w:cs="Arial" w:eastAsia="Arial" w:hAnsi="Arial"/>
                <w:sz w:val="14"/>
                <w:szCs w:val="14"/>
                <w:color w:val="auto"/>
              </w:rPr>
              <w:t>Finance lease assets *</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20,544</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28,480</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25,086</w:t>
            </w:r>
          </w:p>
        </w:tc>
        <w:tc>
          <w:tcPr>
            <w:tcW w:w="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20"/>
                <w:szCs w:val="20"/>
                <w:color w:val="auto"/>
              </w:rPr>
            </w:pPr>
            <w:r>
              <w:rPr>
                <w:rFonts w:ascii="Arial" w:cs="Arial" w:eastAsia="Arial" w:hAnsi="Arial"/>
                <w:sz w:val="14"/>
                <w:szCs w:val="14"/>
                <w:b w:val="1"/>
                <w:bCs w:val="1"/>
                <w:color w:val="auto"/>
              </w:rPr>
              <w:t>Current</w:t>
            </w: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800" w:type="dxa"/>
            <w:vAlign w:val="bottom"/>
            <w:gridSpan w:val="2"/>
            <w:shd w:val="clear" w:color="auto" w:fill="CCEEFF"/>
          </w:tcPr>
          <w:p>
            <w:pPr>
              <w:ind w:left="1720"/>
              <w:spacing w:after="0"/>
              <w:rPr>
                <w:sz w:val="20"/>
                <w:szCs w:val="20"/>
                <w:color w:val="auto"/>
              </w:rPr>
            </w:pPr>
            <w:r>
              <w:rPr>
                <w:rFonts w:ascii="Arial" w:cs="Arial" w:eastAsia="Arial" w:hAnsi="Arial"/>
                <w:sz w:val="14"/>
                <w:szCs w:val="14"/>
                <w:color w:val="auto"/>
              </w:rPr>
              <w:t>Other current liabilities</w:t>
            </w: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3800" w:type="dxa"/>
            <w:vAlign w:val="bottom"/>
            <w:gridSpan w:val="2"/>
          </w:tcPr>
          <w:p>
            <w:pPr>
              <w:ind w:left="1720"/>
              <w:spacing w:after="0" w:line="130" w:lineRule="exact"/>
              <w:rPr>
                <w:sz w:val="20"/>
                <w:szCs w:val="20"/>
                <w:color w:val="auto"/>
              </w:rPr>
            </w:pPr>
            <w:r>
              <w:rPr>
                <w:rFonts w:ascii="Arial" w:cs="Arial" w:eastAsia="Arial" w:hAnsi="Arial"/>
                <w:sz w:val="14"/>
                <w:szCs w:val="14"/>
                <w:color w:val="auto"/>
              </w:rPr>
              <w:t>Current portion of finance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tcPr>
          <w:p>
            <w:pPr>
              <w:spacing w:after="0"/>
              <w:rPr>
                <w:sz w:val="20"/>
                <w:szCs w:val="20"/>
                <w:color w:val="auto"/>
              </w:rPr>
            </w:pPr>
            <w:r>
              <w:rPr>
                <w:rFonts w:ascii="Arial" w:cs="Arial" w:eastAsia="Arial" w:hAnsi="Arial"/>
                <w:sz w:val="14"/>
                <w:szCs w:val="14"/>
                <w:color w:val="auto"/>
              </w:rPr>
              <w:t>Finance</w:t>
            </w:r>
          </w:p>
        </w:tc>
        <w:tc>
          <w:tcPr>
            <w:tcW w:w="3800" w:type="dxa"/>
            <w:vAlign w:val="bottom"/>
            <w:gridSpan w:val="2"/>
          </w:tcPr>
          <w:p>
            <w:pPr>
              <w:ind w:left="1720"/>
              <w:spacing w:after="0"/>
              <w:rPr>
                <w:sz w:val="20"/>
                <w:szCs w:val="20"/>
                <w:color w:val="auto"/>
              </w:rPr>
            </w:pPr>
            <w:r>
              <w:rPr>
                <w:rFonts w:ascii="Arial" w:cs="Arial" w:eastAsia="Arial" w:hAnsi="Arial"/>
                <w:sz w:val="14"/>
                <w:szCs w:val="14"/>
                <w:color w:val="auto"/>
              </w:rPr>
              <w:t>lease obligation</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4"/>
                <w:szCs w:val="14"/>
                <w:color w:val="auto"/>
              </w:rPr>
              <w:t>Operating</w:t>
            </w:r>
          </w:p>
        </w:tc>
        <w:tc>
          <w:tcPr>
            <w:tcW w:w="3800" w:type="dxa"/>
            <w:vAlign w:val="bottom"/>
            <w:gridSpan w:val="2"/>
          </w:tcPr>
          <w:p>
            <w:pPr>
              <w:ind w:left="172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1,949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800" w:type="dxa"/>
            <w:vAlign w:val="bottom"/>
            <w:gridSpan w:val="2"/>
            <w:shd w:val="clear" w:color="auto" w:fill="CCEEFF"/>
          </w:tcPr>
          <w:p>
            <w:pPr>
              <w:ind w:left="1720"/>
              <w:spacing w:after="0"/>
              <w:rPr>
                <w:sz w:val="20"/>
                <w:szCs w:val="20"/>
                <w:color w:val="auto"/>
              </w:rPr>
            </w:pPr>
            <w:r>
              <w:rPr>
                <w:rFonts w:ascii="Arial" w:cs="Arial" w:eastAsia="Arial" w:hAnsi="Arial"/>
                <w:sz w:val="14"/>
                <w:szCs w:val="14"/>
                <w:color w:val="auto"/>
              </w:rPr>
              <w:t>Finance lease obligation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46,415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47,393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20"/>
                <w:szCs w:val="20"/>
                <w:color w:val="auto"/>
              </w:rPr>
            </w:pPr>
            <w:r>
              <w:rPr>
                <w:rFonts w:ascii="Arial" w:cs="Arial" w:eastAsia="Arial" w:hAnsi="Arial"/>
                <w:sz w:val="14"/>
                <w:szCs w:val="14"/>
                <w:b w:val="1"/>
                <w:bCs w:val="1"/>
                <w:color w:val="auto"/>
              </w:rPr>
              <w:t>Total lease liabilities</w:t>
            </w: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56,467</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52,671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60" w:firstLine="5"/>
        <w:spacing w:after="0" w:line="238" w:lineRule="auto"/>
        <w:tabs>
          <w:tab w:leader="none" w:pos="108"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$48.6 million and includes $0.7 million of prepaid financing costs as of December 31, 2021. Finance lease assets are recorded net of accumulated depreciation of $48.4 million and includes $0.7 million of prepaid financing costs as of December 31, 2020.</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 of our office locations support selling and servicing functions. We also have a manufacturing facility in South Korea. Lease expense, depreciation expense relating to finance leased assets and interest expense relating to our finance lease obligation recognized within our consolidated statement of operations for the twelve-month periods ended December 31, 2021, 2020 and 2019 are as follows: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auto"/>
              </w:rPr>
              <w:t>Lease cost</w:t>
            </w:r>
          </w:p>
        </w:tc>
        <w:tc>
          <w:tcPr>
            <w:tcW w:w="3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vMerge w:val="continue"/>
          </w:tcPr>
          <w:p>
            <w:pPr>
              <w:spacing w:after="0"/>
              <w:rPr>
                <w:sz w:val="17"/>
                <w:szCs w:val="17"/>
                <w:color w:val="auto"/>
              </w:rPr>
            </w:pPr>
          </w:p>
        </w:tc>
        <w:tc>
          <w:tcPr>
            <w:tcW w:w="33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Classification</w:t>
            </w:r>
          </w:p>
        </w:tc>
        <w:tc>
          <w:tcPr>
            <w:tcW w:w="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4"/>
                <w:szCs w:val="14"/>
                <w:b w:val="1"/>
                <w:bCs w:val="1"/>
                <w:color w:val="auto"/>
              </w:rPr>
              <w:t>Operating lease cost</w:t>
            </w: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38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820" w:type="dxa"/>
            <w:vAlign w:val="bottom"/>
            <w:gridSpan w:val="2"/>
          </w:tcPr>
          <w:p>
            <w:pPr>
              <w:ind w:left="11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38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3820" w:type="dxa"/>
            <w:vAlign w:val="bottom"/>
            <w:tcBorders>
              <w:bottom w:val="single" w:sz="8" w:color="CCEEFF"/>
            </w:tcBorders>
            <w:gridSpan w:val="2"/>
          </w:tcPr>
          <w:p>
            <w:pPr>
              <w:ind w:left="1120"/>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3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0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rPr>
                <w:sz w:val="11"/>
                <w:szCs w:val="11"/>
                <w:color w:val="auto"/>
              </w:rPr>
            </w:pPr>
          </w:p>
        </w:tc>
        <w:tc>
          <w:tcPr>
            <w:tcW w:w="3820" w:type="dxa"/>
            <w:vAlign w:val="bottom"/>
            <w:gridSpan w:val="2"/>
            <w:shd w:val="clear" w:color="auto" w:fill="CCEEFF"/>
          </w:tcPr>
          <w:p>
            <w:pPr>
              <w:ind w:left="1120"/>
              <w:spacing w:after="0" w:line="130" w:lineRule="exact"/>
              <w:rPr>
                <w:sz w:val="20"/>
                <w:szCs w:val="20"/>
                <w:color w:val="auto"/>
              </w:rPr>
            </w:pPr>
            <w:r>
              <w:rPr>
                <w:rFonts w:ascii="Arial" w:cs="Arial" w:eastAsia="Arial" w:hAnsi="Arial"/>
                <w:sz w:val="14"/>
                <w:szCs w:val="14"/>
                <w:color w:val="auto"/>
              </w:rPr>
              <w:t>Cost of revenue, R&amp;D, Sales and</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38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marketing and G&amp;A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on lease liabilities</w:t>
            </w:r>
          </w:p>
        </w:tc>
        <w:tc>
          <w:tcPr>
            <w:tcW w:w="3820" w:type="dxa"/>
            <w:vAlign w:val="bottom"/>
            <w:tcBorders>
              <w:bottom w:val="single" w:sz="8" w:color="CCEEFF"/>
            </w:tcBorders>
            <w:gridSpan w:val="2"/>
          </w:tcPr>
          <w:p>
            <w:pPr>
              <w:ind w:left="112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5,155</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3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6,503</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0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3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11,297</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100" w:firstLine="5"/>
        <w:spacing w:after="0" w:line="290" w:lineRule="auto"/>
        <w:tabs>
          <w:tab w:leader="none" w:pos="108" w:val="left"/>
        </w:tabs>
        <w:numPr>
          <w:ilvl w:val="0"/>
          <w:numId w:val="37"/>
        </w:numPr>
        <w:rPr>
          <w:rFonts w:ascii="Arial" w:cs="Arial" w:eastAsia="Arial" w:hAnsi="Arial"/>
          <w:sz w:val="13"/>
          <w:szCs w:val="13"/>
          <w:color w:val="auto"/>
        </w:rPr>
      </w:pPr>
      <w:r>
        <w:rPr>
          <w:rFonts w:ascii="Arial" w:cs="Arial" w:eastAsia="Arial" w:hAnsi="Arial"/>
          <w:sz w:val="13"/>
          <w:szCs w:val="13"/>
          <w:color w:val="auto"/>
        </w:rPr>
        <w:t>Sales and marketing and general and administrative expense also includes short-term lease and variable lease costs of approximately $1.9 million, $1.2 million and $0.9 million for the twelve months ended December 31, 2021, 2020 and 2019, respectively.</w:t>
      </w:r>
    </w:p>
    <w:p>
      <w:pPr>
        <w:spacing w:after="0" w:line="156"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Finance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67,788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9,688</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(615)</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(51,220)</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56,467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200" w:type="dxa"/>
            <w:vAlign w:val="bottom"/>
            <w:vMerge w:val="restart"/>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1"/>
        </w:trPr>
        <w:tc>
          <w:tcPr>
            <w:tcW w:w="746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gridSpan w:val="2"/>
          </w:tcPr>
          <w:p>
            <w:pPr>
              <w:spacing w:after="0"/>
              <w:rPr>
                <w:sz w:val="20"/>
                <w:szCs w:val="20"/>
                <w:color w:val="auto"/>
              </w:rPr>
            </w:pPr>
            <w:r>
              <w:rPr>
                <w:rFonts w:ascii="Arial" w:cs="Arial" w:eastAsia="Arial" w:hAnsi="Arial"/>
                <w:sz w:val="14"/>
                <w:szCs w:val="14"/>
                <w:color w:val="auto"/>
              </w:rPr>
              <w:t>Weighted-average remaining lease term (years):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30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2"/>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4"/>
                <w:szCs w:val="14"/>
                <w:color w:val="auto"/>
              </w:rPr>
              <w:t>Finance leases</w:t>
            </w:r>
          </w:p>
        </w:tc>
        <w:tc>
          <w:tcPr>
            <w:tcW w:w="1300" w:type="dxa"/>
            <w:vAlign w:val="bottom"/>
          </w:tcPr>
          <w:p>
            <w:pPr>
              <w:jc w:val="center"/>
              <w:ind w:left="248"/>
              <w:spacing w:after="0"/>
              <w:rPr>
                <w:sz w:val="20"/>
                <w:szCs w:val="20"/>
                <w:color w:val="auto"/>
              </w:rPr>
            </w:pPr>
            <w:r>
              <w:rPr>
                <w:rFonts w:ascii="Arial" w:cs="Arial" w:eastAsia="Arial" w:hAnsi="Arial"/>
                <w:sz w:val="14"/>
                <w:szCs w:val="14"/>
                <w:color w:val="auto"/>
                <w:w w:val="95"/>
              </w:rPr>
              <w:t>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4"/>
                <w:szCs w:val="14"/>
                <w:color w:val="auto"/>
              </w:rPr>
              <w:t>Operating leases</w:t>
            </w:r>
          </w:p>
        </w:tc>
        <w:tc>
          <w:tcPr>
            <w:tcW w:w="1300" w:type="dxa"/>
            <w:vAlign w:val="bottom"/>
          </w:tcPr>
          <w:p>
            <w:pPr>
              <w:jc w:val="center"/>
              <w:ind w:left="248"/>
              <w:spacing w:after="0"/>
              <w:rPr>
                <w:sz w:val="20"/>
                <w:szCs w:val="20"/>
                <w:color w:val="auto"/>
              </w:rPr>
            </w:pPr>
            <w:r>
              <w:rPr>
                <w:rFonts w:ascii="Arial" w:cs="Arial" w:eastAsia="Arial" w:hAnsi="Arial"/>
                <w:sz w:val="14"/>
                <w:szCs w:val="14"/>
                <w:color w:val="auto"/>
                <w:w w:val="93"/>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30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5"/>
              </w:rPr>
              <w:t>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Our cash outflows from our operating leases include rent expense and other charges associated with these leases. These cash flows are included within the operating section of our statement of cash flows. Our cash flows from our finance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98" w:right="1399" w:bottom="1440" w:gutter="0" w:footer="0" w:header="0"/>
        </w:sectPr>
      </w:pPr>
    </w:p>
    <w:bookmarkStart w:id="53" w:name="page54"/>
    <w:bookmarkEnd w:id="53"/>
    <w:p>
      <w:pPr>
        <w:jc w:val="both"/>
        <w:ind w:right="220"/>
        <w:spacing w:after="0" w:line="263" w:lineRule="auto"/>
        <w:rPr>
          <w:sz w:val="20"/>
          <w:szCs w:val="20"/>
          <w:color w:val="auto"/>
        </w:rPr>
      </w:pPr>
      <w:r>
        <w:rPr>
          <w:rFonts w:ascii="Arial" w:cs="Arial" w:eastAsia="Arial" w:hAnsi="Arial"/>
          <w:sz w:val="18"/>
          <w:szCs w:val="18"/>
          <w:color w:val="auto"/>
        </w:rPr>
        <w:t>lease include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vMerge w:val="restart"/>
          </w:tcPr>
          <w:p>
            <w:pPr>
              <w:spacing w:after="0"/>
              <w:rPr>
                <w:sz w:val="14"/>
                <w:szCs w:val="14"/>
                <w:color w:val="auto"/>
              </w:rPr>
            </w:pPr>
          </w:p>
        </w:tc>
        <w:tc>
          <w:tcPr>
            <w:tcW w:w="24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6,009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600" w:type="dxa"/>
            <w:vAlign w:val="bottom"/>
          </w:tcPr>
          <w:p>
            <w:pPr>
              <w:jc w:val="right"/>
              <w:spacing w:after="0"/>
              <w:rPr>
                <w:sz w:val="20"/>
                <w:szCs w:val="20"/>
                <w:color w:val="auto"/>
              </w:rPr>
            </w:pPr>
            <w:r>
              <w:rPr>
                <w:rFonts w:ascii="Arial" w:cs="Arial" w:eastAsia="Arial" w:hAnsi="Arial"/>
                <w:sz w:val="14"/>
                <w:szCs w:val="14"/>
                <w:color w:val="auto"/>
              </w:rPr>
              <w:t>5,086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5,321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600" w:type="dxa"/>
            <w:vAlign w:val="bottom"/>
          </w:tcPr>
          <w:p>
            <w:pPr>
              <w:jc w:val="right"/>
              <w:spacing w:after="0"/>
              <w:rPr>
                <w:sz w:val="20"/>
                <w:szCs w:val="20"/>
                <w:color w:val="auto"/>
              </w:rPr>
            </w:pPr>
            <w:r>
              <w:rPr>
                <w:rFonts w:ascii="Arial" w:cs="Arial" w:eastAsia="Arial" w:hAnsi="Arial"/>
                <w:sz w:val="14"/>
                <w:szCs w:val="14"/>
                <w:color w:val="auto"/>
              </w:rPr>
              <w:t>8,670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2,369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generally offer a one 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product warranty liability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6"/>
                <w:szCs w:val="16"/>
                <w:color w:val="auto"/>
              </w:rPr>
              <w:t>Warranties issued during the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Settlements made during the period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(4,270)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(end of period)</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Amount classified as current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 classified as long-term</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Financing Arrangements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January 30, 2015, we sold our corporate headquarters facility for the sale price of $48.9 million. As part of the sale, we also entered into a 22-year lease agreement with the buyer. The sale leaseback is accounted for as a financing arrangement for financial reporting purposes and, as such, we recorded a financing obligation of $47.4 million as of December 31, 2021, $1.0 million of which is classified within current liabilities. The associated lease payments include both an interest component and payment of principal, with the underlying liability being extinguished at the end of the original lease term. We posted a collateralized security deposit of $5.9 million in the form of an irrevocable letter of credit at the time of the closing. This letter of credit is currently issued under the credit facility described in the next paragraph.</w:t>
      </w:r>
    </w:p>
    <w:p>
      <w:pPr>
        <w:spacing w:after="0" w:line="16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54" w:name="page55"/>
    <w:bookmarkEnd w:id="54"/>
    <w:p>
      <w:pPr>
        <w:ind w:right="40"/>
        <w:spacing w:after="0" w:line="269" w:lineRule="auto"/>
        <w:rPr>
          <w:sz w:val="20"/>
          <w:szCs w:val="20"/>
          <w:color w:val="auto"/>
        </w:rPr>
      </w:pPr>
      <w:r>
        <w:rPr>
          <w:rFonts w:ascii="Arial" w:cs="Arial" w:eastAsia="Arial" w:hAnsi="Arial"/>
          <w:sz w:val="17"/>
          <w:szCs w:val="17"/>
          <w:color w:val="auto"/>
        </w:rPr>
        <w:t>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December 31, 2021,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Plans</w:t>
      </w:r>
    </w:p>
    <w:p>
      <w:pPr>
        <w:spacing w:after="0" w:line="225" w:lineRule="exact"/>
        <w:rPr>
          <w:sz w:val="20"/>
          <w:szCs w:val="20"/>
          <w:color w:val="auto"/>
        </w:rPr>
      </w:pPr>
    </w:p>
    <w:p>
      <w:pPr>
        <w:ind w:left="660" w:hanging="655"/>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the Axcelis Long-Term Investment Plan, a defined contribution plan. Eligible employees may contribute up to 35% of their compensation on a before-tax basis subject to Internal Revenue Service (“IRS”) limitations. Highly compensated employees may contribute up to 16% of their compensation on a before-tax basis subject to IRS limitations. In 2021, 2020 and 2019 we provided an employer match of 50% of employees’ pre-tax contributions on the first 6% of eligible compensation. Total related matching contribution expense was $2.2 million, $2.0 million and $1.9 million, for 2021, 2020 and 2019, respectively.</w:t>
      </w:r>
    </w:p>
    <w:p>
      <w:pPr>
        <w:spacing w:after="0" w:line="188" w:lineRule="exact"/>
        <w:rPr>
          <w:sz w:val="20"/>
          <w:szCs w:val="20"/>
          <w:color w:val="auto"/>
        </w:rPr>
      </w:pPr>
    </w:p>
    <w:p>
      <w:pPr>
        <w:ind w:left="680" w:hanging="675"/>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Plans</w:t>
      </w:r>
    </w:p>
    <w:p>
      <w:pPr>
        <w:spacing w:after="0" w:line="22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We operate in foreign jurisdictions that require lump sum benefits, payable based on statutory regulations, for voluntary or involuntary termination. Where required, an annual actuarial valuation of the benefit plans is obtained.</w:t>
      </w:r>
    </w:p>
    <w:p>
      <w:pPr>
        <w:spacing w:after="0" w:line="124"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We have recorded an unfunded liability of $4.7 million and $5.1 million at December 31, 2021 and 2020, respectively, for costs associated with these compensation plans in foreign jurisdictions. The following table presents the classification of these liabilities in the Consolidated Balance Sheets:</w:t>
      </w:r>
    </w:p>
    <w:p>
      <w:pPr>
        <w:spacing w:after="0" w:line="18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Year ended</w:t>
      </w:r>
    </w:p>
    <w:p>
      <w:pPr>
        <w:jc w:val="center"/>
        <w:ind w:left="5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5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360" w:type="dxa"/>
            <w:vAlign w:val="bottom"/>
            <w:gridSpan w:val="3"/>
          </w:tcPr>
          <w:p>
            <w:pPr>
              <w:jc w:val="right"/>
              <w:ind w:right="156"/>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60" w:type="dxa"/>
            <w:vAlign w:val="bottom"/>
            <w:tcBorders>
              <w:bottom w:val="single" w:sz="8" w:color="CCEEFF"/>
            </w:tcBorders>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$ 4,681</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$ 5,121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expense recorded in connection with these plans was $1.5 million, $1.2 million and $1.2 million during the years ended December 31,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 Award Plans and Stock Based Compensation</w:t>
      </w:r>
    </w:p>
    <w:p>
      <w:pPr>
        <w:spacing w:after="0" w:line="225" w:lineRule="exact"/>
        <w:rPr>
          <w:sz w:val="20"/>
          <w:szCs w:val="20"/>
          <w:color w:val="auto"/>
        </w:rPr>
      </w:pPr>
    </w:p>
    <w:p>
      <w:pPr>
        <w:ind w:left="660" w:hanging="655"/>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maintain the Axcelis Technologies, Inc. 2012 Equity Incentive Plan (the “2012 Equity Plan” or the “Plan”), which became effective on May 2, 2012.</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2012 Equity Plan, as amended, reserves 9.5 million shares of common stock, $0.001 par value, for grant and permits the issuance of options, stock appreciation rights, restricted stock, restricted stock units, stock equivalents and awards of shares of common stock that are not subject to restrictions or forfeiture to selected employees, directors and consultants of the Company. The total number of shares reserved for issuance under the Plan is the sum of 7.76 million shares approved by the shareholders, and 1.78 million shares added in accordance with the terms of the Plan as a result 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5" w:right="1419" w:bottom="1440" w:gutter="0" w:footer="0" w:header="0"/>
        </w:sectPr>
      </w:pPr>
    </w:p>
    <w:bookmarkStart w:id="55" w:name="page56"/>
    <w:bookmarkEnd w:id="55"/>
    <w:p>
      <w:pPr>
        <w:ind w:right="100"/>
        <w:spacing w:after="0" w:line="277" w:lineRule="auto"/>
        <w:rPr>
          <w:sz w:val="20"/>
          <w:szCs w:val="20"/>
          <w:color w:val="auto"/>
        </w:rPr>
      </w:pPr>
      <w:r>
        <w:rPr>
          <w:rFonts w:ascii="Arial" w:cs="Arial" w:eastAsia="Arial" w:hAnsi="Arial"/>
          <w:sz w:val="18"/>
          <w:szCs w:val="18"/>
          <w:color w:val="auto"/>
        </w:rPr>
        <w:t>the expiration or forfeiture of awards granted under our prior equity plan. Shares that are not issued under an award (because such award expires, is terminated unexercised or is forfeited) revert back to the Plan.</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term of stock options granted under the Plan is specified in the award agreements. Unless a lesser term is otherwise specified by the Compensation Committee of the Company’s Board of Directors, awards under the 2012 Equity Plan will expire seven years from the date of grant. Under the terms of the Plan, the exercise price of a stock option may not be less than the fair market value of a share of the Company’s common stock on the date of grant. Under the 2012 Equity Plan, fair market value is defined as the last reported sale price of a share of the Company’s common stock on a national securities exchange as of any applicable date, as long as the Company’s shares are traded on such exchange.</w:t>
      </w:r>
    </w:p>
    <w:p>
      <w:pPr>
        <w:spacing w:after="0" w:line="16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Stock options granted to employees generally vest over a period of four years, while stock options granted to non-employee members of the Company’s Board of Directors generally vest over a period of six months and, once vested, are not affected by the director’s termination of service to the Company. In limited circumstances, the Company may grant stock option awards with market-based vesting conditions, such as the Company’s common stock price, or other performance conditions. Termination of service by an employee will cause options to cease vesting as of the date of termination, and in most cases, employees will have 90 days after termination to exercise options that were vested as of the termination of employment. In general, retiring employees will have one year after termination of employment to exercise vested options. The Company settles stock option exercises with newly issued common shares.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Restricted stock units granted to employees during 2021 had both service-based vesting provisions and performance-based vesting provisions. Restricted stock units granted to employees generally vest over a service period of four years, while restricted stock units granted to non-employee members of the Company’s Board of Directors generally vest over a service period of six months. We have granted restricted stock units to executive officers and other senior employees with performance vesting conditions, which may be subject to further service-based vesting terms. Unvested restricted stock unit awards expire upon termination of service to the Company. We settle restricted stock units upon vesting with newly issued common shares. No restricted stock was granted during the three year period ended December 31,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there were 1.5 million shares available for grant under the 2012 Equity Plan.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December 31, 2021, there were 0.1 million options outstanding and 0.9 million unvested restricted stock units outstanding under the 2012 Stock Plan.</w:t>
      </w:r>
    </w:p>
    <w:p>
      <w:pPr>
        <w:spacing w:after="0" w:line="166" w:lineRule="exact"/>
        <w:rPr>
          <w:sz w:val="20"/>
          <w:szCs w:val="20"/>
          <w:color w:val="auto"/>
        </w:rPr>
      </w:pPr>
    </w:p>
    <w:p>
      <w:pPr>
        <w:ind w:left="680" w:hanging="675"/>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2020 Employee Stock Purchase Plan (the “2020 ESPP”) provides effectively all of our employees the opportunity to purchase common stock of the Company at less than market prices. Purchases are made through payroll deductions of up to 10% of the employee’s salary as elected by the participant, subject to certain caps set forth in the 2020 ESPP. Employees may purchase the Company’s common stock at 85% of its market price on the day the stock is purchased.</w:t>
      </w:r>
    </w:p>
    <w:p>
      <w:pPr>
        <w:spacing w:after="0" w:line="15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2020 ESPP is considered compensatory and as such, compensation expense has been recognized based on the benefit of the discounted stock price, amortized to compensation expense over each offering period of six months. Compensation expense relating to the 2020 ESPP was approximately $0.2 million for the year ended December 31, 2021. Compensation expense under the 2020 ESPP and our prior employee stock purchase plan (the “2000 ESPP”) was approximately $0.2 million for the year ended December 31, 2020. Compensation expense under the 2000 ESPP was approximately $0.2 million for the year ended December 31,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2021, there were approximately 1.0 million shares reserved for issuance and available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purchase under the 2020 ESPP, with 10,588 shares purchased on that date to be issued pending settlement. Less than 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were purchased under the 2020 ESPP for the year ended December 31, 2021. The 2000 ESPP expired in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Less than 0.1 million shares were purchased under the 2020 ESPP and 2000 ESPP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Less than 0.1 million shares were purchased under the 2000 ESPP in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80"/>
          </w:cols>
          <w:pgMar w:left="1380" w:top="125" w:right="1439" w:bottom="1440" w:gutter="0" w:footer="0" w:header="0"/>
        </w:sectPr>
      </w:pPr>
    </w:p>
    <w:bookmarkStart w:id="56" w:name="page57"/>
    <w:bookmarkEnd w:id="56"/>
    <w:p>
      <w:pPr>
        <w:ind w:left="660" w:hanging="655"/>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of Stock Options and Restricted Stock Units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purpose of valuing stock options with service conditions, we use the Black-Scholes option pricing model to calculate the grant-date fair value of an award.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 ended December 31,</w:t>
            </w:r>
          </w:p>
        </w:tc>
      </w:tr>
      <w:tr>
        <w:trPr>
          <w:trHeight w:val="142"/>
        </w:trPr>
        <w:tc>
          <w:tcPr>
            <w:tcW w:w="730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53.07%</w:t>
            </w:r>
          </w:p>
        </w:tc>
        <w:tc>
          <w:tcPr>
            <w:tcW w:w="12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Weighted-average expected term</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4.71 years</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w:t>
            </w:r>
          </w:p>
        </w:tc>
        <w:tc>
          <w:tcPr>
            <w:tcW w:w="120" w:type="dxa"/>
            <w:vAlign w:val="bottom"/>
            <w:shd w:val="clear" w:color="auto" w:fill="CCEEFF"/>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 awards granted in 2020 and 2019.</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fair value of the Company’s restricted stock units is calculated based upon the fair market value of the Company’s stock at the date of grant.</w:t>
      </w:r>
    </w:p>
    <w:p>
      <w:pPr>
        <w:spacing w:after="0" w:line="166" w:lineRule="exact"/>
        <w:rPr>
          <w:sz w:val="20"/>
          <w:szCs w:val="20"/>
          <w:color w:val="auto"/>
        </w:rPr>
      </w:pPr>
    </w:p>
    <w:p>
      <w:pPr>
        <w:ind w:left="680" w:hanging="675"/>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Stock-based Compensation Expense</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use the straight-line attribution method to recognize expense for stock-based awards such that the expense associated with awards is evenly recognized throughout the period.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amount of stock-based compensation recognized is based on the value of the portion of the awards that are ultimately expected to vest. We estimate forfeitures at the time of grant and revise them, if necessary, in subsequent periods, if actual forfeitures differ from those estimates. The term “forfeitures” is distinct from “cancellations” or “expirations” and represents only the unvested portion of the surrendered stock-based award. Based on a historical analysis, a forfeiture rate of 5% per year was applied to stock-based awards, including executive officer awards, for the years ended December 31, 2021, 2020 and 2019.</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For the years ended December 31, 2021, 2020 and 2019, we recognized stock-based compensation expense of $12.1 million, $10.5 million and $8.2 million, respectively. We present the expenses related to stock-based compensation in the same expense line items as cash compensation paid to our employees. For the years ended December 31, 2021, 2020 and 2019, we used restricted stock units in our annual equity compensation program.</w:t>
      </w:r>
    </w:p>
    <w:p>
      <w:pPr>
        <w:spacing w:after="0" w:line="17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benefit of tax deductions in excess of recognized compensation cost is reported in the consolidated statements of cash flows as part of cash flows from operating activities. Axcelis had tax deductions in excess of recognized compensation cost of $18.7 million for the year ended December 31, 2021 which resulted in a tax benefit of $3.9 million.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7" w:name="page58"/>
    <w:bookmarkEnd w:id="57"/>
    <w:p>
      <w:pPr>
        <w:ind w:left="660" w:hanging="655"/>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Awards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stock option activity for the year ended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61.81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Canceled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gridSpan w:val="2"/>
          </w:tcPr>
          <w:p>
            <w:pPr>
              <w:spacing w:after="0"/>
              <w:rPr>
                <w:sz w:val="20"/>
                <w:szCs w:val="20"/>
                <w:color w:val="auto"/>
              </w:rPr>
            </w:pPr>
            <w:r>
              <w:rPr>
                <w:rFonts w:ascii="Arial" w:cs="Arial" w:eastAsia="Arial" w:hAnsi="Arial"/>
                <w:sz w:val="18"/>
                <w:szCs w:val="18"/>
                <w:color w:val="auto"/>
              </w:rPr>
              <w:t>Outstanding at December 31, 2021</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14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2021</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12.17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Options Vested at December 31, 2021</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12.17</w:t>
            </w:r>
          </w:p>
        </w:tc>
        <w:tc>
          <w:tcPr>
            <w:tcW w:w="1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total intrinsic value, which is defined as the difference between the market price at exercise and the price paid by the employee to exercise the options, for options exercised during the years ended December 31, 2021, 2020 and 2019 was $12.8 million, $18.4 million and $10.9 million, respectively.</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 options vested during the year ended December 31, 2021. The total fair value of stock options vested during the years ended December 31, 2020 and 2019 was $0.1 million and $0.9 million respectively. As of December 31, 2021, there was less than $0.1 million of unrecognized compensation cost related to non-vested stock options granted under the 2012 Equity Incentive Plan.</w:t>
      </w:r>
    </w:p>
    <w:p>
      <w:pPr>
        <w:spacing w:after="0" w:line="183" w:lineRule="exact"/>
        <w:rPr>
          <w:sz w:val="20"/>
          <w:szCs w:val="20"/>
          <w:color w:val="auto"/>
        </w:rPr>
      </w:pPr>
    </w:p>
    <w:p>
      <w:pPr>
        <w:ind w:left="640" w:hanging="635"/>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 and Restricted Stock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Restricted stock units represent the Company’s unfunded and unsecured promise to issue shares of the common stock at a future date, subject to the terms of the Award Agreement issued under the 2012 Equity Incentive Plan. Restricted stock unit awards granted in 2021 included time vested share awards and awards with performance vesting conditions. Restricted stock awards are issued shares of common stock that are subject to forfeiture on terms described in the Award Agreement, and may be granted under the 2012 Equity Incentive Plan. No restricted stock awards were granted, or vested, during the years ended December 31, 2021, 2020 and 2019. The fair value of a restricted stock unit and restricted stock award is charged to expense ratably over the applicable service period. The purpose of these awards is to assist in attracting and retaining highly competent employees and directors and to act as an incentive in motivating selected employees and directors to achieve long-term corporate objectives.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Company’s non-vested restricted stock units for the year ended December 31, 2021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Shares/units</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weighted average grant-date fair value of restricted stock units granted for the years ended December 31, 2021, 2020 and 2019 was $38.54, $23.60 and $17.08, respectively. Most restricted stock units provide for net share settlement to cover the employee’s personal income tax withholding obligations on vesting of the employee’s restricted stock units. Vesting activity above reflects shares vested before net share settlement. As of December 31, 2021, there was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8" w:name="page59"/>
    <w:bookmarkEnd w:id="58"/>
    <w:p>
      <w:pPr>
        <w:ind w:right="140"/>
        <w:spacing w:after="0" w:line="342" w:lineRule="auto"/>
        <w:rPr>
          <w:sz w:val="20"/>
          <w:szCs w:val="20"/>
          <w:color w:val="auto"/>
        </w:rPr>
      </w:pPr>
      <w:r>
        <w:rPr>
          <w:rFonts w:ascii="Arial" w:cs="Arial" w:eastAsia="Arial" w:hAnsi="Arial"/>
          <w:sz w:val="16"/>
          <w:szCs w:val="16"/>
          <w:color w:val="auto"/>
        </w:rPr>
        <w:t>$18.5 million of total forfeiture-adjusted unrecognized compensation cost related to non-vested restricted stock units granted under the 2012 Equity Incentive Plan. That cost is expected to be recognized over a weighted-average period of 2.4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may issue up to 75 million shares of common stock without additional shareholder approval. At December 31, 2021 and 2020, there were 33.2 million and 33.6 million outstanding shares of common stock,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0" w:lineRule="exact"/>
        <w:rPr>
          <w:sz w:val="20"/>
          <w:szCs w:val="20"/>
          <w:color w:val="auto"/>
        </w:rPr>
      </w:pPr>
    </w:p>
    <w:p>
      <w:pPr>
        <w:ind w:left="660" w:hanging="655"/>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ind w:left="660" w:right="440" w:firstLine="648"/>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—applies to assets or liabilities for which there are quoted prices in active markets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170" w:lineRule="exact"/>
        <w:rPr>
          <w:sz w:val="20"/>
          <w:szCs w:val="20"/>
          <w:color w:val="auto"/>
        </w:rPr>
      </w:pPr>
    </w:p>
    <w:p>
      <w:pPr>
        <w:ind w:left="660" w:right="120" w:firstLine="648"/>
        <w:spacing w:after="0" w:line="25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—applies to assets or liabilities for which there are inputs other than quoted prices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8" w:lineRule="exact"/>
        <w:rPr>
          <w:sz w:val="20"/>
          <w:szCs w:val="20"/>
          <w:color w:val="auto"/>
        </w:rPr>
      </w:pPr>
    </w:p>
    <w:p>
      <w:pPr>
        <w:ind w:left="660" w:right="980" w:firstLine="648"/>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—applies to assets or liabilities for which there are unobservable inputs to the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methodology that are significant to the measurement of the fair value of the assets or liabilities.</w:t>
      </w:r>
    </w:p>
    <w:p>
      <w:pPr>
        <w:spacing w:after="0" w:line="336" w:lineRule="exact"/>
        <w:rPr>
          <w:sz w:val="20"/>
          <w:szCs w:val="20"/>
          <w:color w:val="auto"/>
        </w:rPr>
      </w:pPr>
    </w:p>
    <w:p>
      <w:pPr>
        <w:ind w:left="660" w:hanging="655"/>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sets forth Company’s assets which are measured at fair value by level within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gridSpan w:val="7"/>
          </w:tcPr>
          <w:p>
            <w:pPr>
              <w:ind w:left="40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Fair Value Measurements</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r>
      <w:tr>
        <w:trPr>
          <w:trHeight w:val="129"/>
        </w:trPr>
        <w:tc>
          <w:tcPr>
            <w:tcW w:w="2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70"/>
              </w:rPr>
              <w:t>(in thousands)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2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equivalents:</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240" w:type="dxa"/>
            <w:vAlign w:val="bottom"/>
          </w:tcPr>
          <w:p>
            <w:pPr>
              <w:spacing w:after="0"/>
              <w:rPr>
                <w:sz w:val="17"/>
                <w:szCs w:val="17"/>
                <w:color w:val="auto"/>
              </w:rPr>
            </w:pPr>
          </w:p>
        </w:tc>
        <w:tc>
          <w:tcPr>
            <w:tcW w:w="41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Money market funds, U.S. Government Securities and</w:t>
            </w: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40" w:type="dxa"/>
            <w:vAlign w:val="bottom"/>
          </w:tcPr>
          <w:p>
            <w:pPr>
              <w:spacing w:after="0"/>
              <w:rPr>
                <w:sz w:val="20"/>
                <w:szCs w:val="20"/>
                <w:color w:val="auto"/>
              </w:rPr>
            </w:pPr>
          </w:p>
        </w:tc>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Investments</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261,090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   $</w:t>
            </w:r>
          </w:p>
        </w:tc>
        <w:tc>
          <w:tcPr>
            <w:tcW w:w="8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261,090</w:t>
            </w:r>
          </w:p>
        </w:tc>
        <w:tc>
          <w:tcPr>
            <w:tcW w:w="220" w:type="dxa"/>
            <w:vAlign w:val="bottom"/>
          </w:tcPr>
          <w:p>
            <w:pPr>
              <w:spacing w:after="0"/>
              <w:rPr>
                <w:sz w:val="20"/>
                <w:szCs w:val="20"/>
                <w:color w:val="auto"/>
              </w:rPr>
            </w:pPr>
          </w:p>
        </w:tc>
      </w:tr>
      <w:tr>
        <w:trPr>
          <w:trHeight w:val="878"/>
        </w:trPr>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59</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60"/>
        </w:trPr>
        <w:tc>
          <w:tcPr>
            <w:tcW w:w="2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125" w:right="1399" w:bottom="1440" w:gutter="0" w:footer="0" w:header="0"/>
        </w:sectPr>
      </w:pPr>
    </w:p>
    <w:bookmarkStart w:id="59" w:name="page60"/>
    <w:bookmarkEnd w:id="59"/>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Fair Value Measurements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center"/>
              <w:ind w:right="28"/>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Money market funds, U.S. Government Securities and Agency</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$ 172,119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172,119</w:t>
            </w:r>
          </w:p>
        </w:tc>
        <w:tc>
          <w:tcPr>
            <w:tcW w:w="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660" w:hanging="655"/>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Instruments</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addition to the finance and operating leases discussed in Note 9, we have purchase commitments and other contingency considerations.</w:t>
      </w:r>
    </w:p>
    <w:p>
      <w:pPr>
        <w:spacing w:after="0" w:line="166" w:lineRule="exact"/>
        <w:rPr>
          <w:sz w:val="20"/>
          <w:szCs w:val="20"/>
          <w:color w:val="auto"/>
        </w:rPr>
      </w:pPr>
    </w:p>
    <w:p>
      <w:pPr>
        <w:ind w:left="660" w:hanging="655"/>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contracts and purchase orders for inventory and other expenditures of $226.4 million at December 31, 2021, approximately $224 million are expected to occur in 2022.</w:t>
      </w:r>
    </w:p>
    <w:p>
      <w:pPr>
        <w:spacing w:after="0" w:line="166" w:lineRule="exact"/>
        <w:rPr>
          <w:sz w:val="20"/>
          <w:szCs w:val="20"/>
          <w:color w:val="auto"/>
        </w:rPr>
      </w:pPr>
    </w:p>
    <w:p>
      <w:pPr>
        <w:ind w:left="680" w:hanging="675"/>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20" w:lineRule="exact"/>
        <w:rPr>
          <w:sz w:val="20"/>
          <w:szCs w:val="20"/>
          <w:color w:val="auto"/>
        </w:rPr>
      </w:pPr>
    </w:p>
    <w:p>
      <w:pPr>
        <w:ind w:left="660" w:hanging="655"/>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to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Segment and Geographic Region Information</w:t>
      </w:r>
    </w:p>
    <w:p>
      <w:pPr>
        <w:spacing w:after="0" w:line="229"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We operate in one business segment, which is the manufacture of capital equipment for the semiconductor chip manufacturing industry. The principal market for semiconductor capital equipment is semiconductor chip manufacturers. Substantially all sales are made directly by us to our customers located in the United States, Europe and Asia Pacific.</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ion implantation systems product line includes high current, medium current and high energy implanters. Other legacy processing products include curing and thermal processing systems. In addition to new equipment, we provide post-sales equipment service and support, including spare parts, equipment upgrades, used equipment, maintenance services and customer training.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18" w:right="141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Revenue by product lines is as follows:</w:t>
      </w:r>
    </w:p>
    <w:p>
      <w:pPr>
        <w:spacing w:after="0" w:line="230"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6350</wp:posOffset>
            </wp:positionV>
            <wp:extent cx="17570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ind w:left="6540"/>
        <w:spacing w:after="0"/>
        <w:tabs>
          <w:tab w:leader="none" w:pos="7480" w:val="left"/>
          <w:tab w:leader="none" w:pos="8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ind w:left="7220"/>
        <w:spacing w:after="0" w:line="231"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-93345</wp:posOffset>
            </wp:positionV>
            <wp:extent cx="1757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Ion implantation systems and services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$ 645,504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$ 456,788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326,029</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systems and services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16,924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16,929</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$ 662,428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$ 474,560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342,958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Revenue and long-lived assets by geographic region, based on the physical location of the operation recording the sale or the asset, are as follows:</w:t>
      </w:r>
    </w:p>
    <w:p>
      <w:pPr>
        <w:spacing w:after="0" w:line="229"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Long-Lived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87"/>
              </w:rPr>
              <w:t>Assets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w w:val="79"/>
              </w:rPr>
              <w:t>2021</w:t>
            </w:r>
          </w:p>
        </w:tc>
        <w:tc>
          <w:tcPr>
            <w:tcW w:w="2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519,408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63,590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106,398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662,428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66,975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jc w:val="right"/>
              <w:ind w:right="2850"/>
              <w:spacing w:after="0"/>
              <w:rPr>
                <w:sz w:val="20"/>
                <w:szCs w:val="20"/>
                <w:color w:val="auto"/>
              </w:rPr>
            </w:pPr>
            <w:r>
              <w:rPr>
                <w:rFonts w:ascii="Arial" w:cs="Arial" w:eastAsia="Arial" w:hAnsi="Arial"/>
                <w:sz w:val="18"/>
                <w:szCs w:val="18"/>
                <w:color w:val="auto"/>
                <w:w w:val="84"/>
              </w:rPr>
              <w:t>2020</w:t>
            </w: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351,069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67,521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28,977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3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94,514</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474,560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68,303</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w w:val="79"/>
              </w:rPr>
              <w:t>2019</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256,092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67,336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30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58,123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342,958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68,084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Long-lived assets consist of property, plant and equipment, net, and assets manufactured for internal use, net. Operations in Asia Pacific consist of manufacturing, sales and service organizations. Operations in Europe consist of sales and service organizations.</w:t>
      </w:r>
    </w:p>
    <w:p>
      <w:pPr>
        <w:spacing w:after="0" w:line="1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International revenue, which includes export sales from U.S. manufacturing facilities to foreign customers and sales by foreign subsidiaries and branches, was $613.5 million (92.6% of total revenue), $423.7 million (89.3% of total revenue) and $306.6 million (89.4% of total revenue) in 2021, 2020 and 2019,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1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$ 116,380</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$ 51,934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4,048</w:t>
            </w:r>
          </w:p>
        </w:tc>
        <w:tc>
          <w:tcPr>
            <w:tcW w:w="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3,952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$ 120,428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$ 55,886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20,922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640"/>
              <w:spacing w:after="0"/>
              <w:rPr>
                <w:sz w:val="20"/>
                <w:szCs w:val="20"/>
                <w:color w:val="auto"/>
              </w:rPr>
            </w:pPr>
            <w:r>
              <w:rPr>
                <w:rFonts w:ascii="Arial" w:cs="Arial" w:eastAsia="Arial" w:hAnsi="Arial"/>
                <w:sz w:val="18"/>
                <w:szCs w:val="18"/>
                <w:color w:val="auto"/>
              </w:rPr>
              <w:t>Provision for income taxes is as follows:</w:t>
            </w: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State</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w:t>
            </w:r>
          </w:p>
        </w:tc>
        <w:tc>
          <w:tcPr>
            <w:tcW w:w="1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Federal</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20,521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w:t>
            </w:r>
          </w:p>
        </w:tc>
        <w:tc>
          <w:tcPr>
            <w:tcW w:w="1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20,257</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3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21,778</w:t>
            </w: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Reconciliation of income taxes at the United States Federal statutory rate to the effective income tax rate of 18.1%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700" w:type="dxa"/>
            <w:vAlign w:val="bottom"/>
            <w:gridSpan w:val="9"/>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United States statutory rate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11,736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 income taxes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Effect of change in valuation allowance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rate differentials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Credit expirations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Rate change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Credit generation</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Discrete items, net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Previously unrecognized tax benefit</w:t>
            </w:r>
          </w:p>
        </w:tc>
        <w:tc>
          <w:tcPr>
            <w:tcW w:w="2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GILTI inclusion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24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$ 21,778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80" w:type="dxa"/>
            <w:vAlign w:val="bottom"/>
            <w:vMerge w:val="restart"/>
          </w:tcPr>
          <w:p>
            <w:pPr>
              <w:jc w:val="right"/>
              <w:ind w:right="1670"/>
              <w:spacing w:after="0"/>
              <w:rPr>
                <w:sz w:val="20"/>
                <w:szCs w:val="20"/>
                <w:color w:val="auto"/>
              </w:rPr>
            </w:pPr>
            <w:r>
              <w:rPr>
                <w:rFonts w:ascii="Arial" w:cs="Arial" w:eastAsia="Arial" w:hAnsi="Arial"/>
                <w:sz w:val="18"/>
                <w:szCs w:val="18"/>
                <w:color w:val="auto"/>
              </w:rPr>
              <w:t>62</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21" w:right="139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Significant components of long-term deferred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37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26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net operating loss carryforwards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State net operating loss carryforwards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net operating loss carryforwards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Federal tax credit carryforwards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tax credit carryforwards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Stock compensation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research and development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ind w:left="260"/>
              <w:spacing w:after="0"/>
              <w:rPr>
                <w:sz w:val="20"/>
                <w:szCs w:val="20"/>
                <w:color w:val="auto"/>
              </w:rPr>
            </w:pPr>
            <w:r>
              <w:rPr>
                <w:rFonts w:ascii="Arial" w:cs="Arial" w:eastAsia="Arial" w:hAnsi="Arial"/>
                <w:sz w:val="18"/>
                <w:szCs w:val="18"/>
                <w:color w:val="auto"/>
              </w:rPr>
              <w:t>Deferred taxes, net</w:t>
            </w:r>
          </w:p>
        </w:tc>
        <w:tc>
          <w:tcPr>
            <w:tcW w:w="19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right="40" w:firstLine="648"/>
        <w:spacing w:after="0" w:line="381" w:lineRule="auto"/>
        <w:rPr>
          <w:sz w:val="20"/>
          <w:szCs w:val="20"/>
          <w:color w:val="auto"/>
        </w:rPr>
      </w:pPr>
      <w:r>
        <w:rPr>
          <w:rFonts w:ascii="Arial" w:cs="Arial" w:eastAsia="Arial" w:hAnsi="Arial"/>
          <w:sz w:val="15"/>
          <w:szCs w:val="15"/>
          <w:color w:val="auto"/>
        </w:rPr>
        <w:t>Changes in tax rates and tax laws are accounted for in the period of enactment. Our deferred tax assets and liabilities are measured at the enacted tax rate expected to apply when these temporary differences are expected to be realized or settled.</w:t>
      </w:r>
    </w:p>
    <w:p>
      <w:pPr>
        <w:spacing w:after="0" w:line="3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At December 31, 2021, we had $35.5 million of net deferred tax assets worldwide relating to net operating loss carryforwards, tax credit carryforwards and other temporary differences, which are available to reduce income taxes in future years. At December 31, 2021, we maintain a $7.7 million valuation allowance in the U.S. against certain tax credits and state net operating losses due to the uncertainty of their realization based on long-term Company forecasts and the expiration dates on these attributes. This represents a decrease of $1.4 million from the prior year.</w:t>
      </w:r>
    </w:p>
    <w:p>
      <w:pPr>
        <w:spacing w:after="0" w:line="9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December 31, 2021, we have federal and state net operating loss carryforwards of $30.5 million and $13.6 million, respectively. Federal and net operating losses will expire between 2033 and 2034. State net operating losses will expire between 2022 and 2034. The federal net operating loss carryforwards are subject to an uncertain tax position reserve of $3.7 million. At December 31, 2021, we have foreign net operating loss carryforwards of $1.5 million. The majority of our foreign net operating losses have an unlimited carryforward period.</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December 31, 2021, we have research and development and other tax credit carryforwards of $38.3 million. These carry forwards are subject to an uncertain tax position reserve of $9.2 million. These credits can be used to reduce future federal and state income tax liabilities and expire principally between 2022 and 2035.</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consider the undistributed earnings of our foreign subsidiaries as of December 31, 2021, to be indefinitely reinvested and, accordingly, no U.S. income taxes have been provided thereon. As of December 31, 2021, the amount of cash associated with indefinitely reinvested foreign earnings was approximately $10.4 million.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3" w:name="page64"/>
    <w:bookmarkEnd w:id="63"/>
    <w:p>
      <w:pPr>
        <w:ind w:right="40" w:firstLine="648"/>
        <w:spacing w:after="0" w:line="273" w:lineRule="auto"/>
        <w:rPr>
          <w:sz w:val="20"/>
          <w:szCs w:val="20"/>
          <w:color w:val="auto"/>
        </w:rPr>
      </w:pPr>
      <w:r>
        <w:rPr>
          <w:rFonts w:ascii="Arial" w:cs="Arial" w:eastAsia="Arial" w:hAnsi="Arial"/>
          <w:sz w:val="17"/>
          <w:szCs w:val="17"/>
          <w:color w:val="auto"/>
        </w:rPr>
        <w:t>We and our subsidiaries file income tax returns in the U.S. federal jurisdiction and various states and foreign jurisdictions. We and most foreign subsidiaries are subject to income tax examinations by tax authorities for all years dating back to 2009. Our policy is to recognize interest related to unrecognized tax benefits as interest expense and penalties as operating expenses. We believe that we have appropriate support for the income tax positions taken and to be taken on our tax returns and that our accruals for tax liabilities are adequate for all open years based on an assessment of many factors including past experience and interpretations of tax law applied to the facts of each matter.</w:t>
      </w:r>
    </w:p>
    <w:p>
      <w:pPr>
        <w:spacing w:after="0" w:line="11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At December 31, 2021, we had unrecognized tax benefits related to uncertain tax positions of approximately $10.0 million, all of which reduced the Company’s deferred tax assets and the offsetting valuation allowance.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balance of unrecognized tax benefits are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9"/>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w w:val="96"/>
              </w:rPr>
              <w:t>(Decrease) / increase in unrecognized tax benefits as a result of tax positions taken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during a prior period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Reductions to unrecognized tax benefits as a result of a lapse of the applicable statute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limitation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w w:val="98"/>
              </w:rPr>
              <w:t>Increases in unrecognized tax benefits as a result of tax positions taken during the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current period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Recorded as other long-term liability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Recorded as a decrease in deferred tax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9,390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10,044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As of December 31, 2021, we had $10.0 million of unrecognized tax benefits which, if recognized would reduce the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Schedule II—Valuation and Qualifying Accounts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Axcelis Technologies, Inc.</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Costs and</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Expenses</w:t>
            </w: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Allowance for doubtful accounts and returns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53" w:right="13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40" w:type="dxa"/>
            <w:vAlign w:val="bottom"/>
            <w:gridSpan w:val="30"/>
          </w:tcPr>
          <w:p>
            <w:pPr>
              <w:jc w:val="center"/>
              <w:ind w:right="326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6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40" w:type="dxa"/>
            <w:vAlign w:val="bottom"/>
            <w:tcBorders>
              <w:bottom w:val="single" w:sz="8" w:color="0000EE"/>
            </w:tcBorders>
            <w:gridSpan w:val="23"/>
          </w:tcPr>
          <w:p>
            <w:pPr>
              <w:spacing w:after="0" w:line="169"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Restated Certificate of Incorporation of the Company, filed November 2, 2017. Incorporated by reference to</w:t>
              </w:r>
            </w:hyperlink>
          </w:p>
        </w:tc>
        <w:tc>
          <w:tcPr>
            <w:tcW w:w="4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Exhibit 3.1 of the Company’s Form 10-Q filed with the Commission on November 3, 2017.</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8180" w:type="dxa"/>
            <w:vAlign w:val="bottom"/>
            <w:tcBorders>
              <w:bottom w:val="single" w:sz="8" w:color="0000EE"/>
            </w:tcBorders>
            <w:gridSpan w:val="34"/>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Bylaws of the Company, as amended and restated as of May 13, 2014. Incorporated by reference to Exhibit 3.2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the Company’s Form 8-K filed with the Commission on May 19, 2014.</w:t>
              </w:r>
            </w:hyperlink>
          </w:p>
        </w:tc>
        <w:tc>
          <w:tcPr>
            <w:tcW w:w="30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220" w:type="dxa"/>
            <w:vAlign w:val="bottom"/>
          </w:tcPr>
          <w:p>
            <w:pPr>
              <w:spacing w:after="0"/>
              <w:rPr>
                <w:sz w:val="24"/>
                <w:szCs w:val="24"/>
                <w:color w:val="auto"/>
              </w:rPr>
            </w:pPr>
          </w:p>
        </w:tc>
        <w:tc>
          <w:tcPr>
            <w:tcW w:w="8180" w:type="dxa"/>
            <w:vAlign w:val="bottom"/>
            <w:gridSpan w:val="34"/>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Description of Securities Registered under Section 12 of the Securities Exchange Act of 1934.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reference to Exhibit 4.4 of the Company’s Form 10-K for the year ended December 31, 2019 filed with the</w:t>
              </w:r>
            </w:hyperlink>
          </w:p>
        </w:tc>
        <w:tc>
          <w:tcPr>
            <w:tcW w:w="320" w:type="dxa"/>
            <w:vAlign w:val="bottom"/>
            <w:tcBorders>
              <w:top w:val="single" w:sz="8" w:color="0000EE"/>
            </w:tcBorders>
            <w:gridSpan w:val="5"/>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Commission on March 2, 2020.</w:t>
              </w:r>
            </w:hyperlink>
          </w:p>
        </w:tc>
        <w:tc>
          <w:tcPr>
            <w:tcW w:w="592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10.1*</w:t>
            </w:r>
          </w:p>
        </w:tc>
        <w:tc>
          <w:tcPr>
            <w:tcW w:w="220" w:type="dxa"/>
            <w:vAlign w:val="bottom"/>
          </w:tcPr>
          <w:p>
            <w:pPr>
              <w:spacing w:after="0"/>
              <w:rPr>
                <w:sz w:val="24"/>
                <w:szCs w:val="24"/>
                <w:color w:val="auto"/>
              </w:rPr>
            </w:pPr>
          </w:p>
        </w:tc>
        <w:tc>
          <w:tcPr>
            <w:tcW w:w="7360" w:type="dxa"/>
            <w:vAlign w:val="bottom"/>
            <w:tcBorders>
              <w:bottom w:val="single" w:sz="8" w:color="0000EE"/>
            </w:tcBorders>
            <w:gridSpan w:val="17"/>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Axcelis Technologies, Inc. 2012 Equity Incentive Plan, as approved by stockholders on May 14, 2019.</w:t>
              </w:r>
            </w:hyperlink>
          </w:p>
        </w:tc>
        <w:tc>
          <w:tcPr>
            <w:tcW w:w="8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w w:val="97"/>
              </w:rPr>
            </w:pPr>
            <w:hyperlink r:id="rId81">
              <w:r>
                <w:rPr>
                  <w:rFonts w:ascii="Arial" w:cs="Arial" w:eastAsia="Arial" w:hAnsi="Arial"/>
                  <w:sz w:val="18"/>
                  <w:szCs w:val="18"/>
                  <w:color w:val="0000EE"/>
                  <w:w w:val="97"/>
                </w:rPr>
                <w:t>Incorporated by reference to Exhibit 10.1 of the Company’s Form S-8 registration statement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Commission on May 21, 2019.</w:t>
              </w:r>
            </w:hyperlink>
          </w:p>
        </w:tc>
        <w:tc>
          <w:tcPr>
            <w:tcW w:w="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10.2*</w:t>
            </w:r>
          </w:p>
        </w:tc>
        <w:tc>
          <w:tcPr>
            <w:tcW w:w="220" w:type="dxa"/>
            <w:vAlign w:val="bottom"/>
          </w:tcPr>
          <w:p>
            <w:pPr>
              <w:spacing w:after="0"/>
              <w:rPr>
                <w:sz w:val="24"/>
                <w:szCs w:val="24"/>
                <w:color w:val="auto"/>
              </w:rPr>
            </w:pPr>
          </w:p>
        </w:tc>
        <w:tc>
          <w:tcPr>
            <w:tcW w:w="8180" w:type="dxa"/>
            <w:vAlign w:val="bottom"/>
            <w:gridSpan w:val="34"/>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Axcelis Management Incentive Plan, as amended and restated by the Compensation Committee of the Board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Directors on February 11, 2010. Incorporated by reference to Exhibit 10.2 of the Company’s report on Form 10-K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for the year ended December 31, 2009 filed with the Commission on March 15, 2010.</w:t>
              </w:r>
            </w:hyperlink>
          </w:p>
        </w:tc>
        <w:tc>
          <w:tcPr>
            <w:tcW w:w="20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10.3*</w:t>
            </w:r>
          </w:p>
        </w:tc>
        <w:tc>
          <w:tcPr>
            <w:tcW w:w="220" w:type="dxa"/>
            <w:vAlign w:val="bottom"/>
          </w:tcPr>
          <w:p>
            <w:pPr>
              <w:spacing w:after="0"/>
              <w:rPr>
                <w:sz w:val="24"/>
                <w:szCs w:val="24"/>
                <w:color w:val="auto"/>
              </w:rPr>
            </w:pPr>
          </w:p>
        </w:tc>
        <w:tc>
          <w:tcPr>
            <w:tcW w:w="8160" w:type="dxa"/>
            <w:vAlign w:val="bottom"/>
            <w:tcBorders>
              <w:bottom w:val="single" w:sz="8" w:color="0000EE"/>
            </w:tcBorders>
            <w:gridSpan w:val="33"/>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Indemnification Agreement approved by the Board of Directors of the Company on February 9, 2012 for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use with each of its directors and officers. Incorporated by reference to Exhibit 10.4 of the Company’s report on</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Form 10-K for the year ended December 31, 2011 filed with the Commission on February 29, 2012.</w:t>
              </w:r>
            </w:hyperlink>
          </w:p>
        </w:tc>
        <w:tc>
          <w:tcPr>
            <w:tcW w:w="10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10.4*</w:t>
            </w:r>
          </w:p>
        </w:tc>
        <w:tc>
          <w:tcPr>
            <w:tcW w:w="220" w:type="dxa"/>
            <w:vAlign w:val="bottom"/>
          </w:tcPr>
          <w:p>
            <w:pPr>
              <w:spacing w:after="0"/>
              <w:rPr>
                <w:sz w:val="24"/>
                <w:szCs w:val="24"/>
                <w:color w:val="auto"/>
              </w:rPr>
            </w:pPr>
          </w:p>
        </w:tc>
        <w:tc>
          <w:tcPr>
            <w:tcW w:w="8040" w:type="dxa"/>
            <w:vAlign w:val="bottom"/>
            <w:tcBorders>
              <w:bottom w:val="single" w:sz="8" w:color="0000EE"/>
            </w:tcBorders>
            <w:gridSpan w:val="30"/>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Form of Change in Control Agreement, as amended, as approved by the Compensation Committee of the Board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of Directors on November 11, 2016, between the Company and each of its executive officers.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reference to Exhibit 10.6 of the Company’s Form 10-K for the year ended December 31, 2016 filed with the</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Commission on March 14, 2017.</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10.5*</w:t>
            </w:r>
          </w:p>
        </w:tc>
        <w:tc>
          <w:tcPr>
            <w:tcW w:w="220" w:type="dxa"/>
            <w:vAlign w:val="bottom"/>
          </w:tcPr>
          <w:p>
            <w:pPr>
              <w:spacing w:after="0"/>
              <w:rPr>
                <w:sz w:val="24"/>
                <w:szCs w:val="24"/>
                <w:color w:val="auto"/>
              </w:rPr>
            </w:pPr>
          </w:p>
        </w:tc>
        <w:tc>
          <w:tcPr>
            <w:tcW w:w="7640" w:type="dxa"/>
            <w:vAlign w:val="bottom"/>
            <w:tcBorders>
              <w:bottom w:val="single" w:sz="8" w:color="0000EE"/>
            </w:tcBorders>
            <w:gridSpan w:val="21"/>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Employee Non-Qualified Stock Option Certificate under the 2012 Equity Incentive Plan, adopted</w:t>
              </w:r>
            </w:hyperlink>
          </w:p>
        </w:tc>
        <w:tc>
          <w:tcPr>
            <w:tcW w:w="5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June 18, 2012. Incorporated by reference to Exhibit 10.2 of the Company’s report on Form 10-Q for the quarter</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ended June 30, 2012 filed with the Commission on August 7, 2012.</w:t>
              </w:r>
            </w:hyperlink>
          </w:p>
        </w:tc>
        <w:tc>
          <w:tcPr>
            <w:tcW w:w="33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10.6*</w:t>
            </w:r>
          </w:p>
        </w:tc>
        <w:tc>
          <w:tcPr>
            <w:tcW w:w="220" w:type="dxa"/>
            <w:vAlign w:val="bottom"/>
          </w:tcPr>
          <w:p>
            <w:pPr>
              <w:spacing w:after="0"/>
              <w:rPr>
                <w:sz w:val="24"/>
                <w:szCs w:val="24"/>
                <w:color w:val="auto"/>
              </w:rPr>
            </w:pPr>
          </w:p>
        </w:tc>
        <w:tc>
          <w:tcPr>
            <w:tcW w:w="8020" w:type="dxa"/>
            <w:vAlign w:val="bottom"/>
            <w:tcBorders>
              <w:bottom w:val="single" w:sz="8" w:color="0000EE"/>
            </w:tcBorders>
            <w:gridSpan w:val="29"/>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Form of Non-Employee Director Non-Qualified Stock Option Certificate under the 2012 Equity Incentive Plan,</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adopted June 18, 2012. Incorporated by reference to Exhibit 10.3 of the Company’s report on Form 10-Q for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quarter ended June 30, 2012 filed with the Commission on August 7, 2012.</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10.7*</w:t>
            </w:r>
          </w:p>
        </w:tc>
        <w:tc>
          <w:tcPr>
            <w:tcW w:w="220" w:type="dxa"/>
            <w:vAlign w:val="bottom"/>
          </w:tcPr>
          <w:p>
            <w:pPr>
              <w:spacing w:after="0"/>
              <w:rPr>
                <w:sz w:val="24"/>
                <w:szCs w:val="24"/>
                <w:color w:val="auto"/>
              </w:rPr>
            </w:pPr>
          </w:p>
        </w:tc>
        <w:tc>
          <w:tcPr>
            <w:tcW w:w="8000" w:type="dxa"/>
            <w:vAlign w:val="bottom"/>
            <w:tcBorders>
              <w:bottom w:val="single" w:sz="8" w:color="0000EE"/>
            </w:tcBorders>
            <w:gridSpan w:val="28"/>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Form of Restricted Stock Unit Award Agreement under the 2012 Equity Incentive Plan, adopted June 18, 2012.</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Incorporated by reference to Exhibit 10.4 of the Company’s report on Form 10-Q for the quarter ended June 30,</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2012 filed with the Commission on August 7, 2012.</w:t>
              </w:r>
            </w:hyperlink>
          </w:p>
        </w:tc>
        <w:tc>
          <w:tcPr>
            <w:tcW w:w="44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10.8*</w:t>
            </w:r>
          </w:p>
        </w:tc>
        <w:tc>
          <w:tcPr>
            <w:tcW w:w="220" w:type="dxa"/>
            <w:vAlign w:val="bottom"/>
          </w:tcPr>
          <w:p>
            <w:pPr>
              <w:spacing w:after="0"/>
              <w:rPr>
                <w:sz w:val="24"/>
                <w:szCs w:val="24"/>
                <w:color w:val="auto"/>
              </w:rPr>
            </w:pPr>
          </w:p>
        </w:tc>
        <w:tc>
          <w:tcPr>
            <w:tcW w:w="60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Named Executive Officer Base Compensation at February 25, 2022. Filed herewith.</w:t>
              </w:r>
            </w:hyperlink>
          </w:p>
        </w:tc>
        <w:tc>
          <w:tcPr>
            <w:tcW w:w="21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5"/>
              </w:rPr>
              <w:t>10.9*</w:t>
            </w:r>
          </w:p>
        </w:tc>
        <w:tc>
          <w:tcPr>
            <w:tcW w:w="220" w:type="dxa"/>
            <w:vAlign w:val="bottom"/>
          </w:tcPr>
          <w:p>
            <w:pPr>
              <w:spacing w:after="0"/>
              <w:rPr>
                <w:sz w:val="24"/>
                <w:szCs w:val="24"/>
                <w:color w:val="auto"/>
              </w:rPr>
            </w:pPr>
          </w:p>
        </w:tc>
        <w:tc>
          <w:tcPr>
            <w:tcW w:w="8180" w:type="dxa"/>
            <w:vAlign w:val="bottom"/>
            <w:gridSpan w:val="3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Non-Employee Director Cash Compensation at February 25, 2022. Filed herewith.</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10.10*</w:t>
            </w:r>
          </w:p>
        </w:tc>
        <w:tc>
          <w:tcPr>
            <w:tcW w:w="220" w:type="dxa"/>
            <w:vAlign w:val="bottom"/>
          </w:tcPr>
          <w:p>
            <w:pPr>
              <w:spacing w:after="0"/>
              <w:rPr>
                <w:sz w:val="24"/>
                <w:szCs w:val="24"/>
                <w:color w:val="auto"/>
              </w:rPr>
            </w:pPr>
          </w:p>
        </w:tc>
        <w:tc>
          <w:tcPr>
            <w:tcW w:w="8180" w:type="dxa"/>
            <w:vAlign w:val="bottom"/>
            <w:gridSpan w:val="34"/>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Amended and Restated Employment Agreement between the Company and Mary G. Puma dated November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2007. Incorporated by reference to Exhibit 10.3 of the Company’s report on Form 10-Q for the quarter ended</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September 30, 2007 filed with the Commission on November 8, 2007.</w:t>
              </w:r>
            </w:hyperlink>
          </w:p>
        </w:tc>
        <w:tc>
          <w:tcPr>
            <w:tcW w:w="2780" w:type="dxa"/>
            <w:vAlign w:val="bottom"/>
            <w:tcBorders>
              <w:top w:val="single" w:sz="8" w:color="0000EE"/>
            </w:tcBorders>
            <w:gridSpan w:val="1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2"/>
              </w:rPr>
              <w:t>10.11*</w:t>
            </w:r>
          </w:p>
        </w:tc>
        <w:tc>
          <w:tcPr>
            <w:tcW w:w="220" w:type="dxa"/>
            <w:vAlign w:val="bottom"/>
          </w:tcPr>
          <w:p>
            <w:pPr>
              <w:spacing w:after="0"/>
              <w:rPr>
                <w:sz w:val="24"/>
                <w:szCs w:val="24"/>
                <w:color w:val="auto"/>
              </w:rPr>
            </w:pPr>
          </w:p>
        </w:tc>
        <w:tc>
          <w:tcPr>
            <w:tcW w:w="7620" w:type="dxa"/>
            <w:vAlign w:val="bottom"/>
            <w:tcBorders>
              <w:bottom w:val="single" w:sz="8" w:color="0000EE"/>
            </w:tcBorders>
            <w:gridSpan w:val="20"/>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Form of Amended and Restated Executive Separation Pay Agreement between the Company and Kevin J.</w:t>
              </w:r>
            </w:hyperlink>
          </w:p>
        </w:tc>
        <w:tc>
          <w:tcPr>
            <w:tcW w:w="5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Brewer, William Bintz, John E. Aldeborgh, Russell Low, Lynnette C. Fallon and Douglas Lawson dated May 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100" w:type="dxa"/>
            <w:vAlign w:val="bottom"/>
            <w:gridSpan w:val="12"/>
            <w:shd w:val="clear" w:color="auto" w:fill="0000EE"/>
          </w:tcPr>
          <w:p>
            <w:pPr>
              <w:spacing w:after="0" w:line="20" w:lineRule="exact"/>
              <w:rPr>
                <w:sz w:val="1"/>
                <w:szCs w:val="1"/>
                <w:color w:val="auto"/>
              </w:rPr>
            </w:pPr>
          </w:p>
        </w:tc>
        <w:tc>
          <w:tcPr>
            <w:tcW w:w="580" w:type="dxa"/>
            <w:vAlign w:val="bottom"/>
            <w:gridSpan w:val="11"/>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2019. Incorporated by reference to Exhibit 10.2 of the Company’s Form 10-Q for the quarter ended June 30, 2019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filed with the Commission on August 7, 2019.</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12"/>
          </w:tcPr>
          <w:p>
            <w:pPr>
              <w:spacing w:after="0" w:line="20" w:lineRule="exact"/>
              <w:rPr>
                <w:sz w:val="1"/>
                <w:szCs w:val="1"/>
                <w:color w:val="auto"/>
              </w:rPr>
            </w:pPr>
          </w:p>
        </w:tc>
        <w:tc>
          <w:tcPr>
            <w:tcW w:w="58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220" w:type="dxa"/>
            <w:vAlign w:val="bottom"/>
          </w:tcPr>
          <w:p>
            <w:pPr>
              <w:spacing w:after="0"/>
              <w:rPr>
                <w:sz w:val="24"/>
                <w:szCs w:val="24"/>
                <w:color w:val="auto"/>
              </w:rPr>
            </w:pPr>
          </w:p>
        </w:tc>
        <w:tc>
          <w:tcPr>
            <w:tcW w:w="7440" w:type="dxa"/>
            <w:vAlign w:val="bottom"/>
            <w:tcBorders>
              <w:bottom w:val="single" w:sz="8" w:color="0000EE"/>
            </w:tcBorders>
            <w:gridSpan w:val="18"/>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Lease Agreement between the Company and Beverly Property Owner LLC, effective January 30, 2015.</w:t>
              </w:r>
            </w:hyperlink>
          </w:p>
        </w:tc>
        <w:tc>
          <w:tcPr>
            <w:tcW w:w="7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4"/>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Incorporated by reference to Exhibit 10.24 of the Company’s Form 10-K for the year ended December 31, 2014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filed with the Commission on March 11, 2015.</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tcBorders>
              <w:top w:val="single" w:sz="8" w:color="0000EE"/>
            </w:tcBorders>
            <w:gridSpan w:val="6"/>
          </w:tcPr>
          <w:p>
            <w:pPr>
              <w:spacing w:after="0"/>
              <w:rPr>
                <w:sz w:val="24"/>
                <w:szCs w:val="24"/>
                <w:color w:val="auto"/>
              </w:rPr>
            </w:pPr>
          </w:p>
        </w:tc>
        <w:tc>
          <w:tcPr>
            <w:tcW w:w="1500" w:type="dxa"/>
            <w:vAlign w:val="bottom"/>
            <w:gridSpan w:val="2"/>
          </w:tcPr>
          <w:p>
            <w:pPr>
              <w:jc w:val="right"/>
              <w:ind w:right="1048"/>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35" w:right="1399" w:bottom="1440" w:gutter="0" w:footer="0" w:header="0"/>
        </w:sectPr>
      </w:pPr>
    </w:p>
    <w:bookmarkStart w:id="66" w:name="page67"/>
    <w:bookmarkEnd w:id="6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960" w:type="dxa"/>
            <w:vAlign w:val="bottom"/>
            <w:gridSpan w:val="16"/>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00" w:type="dxa"/>
            <w:vAlign w:val="bottom"/>
          </w:tcPr>
          <w:p>
            <w:pPr>
              <w:spacing w:after="0"/>
              <w:rPr>
                <w:sz w:val="24"/>
                <w:szCs w:val="24"/>
                <w:color w:val="auto"/>
              </w:rPr>
            </w:pPr>
          </w:p>
        </w:tc>
        <w:tc>
          <w:tcPr>
            <w:tcW w:w="7560" w:type="dxa"/>
            <w:vAlign w:val="bottom"/>
            <w:tcBorders>
              <w:bottom w:val="single" w:sz="8" w:color="0000EE"/>
            </w:tcBorders>
            <w:gridSpan w:val="9"/>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Senior Secured Credit Facilities Credit Agreement dated as of July 31, 2020, among the Company, as the</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Borrower, the several lenders from time to time party thereto, and Silicon Valley Bank, as Administrative Agent,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Issuing Lender and Swingline Lender, and as Lead Arranger. Incorporated by reference to Exhibit 10.1 of the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19"/>
          </w:tcPr>
          <w:p>
            <w:pPr>
              <w:spacing w:after="0" w:line="196"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Company’s Form 10-Q for the quarter ended September 30, 2020 filed with the Commission on November 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580" w:type="dxa"/>
            <w:vAlign w:val="bottom"/>
            <w:gridSpan w:val="3"/>
          </w:tcPr>
          <w:p>
            <w:pPr>
              <w:ind w:left="200"/>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2020</w:t>
              </w:r>
              <w:r>
                <w:rPr>
                  <w:rFonts w:ascii="Arial" w:cs="Arial" w:eastAsia="Arial" w:hAnsi="Arial"/>
                  <w:sz w:val="18"/>
                  <w:szCs w:val="18"/>
                  <w:color w:val="000000"/>
                </w:rPr>
                <w:t>.</w:t>
              </w:r>
            </w:hyperlink>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00" w:type="dxa"/>
            <w:vAlign w:val="bottom"/>
          </w:tcPr>
          <w:p>
            <w:pPr>
              <w:spacing w:after="0"/>
              <w:rPr>
                <w:sz w:val="24"/>
                <w:szCs w:val="24"/>
                <w:color w:val="auto"/>
              </w:rPr>
            </w:pPr>
          </w:p>
        </w:tc>
        <w:tc>
          <w:tcPr>
            <w:tcW w:w="8200" w:type="dxa"/>
            <w:vAlign w:val="bottom"/>
            <w:gridSpan w:val="19"/>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Guarantee and Collateral Agreement dated as of July 31, 2020 made by the Company and the other grantors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19"/>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referred to therein in favor of Silicon Valley Bank, as Administrative Agent. Incorporated by reference to Exhibit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8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r:id="rId92">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2</w:t>
              </w:r>
              <w:r>
                <w:rPr>
                  <w:rFonts w:ascii="Arial" w:cs="Arial" w:eastAsia="Arial" w:hAnsi="Arial"/>
                  <w:sz w:val="18"/>
                  <w:szCs w:val="18"/>
                  <w:color w:val="0000EE"/>
                  <w:w w:val="96"/>
                </w:rPr>
                <w:t xml:space="preserve"> of the Company’s Form 10-Q for the quarter ended September 30, 2020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November 6, 2020.</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200" w:type="dxa"/>
            <w:vAlign w:val="bottom"/>
          </w:tcPr>
          <w:p>
            <w:pPr>
              <w:spacing w:after="0"/>
              <w:rPr>
                <w:sz w:val="24"/>
                <w:szCs w:val="24"/>
                <w:color w:val="auto"/>
              </w:rPr>
            </w:pPr>
          </w:p>
        </w:tc>
        <w:tc>
          <w:tcPr>
            <w:tcW w:w="8100" w:type="dxa"/>
            <w:vAlign w:val="bottom"/>
            <w:tcBorders>
              <w:bottom w:val="single" w:sz="8" w:color="0000EE"/>
            </w:tcBorders>
            <w:gridSpan w:val="15"/>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Ethical Business Conduct at Axcelis, revised through January 2003. Incorporated by reference to Exhibit 14.1 of</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1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the Company’s report on Form 10-K filed with the Commission on March 28, 2003.</w:t>
              </w:r>
            </w:hyperlink>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00" w:type="dxa"/>
            <w:vAlign w:val="bottom"/>
          </w:tcPr>
          <w:p>
            <w:pPr>
              <w:spacing w:after="0"/>
              <w:rPr>
                <w:sz w:val="24"/>
                <w:szCs w:val="24"/>
                <w:color w:val="auto"/>
              </w:rPr>
            </w:pPr>
          </w:p>
        </w:tc>
        <w:tc>
          <w:tcPr>
            <w:tcW w:w="6040" w:type="dxa"/>
            <w:vAlign w:val="bottom"/>
            <w:tcBorders>
              <w:top w:val="single" w:sz="8" w:color="0000EE"/>
            </w:tcBorders>
            <w:gridSpan w:val="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Subsidiaries of the Company. Filed herewith.</w:t>
              </w:r>
            </w:hyperlink>
          </w:p>
        </w:tc>
        <w:tc>
          <w:tcPr>
            <w:tcW w:w="21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00" w:type="dxa"/>
            <w:vAlign w:val="bottom"/>
          </w:tcPr>
          <w:p>
            <w:pPr>
              <w:spacing w:after="0"/>
              <w:rPr>
                <w:sz w:val="24"/>
                <w:szCs w:val="24"/>
                <w:color w:val="auto"/>
              </w:rPr>
            </w:pPr>
          </w:p>
        </w:tc>
        <w:tc>
          <w:tcPr>
            <w:tcW w:w="820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Consent of Ernst &amp; Young LLP, Independent Registered Public Accounting Firm. Filed herewith.</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24"/>
                <w:szCs w:val="24"/>
                <w:color w:val="auto"/>
              </w:rPr>
            </w:pPr>
          </w:p>
        </w:tc>
        <w:tc>
          <w:tcPr>
            <w:tcW w:w="79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the Principal Executive Officer under Exchange Act Rule 13a-14(a)/15d-14(a) (Section 302 of</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the Sarbanes-Oxley Act), dated February 25, 2022. Filed herewith.</w:t>
              </w:r>
            </w:hyperlink>
          </w:p>
        </w:tc>
        <w:tc>
          <w:tcPr>
            <w:tcW w:w="3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24"/>
                <w:szCs w:val="24"/>
                <w:color w:val="auto"/>
              </w:rPr>
            </w:pPr>
          </w:p>
        </w:tc>
        <w:tc>
          <w:tcPr>
            <w:tcW w:w="81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the Principal Financial Officer under Exchange Act Rule 13a-14(a)/15d-14(a) (Section 302 of the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Sarbanes-Oxley Act), dated February 25, 2022. Filed herewith.</w:t>
              </w:r>
            </w:hyperlink>
          </w:p>
        </w:tc>
        <w:tc>
          <w:tcPr>
            <w:tcW w:w="3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00" w:type="dxa"/>
            <w:vAlign w:val="bottom"/>
          </w:tcPr>
          <w:p>
            <w:pPr>
              <w:spacing w:after="0"/>
              <w:rPr>
                <w:sz w:val="24"/>
                <w:szCs w:val="24"/>
                <w:color w:val="auto"/>
              </w:rPr>
            </w:pPr>
          </w:p>
        </w:tc>
        <w:tc>
          <w:tcPr>
            <w:tcW w:w="80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the Principal Executive Officer pursuant to Section 1350 of Chapter 63 of title 18 of the United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States Code (Section 906 of the Sarbanes-Oxley Act), dated February 25, 2022. Filed herewith.</w:t>
              </w:r>
            </w:hyperlink>
          </w:p>
        </w:tc>
        <w:tc>
          <w:tcPr>
            <w:tcW w:w="1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00" w:type="dxa"/>
            <w:vAlign w:val="bottom"/>
          </w:tcPr>
          <w:p>
            <w:pPr>
              <w:spacing w:after="0"/>
              <w:rPr>
                <w:sz w:val="24"/>
                <w:szCs w:val="24"/>
                <w:color w:val="auto"/>
              </w:rPr>
            </w:pPr>
          </w:p>
        </w:tc>
        <w:tc>
          <w:tcPr>
            <w:tcW w:w="8200" w:type="dxa"/>
            <w:vAlign w:val="bottom"/>
            <w:gridSpan w:val="19"/>
          </w:tcPr>
          <w:p>
            <w:pPr>
              <w:spacing w:after="0"/>
              <w:rPr>
                <w:rFonts w:ascii="Arial" w:cs="Arial" w:eastAsia="Arial" w:hAnsi="Arial"/>
                <w:sz w:val="18"/>
                <w:szCs w:val="18"/>
                <w:color w:val="0000EE"/>
                <w:w w:val="95"/>
              </w:rPr>
            </w:pPr>
            <w:hyperlink w:anchor="page76">
              <w:r>
                <w:rPr>
                  <w:rFonts w:ascii="Arial" w:cs="Arial" w:eastAsia="Arial" w:hAnsi="Arial"/>
                  <w:sz w:val="18"/>
                  <w:szCs w:val="18"/>
                  <w:color w:val="0000EE"/>
                  <w:w w:val="95"/>
                </w:rPr>
                <w:t>Certification of the Principal Financial Officer pursuant to Section 1350 of Chapter 63 of title 18 of the United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States Code (Section 906 of the Sarbanes-Oxley Act), dated February 25, 2022. Filed herewith.</w:t>
              </w:r>
            </w:hyperlink>
          </w:p>
        </w:tc>
        <w:tc>
          <w:tcPr>
            <w:tcW w:w="1080" w:type="dxa"/>
            <w:vAlign w:val="bottom"/>
            <w:tcBorders>
              <w:top w:val="single" w:sz="8" w:color="0000EE"/>
            </w:tcBorders>
            <w:gridSpan w:val="6"/>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20" w:right="160" w:hanging="696"/>
        <w:spacing w:after="0" w:line="287" w:lineRule="auto"/>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following materials from the Company’s Form 10-K for the year ended December 31, 2021, formatted in eXtensible Business Reporting Language (XBRL): (i) Consolidated Statements of Operations, (ii) Consolidated Statement of Comprehensive Income (iii) Consolidated Balance Sheets, (iv) Consolidated Statements of Equity,</w:t>
      </w:r>
    </w:p>
    <w:p>
      <w:pPr>
        <w:spacing w:after="0" w:line="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(v) Consolidated Statements of Cash Flows, and (vi) Notes to Consolidated Financial Statements.</w:t>
      </w:r>
    </w:p>
    <w:p>
      <w:pPr>
        <w:spacing w:after="0" w:line="197" w:lineRule="exact"/>
        <w:rPr>
          <w:sz w:val="20"/>
          <w:szCs w:val="20"/>
          <w:color w:val="auto"/>
        </w:rPr>
      </w:pPr>
    </w:p>
    <w:p>
      <w:pPr>
        <w:ind w:right="2040" w:firstLine="224"/>
        <w:spacing w:after="0" w:line="527" w:lineRule="auto"/>
        <w:tabs>
          <w:tab w:leader="none" w:pos="907"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-361950</wp:posOffset>
            </wp:positionV>
            <wp:extent cx="1448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8" w:right="1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AXCELIS TECHNOLOGIES,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w:t>
      </w:r>
      <w:r>
        <w:rPr>
          <w:rFonts w:ascii="Arial" w:cs="Arial" w:eastAsia="Arial" w:hAnsi="Arial"/>
          <w:sz w:val="12"/>
          <w:szCs w:val="12"/>
          <w:color w:val="auto"/>
        </w:rPr>
        <w:t>ARY</w:t>
      </w:r>
      <w:r>
        <w:rPr>
          <w:rFonts w:ascii="Arial" w:cs="Arial" w:eastAsia="Arial" w:hAnsi="Arial"/>
          <w:sz w:val="18"/>
          <w:szCs w:val="18"/>
          <w:color w:val="auto"/>
        </w:rPr>
        <w:t xml:space="preserve"> G. P</w:t>
      </w:r>
      <w:r>
        <w:rPr>
          <w:rFonts w:ascii="Arial" w:cs="Arial" w:eastAsia="Arial" w:hAnsi="Arial"/>
          <w:sz w:val="12"/>
          <w:szCs w:val="12"/>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14605</wp:posOffset>
            </wp:positionV>
            <wp:extent cx="26917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Mary G. Puma,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2022</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9120"/>
          </w:cols>
          <w:pgMar w:left="1380" w:top="121" w:right="1399" w:bottom="1440" w:gutter="0" w:footer="0" w:header="0"/>
        </w:sectPr>
      </w:pPr>
    </w:p>
    <w:p>
      <w:pPr>
        <w:spacing w:after="0" w:line="16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23742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ARY</w:t>
      </w:r>
      <w:r>
        <w:rPr>
          <w:rFonts w:ascii="Arial" w:cs="Arial" w:eastAsia="Arial" w:hAnsi="Arial"/>
          <w:sz w:val="18"/>
          <w:szCs w:val="18"/>
          <w:color w:val="auto"/>
        </w:rPr>
        <w:t xml:space="preserve"> G. P</w:t>
      </w:r>
      <w:r>
        <w:rPr>
          <w:rFonts w:ascii="Arial" w:cs="Arial" w:eastAsia="Arial" w:hAnsi="Arial"/>
          <w:sz w:val="12"/>
          <w:szCs w:val="12"/>
          <w:color w:val="auto"/>
        </w:rPr>
        <w:t>UMA</w:t>
      </w:r>
    </w:p>
    <w:p>
      <w:pPr>
        <w:spacing w:after="0" w:line="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EVIN</w:t>
      </w:r>
      <w:r>
        <w:rPr>
          <w:rFonts w:ascii="Arial" w:cs="Arial" w:eastAsia="Arial" w:hAnsi="Arial"/>
          <w:sz w:val="18"/>
          <w:szCs w:val="18"/>
          <w:color w:val="auto"/>
        </w:rPr>
        <w:t xml:space="preserve"> J. B</w:t>
      </w:r>
      <w:r>
        <w:rPr>
          <w:rFonts w:ascii="Arial" w:cs="Arial" w:eastAsia="Arial" w:hAnsi="Arial"/>
          <w:sz w:val="12"/>
          <w:szCs w:val="12"/>
          <w:color w:val="auto"/>
        </w:rPr>
        <w:t>REWER</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ZU</w:t>
      </w:r>
      <w:r>
        <w:rPr>
          <w:rFonts w:ascii="Arial" w:cs="Arial" w:eastAsia="Arial" w:hAnsi="Arial"/>
          <w:sz w:val="18"/>
          <w:szCs w:val="18"/>
          <w:color w:val="auto"/>
        </w:rPr>
        <w:t>-Y</w:t>
      </w:r>
      <w:r>
        <w:rPr>
          <w:rFonts w:ascii="Arial" w:cs="Arial" w:eastAsia="Arial" w:hAnsi="Arial"/>
          <w:sz w:val="12"/>
          <w:szCs w:val="12"/>
          <w:color w:val="auto"/>
        </w:rPr>
        <w:t>IN</w:t>
      </w:r>
      <w:r>
        <w:rPr>
          <w:rFonts w:ascii="Arial" w:cs="Arial" w:eastAsia="Arial" w:hAnsi="Arial"/>
          <w:sz w:val="18"/>
          <w:szCs w:val="18"/>
          <w:color w:val="auto"/>
        </w:rPr>
        <w:t xml:space="preserve"> C</w:t>
      </w:r>
      <w:r>
        <w:rPr>
          <w:rFonts w:ascii="Arial" w:cs="Arial" w:eastAsia="Arial" w:hAnsi="Arial"/>
          <w:sz w:val="12"/>
          <w:szCs w:val="12"/>
          <w:color w:val="auto"/>
        </w:rPr>
        <w:t>HIU</w:t>
      </w:r>
    </w:p>
    <w:p>
      <w:pPr>
        <w:spacing w:after="0" w:line="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Tzu-Yin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ICHARD</w:t>
      </w:r>
      <w:r>
        <w:rPr>
          <w:rFonts w:ascii="Arial" w:cs="Arial" w:eastAsia="Arial" w:hAnsi="Arial"/>
          <w:sz w:val="18"/>
          <w:szCs w:val="18"/>
          <w:color w:val="auto"/>
        </w:rPr>
        <w:t xml:space="preserve"> J. F</w:t>
      </w:r>
      <w:r>
        <w:rPr>
          <w:rFonts w:ascii="Arial" w:cs="Arial" w:eastAsia="Arial" w:hAnsi="Arial"/>
          <w:sz w:val="12"/>
          <w:szCs w:val="12"/>
          <w:color w:val="auto"/>
        </w:rPr>
        <w:t>AUBERT</w:t>
      </w:r>
    </w:p>
    <w:p>
      <w:pPr>
        <w:spacing w:after="0" w:line="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Richard J. Faubert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/s/ A</w:t>
      </w:r>
      <w:r>
        <w:rPr>
          <w:rFonts w:ascii="Arial" w:cs="Arial" w:eastAsia="Arial" w:hAnsi="Arial"/>
          <w:sz w:val="11"/>
          <w:szCs w:val="11"/>
          <w:color w:val="auto"/>
        </w:rPr>
        <w:t>RTHUR</w:t>
      </w:r>
      <w:r>
        <w:rPr>
          <w:rFonts w:ascii="Arial" w:cs="Arial" w:eastAsia="Arial" w:hAnsi="Arial"/>
          <w:sz w:val="17"/>
          <w:szCs w:val="17"/>
          <w:color w:val="auto"/>
        </w:rPr>
        <w:t xml:space="preserve"> L. G</w:t>
      </w:r>
      <w:r>
        <w:rPr>
          <w:rFonts w:ascii="Arial" w:cs="Arial" w:eastAsia="Arial" w:hAnsi="Arial"/>
          <w:sz w:val="11"/>
          <w:szCs w:val="11"/>
          <w:color w:val="auto"/>
        </w:rPr>
        <w:t>EORGE</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Arthur L. George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3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P. K</w:t>
      </w:r>
      <w:r>
        <w:rPr>
          <w:rFonts w:ascii="Arial" w:cs="Arial" w:eastAsia="Arial" w:hAnsi="Arial"/>
          <w:sz w:val="12"/>
          <w:szCs w:val="12"/>
          <w:color w:val="auto"/>
        </w:rPr>
        <w:t>EITHLEY</w:t>
      </w:r>
    </w:p>
    <w:p>
      <w:pPr>
        <w:spacing w:after="0" w:line="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Joseph P. Keithley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T. K</w:t>
      </w:r>
      <w:r>
        <w:rPr>
          <w:rFonts w:ascii="Arial" w:cs="Arial" w:eastAsia="Arial" w:hAnsi="Arial"/>
          <w:sz w:val="12"/>
          <w:szCs w:val="12"/>
          <w:color w:val="auto"/>
        </w:rPr>
        <w:t>URTZWEIL</w:t>
      </w:r>
    </w:p>
    <w:p>
      <w:pPr>
        <w:spacing w:after="0" w:line="3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John T. Kurtzweil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S</w:t>
      </w:r>
      <w:r>
        <w:rPr>
          <w:rFonts w:ascii="Arial" w:cs="Arial" w:eastAsia="Arial" w:hAnsi="Arial"/>
          <w:sz w:val="12"/>
          <w:szCs w:val="12"/>
          <w:color w:val="auto"/>
        </w:rPr>
        <w:t>T</w:t>
      </w:r>
      <w:r>
        <w:rPr>
          <w:rFonts w:ascii="Arial" w:cs="Arial" w:eastAsia="Arial" w:hAnsi="Arial"/>
          <w:sz w:val="18"/>
          <w:szCs w:val="18"/>
          <w:color w:val="auto"/>
        </w:rPr>
        <w:t>. D</w:t>
      </w:r>
      <w:r>
        <w:rPr>
          <w:rFonts w:ascii="Arial" w:cs="Arial" w:eastAsia="Arial" w:hAnsi="Arial"/>
          <w:sz w:val="12"/>
          <w:szCs w:val="12"/>
          <w:color w:val="auto"/>
        </w:rPr>
        <w:t>ENNIS</w:t>
      </w:r>
    </w:p>
    <w:p>
      <w:pPr>
        <w:spacing w:after="0" w:line="3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Thomas St.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ORGE</w:t>
      </w:r>
      <w:r>
        <w:rPr>
          <w:rFonts w:ascii="Arial" w:cs="Arial" w:eastAsia="Arial" w:hAnsi="Arial"/>
          <w:sz w:val="18"/>
          <w:szCs w:val="18"/>
          <w:color w:val="auto"/>
        </w:rPr>
        <w:t xml:space="preserve"> T</w:t>
      </w:r>
      <w:r>
        <w:rPr>
          <w:rFonts w:ascii="Arial" w:cs="Arial" w:eastAsia="Arial" w:hAnsi="Arial"/>
          <w:sz w:val="12"/>
          <w:szCs w:val="12"/>
          <w:color w:val="auto"/>
        </w:rPr>
        <w:t>ITINGER</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Jorge 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Jeanne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Dipti Vachani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23742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79"/>
        </w:trPr>
        <w:tc>
          <w:tcPr>
            <w:tcW w:w="3580" w:type="dxa"/>
            <w:vAlign w:val="bottom"/>
            <w:gridSpan w:val="2"/>
          </w:tcPr>
          <w:p>
            <w:pPr>
              <w:spacing w:after="0"/>
              <w:rPr>
                <w:sz w:val="20"/>
                <w:szCs w:val="20"/>
                <w:color w:val="auto"/>
              </w:rPr>
            </w:pPr>
            <w:r>
              <w:rPr>
                <w:rFonts w:ascii="Arial" w:cs="Arial" w:eastAsia="Arial" w:hAnsi="Arial"/>
                <w:sz w:val="18"/>
                <w:szCs w:val="18"/>
                <w:color w:val="auto"/>
              </w:rPr>
              <w:t>Director and Principal Executive Officer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88"/>
        </w:trPr>
        <w:tc>
          <w:tcPr>
            <w:tcW w:w="3580" w:type="dxa"/>
            <w:vAlign w:val="bottom"/>
            <w:gridSpan w:val="2"/>
          </w:tcPr>
          <w:p>
            <w:pPr>
              <w:spacing w:after="0"/>
              <w:rPr>
                <w:sz w:val="20"/>
                <w:szCs w:val="20"/>
                <w:color w:val="auto"/>
              </w:rPr>
            </w:pPr>
            <w:r>
              <w:rPr>
                <w:rFonts w:ascii="Arial" w:cs="Arial" w:eastAsia="Arial" w:hAnsi="Arial"/>
                <w:sz w:val="18"/>
                <w:szCs w:val="18"/>
                <w:color w:val="auto"/>
              </w:rPr>
              <w:t>Principal Accounting and Financial Officer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75"/>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89"/>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88"/>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702"/>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88"/>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88"/>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89"/>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61"/>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675"/>
        </w:trPr>
        <w:tc>
          <w:tcPr>
            <w:tcW w:w="3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bl>
    <w:p>
      <w:pPr>
        <w:spacing w:after="0" w:line="284" w:lineRule="exact"/>
        <w:rPr>
          <w:sz w:val="20"/>
          <w:szCs w:val="20"/>
          <w:color w:val="auto"/>
        </w:rPr>
      </w:pPr>
    </w:p>
    <w:p>
      <w:pPr>
        <w:sectPr>
          <w:pgSz w:w="11900" w:h="16838" w:orient="portrait"/>
          <w:cols w:equalWidth="0" w:num="2">
            <w:col w:w="3320" w:space="720"/>
            <w:col w:w="5080"/>
          </w:cols>
          <w:pgMar w:left="1380" w:top="12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type w:val="continuous"/>
        </w:sectPr>
      </w:pPr>
    </w:p>
    <w:bookmarkStart w:id="68" w:name="page69"/>
    <w:bookmarkEnd w:id="68"/>
    <w:p>
      <w:pPr>
        <w:jc w:val="right"/>
        <w:ind w:right="219"/>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Named Executive Officer Base Compensation at February 25, 2022</w:t>
      </w:r>
    </w:p>
    <w:p>
      <w:pPr>
        <w:spacing w:after="0" w:line="182" w:lineRule="exact"/>
        <w:rPr>
          <w:sz w:val="20"/>
          <w:szCs w:val="20"/>
          <w:color w:val="auto"/>
        </w:rPr>
      </w:pPr>
    </w:p>
    <w:p>
      <w:pPr>
        <w:ind w:left="200" w:right="859" w:firstLine="648"/>
        <w:spacing w:after="0" w:line="261" w:lineRule="auto"/>
        <w:rPr>
          <w:sz w:val="20"/>
          <w:szCs w:val="20"/>
          <w:color w:val="auto"/>
        </w:rPr>
      </w:pPr>
      <w:r>
        <w:rPr>
          <w:rFonts w:ascii="Arial" w:cs="Arial" w:eastAsia="Arial" w:hAnsi="Arial"/>
          <w:sz w:val="18"/>
          <w:szCs w:val="18"/>
          <w:color w:val="auto"/>
        </w:rPr>
        <w:t>This Exhibit discloses the current understandings with respect to base compensation between Axcelis Technologies, Inc. (the “Company”) and each of:</w:t>
      </w:r>
    </w:p>
    <w:p>
      <w:pPr>
        <w:spacing w:after="0" w:line="157" w:lineRule="exact"/>
        <w:rPr>
          <w:sz w:val="20"/>
          <w:szCs w:val="20"/>
          <w:color w:val="auto"/>
        </w:rPr>
      </w:pPr>
    </w:p>
    <w:p>
      <w:pPr>
        <w:ind w:left="1140" w:hanging="2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principal executive officer (Mary G. Puma),</w:t>
      </w:r>
    </w:p>
    <w:p>
      <w:pPr>
        <w:spacing w:after="0" w:line="198" w:lineRule="exact"/>
        <w:rPr>
          <w:rFonts w:ascii="Arial" w:cs="Arial" w:eastAsia="Arial" w:hAnsi="Arial"/>
          <w:sz w:val="18"/>
          <w:szCs w:val="18"/>
          <w:color w:val="auto"/>
        </w:rPr>
      </w:pPr>
    </w:p>
    <w:p>
      <w:pPr>
        <w:ind w:left="1140" w:hanging="2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principal financial officer (Kevin J. Brewer), and</w:t>
      </w:r>
    </w:p>
    <w:p>
      <w:pPr>
        <w:spacing w:after="0" w:line="198" w:lineRule="exact"/>
        <w:rPr>
          <w:rFonts w:ascii="Arial" w:cs="Arial" w:eastAsia="Arial" w:hAnsi="Arial"/>
          <w:sz w:val="18"/>
          <w:szCs w:val="18"/>
          <w:color w:val="auto"/>
        </w:rPr>
      </w:pPr>
    </w:p>
    <w:p>
      <w:pPr>
        <w:ind w:left="1180" w:right="299" w:hanging="323"/>
        <w:spacing w:after="0" w:line="261" w:lineRule="auto"/>
        <w:tabs>
          <w:tab w:leader="none" w:pos="11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three most highly compensated other executive officers serving as executive officers at December 31, 2021.</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These executive officers are referred to herein as “named executive officers” or “NEOs.”</w:t>
      </w:r>
    </w:p>
    <w:p>
      <w:pPr>
        <w:spacing w:after="0" w:line="198" w:lineRule="exact"/>
        <w:rPr>
          <w:sz w:val="20"/>
          <w:szCs w:val="20"/>
          <w:color w:val="auto"/>
        </w:rPr>
      </w:pPr>
    </w:p>
    <w:p>
      <w:pPr>
        <w:ind w:left="200" w:right="299" w:firstLine="648"/>
        <w:spacing w:after="0"/>
        <w:rPr>
          <w:sz w:val="20"/>
          <w:szCs w:val="20"/>
          <w:color w:val="auto"/>
        </w:rPr>
      </w:pPr>
      <w:r>
        <w:rPr>
          <w:rFonts w:ascii="Arial" w:cs="Arial" w:eastAsia="Arial" w:hAnsi="Arial"/>
          <w:sz w:val="18"/>
          <w:szCs w:val="18"/>
          <w:color w:val="auto"/>
        </w:rPr>
        <w:t>Mary G. Puma and the Company have entered into a written agreement addressing a minimum level of base salary due to the executive. The Company’s Amended and Restated Employment Agreement with Ms. Puma (“Puma Employment Agreement”) is listed as an Exhibit to this Form 10-K. Each of the other NEOs and the Company have entered into an Executive Separation Pay Agreement in which a termination without cause will entitle the executive to one year of separation pay. The form of Executive Separation Pay Agreement is listed as an Exhibit to this Form 10-K.</w:t>
      </w:r>
    </w:p>
    <w:p>
      <w:pPr>
        <w:spacing w:after="0" w:line="176" w:lineRule="exact"/>
        <w:rPr>
          <w:sz w:val="20"/>
          <w:szCs w:val="20"/>
          <w:color w:val="auto"/>
        </w:rPr>
      </w:pPr>
    </w:p>
    <w:p>
      <w:pPr>
        <w:ind w:left="200" w:right="339" w:firstLine="648"/>
        <w:spacing w:after="0" w:line="243" w:lineRule="auto"/>
        <w:rPr>
          <w:sz w:val="20"/>
          <w:szCs w:val="20"/>
          <w:color w:val="auto"/>
        </w:rPr>
      </w:pPr>
      <w:r>
        <w:rPr>
          <w:rFonts w:ascii="Arial" w:cs="Arial" w:eastAsia="Arial" w:hAnsi="Arial"/>
          <w:sz w:val="18"/>
          <w:szCs w:val="18"/>
          <w:color w:val="auto"/>
        </w:rPr>
        <w:t>The Company maintains that all executive officers, other than Ms. Puma, are employees at will and that the Company has no obligation to continue their employment, other in cases where such obligation arises under either a Change of Control Agreement or an Executive Separation Pay Agreement as described in our Proxy Statement and as filed as Exhibits to this Form 10-K.</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Rate of Base Pay</w:t>
      </w:r>
    </w:p>
    <w:p>
      <w:pPr>
        <w:spacing w:after="0" w:line="202" w:lineRule="exact"/>
        <w:rPr>
          <w:sz w:val="20"/>
          <w:szCs w:val="20"/>
          <w:color w:val="auto"/>
        </w:rPr>
      </w:pPr>
    </w:p>
    <w:p>
      <w:pPr>
        <w:ind w:left="200" w:right="419" w:firstLine="648"/>
        <w:spacing w:after="0"/>
        <w:rPr>
          <w:sz w:val="20"/>
          <w:szCs w:val="20"/>
          <w:color w:val="auto"/>
        </w:rPr>
      </w:pPr>
      <w:r>
        <w:rPr>
          <w:rFonts w:ascii="Arial" w:cs="Arial" w:eastAsia="Arial" w:hAnsi="Arial"/>
          <w:sz w:val="18"/>
          <w:szCs w:val="18"/>
          <w:color w:val="auto"/>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(provided Ms. Puma’s employment agreement sets a minimum base pay amount). The following table sets forth the annual base salary as communicated to the named executive officers of the Company as in effect on February 25, 2022:</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Rate of Annual</w:t>
            </w:r>
          </w:p>
        </w:tc>
      </w:tr>
      <w:tr>
        <w:trPr>
          <w:trHeight w:val="185"/>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3460" w:type="dxa"/>
            <w:vAlign w:val="bottom"/>
          </w:tcPr>
          <w:p>
            <w:pPr>
              <w:ind w:left="16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Base Pay</w:t>
            </w:r>
          </w:p>
        </w:tc>
      </w:tr>
      <w:tr>
        <w:trPr>
          <w:trHeight w:val="196"/>
        </w:trPr>
        <w:tc>
          <w:tcPr>
            <w:tcW w:w="3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Mary G. Puma</w:t>
            </w:r>
          </w:p>
        </w:tc>
        <w:tc>
          <w:tcPr>
            <w:tcW w:w="20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President and Chief Executive Officer</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615,000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Kevin J. Brewer</w:t>
            </w: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Executive VP and Chief Financial Officer</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392,000</w:t>
            </w:r>
          </w:p>
        </w:tc>
      </w:tr>
      <w:tr>
        <w:trPr>
          <w:trHeight w:val="188"/>
        </w:trPr>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Russell J. Low</w:t>
            </w: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Executive VP, Global Customer and</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7"/>
        </w:trPr>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Engineering Operations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360,000</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Lynnette C. Fallon</w:t>
            </w:r>
          </w:p>
        </w:tc>
        <w:tc>
          <w:tcPr>
            <w:tcW w:w="3460" w:type="dxa"/>
            <w:vAlign w:val="bottom"/>
          </w:tcPr>
          <w:p>
            <w:pPr>
              <w:spacing w:after="0" w:line="202" w:lineRule="exact"/>
              <w:rPr>
                <w:sz w:val="20"/>
                <w:szCs w:val="20"/>
                <w:color w:val="auto"/>
              </w:rPr>
            </w:pPr>
            <w:r>
              <w:rPr>
                <w:rFonts w:ascii="Arial" w:cs="Arial" w:eastAsia="Arial" w:hAnsi="Arial"/>
                <w:sz w:val="18"/>
                <w:szCs w:val="18"/>
                <w:color w:val="auto"/>
                <w:w w:val="93"/>
              </w:rPr>
              <w:t>Executive VP, HR/Legal and General Counsel</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345,000</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Bintz</w:t>
            </w: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VP, Product Development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330,000</w:t>
            </w:r>
          </w:p>
        </w:tc>
      </w:tr>
      <w:tr>
        <w:trPr>
          <w:trHeight w:val="763"/>
        </w:trPr>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69" w:name="page70"/>
    <w:bookmarkEnd w:id="69"/>
    <w:p>
      <w:pPr>
        <w:jc w:val="right"/>
        <w:ind w:right="219"/>
        <w:spacing w:after="0"/>
        <w:rPr>
          <w:sz w:val="20"/>
          <w:szCs w:val="20"/>
          <w:color w:val="auto"/>
        </w:rPr>
      </w:pPr>
      <w:r>
        <w:rPr>
          <w:rFonts w:ascii="Arial" w:cs="Arial" w:eastAsia="Arial" w:hAnsi="Arial"/>
          <w:sz w:val="18"/>
          <w:szCs w:val="18"/>
          <w:b w:val="1"/>
          <w:bCs w:val="1"/>
          <w:color w:val="auto"/>
        </w:rPr>
        <w:t>Exhibit 10.9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Cash Compensation at February 25, 2022</w:t>
      </w:r>
    </w:p>
    <w:p>
      <w:pPr>
        <w:spacing w:after="0" w:line="196" w:lineRule="exact"/>
        <w:rPr>
          <w:sz w:val="20"/>
          <w:szCs w:val="20"/>
          <w:color w:val="auto"/>
        </w:rPr>
      </w:pPr>
    </w:p>
    <w:p>
      <w:pPr>
        <w:ind w:left="200" w:right="259" w:firstLine="648"/>
        <w:spacing w:after="0" w:line="248" w:lineRule="auto"/>
        <w:rPr>
          <w:sz w:val="20"/>
          <w:szCs w:val="20"/>
          <w:color w:val="auto"/>
        </w:rPr>
      </w:pPr>
      <w:r>
        <w:rPr>
          <w:rFonts w:ascii="Arial" w:cs="Arial" w:eastAsia="Arial" w:hAnsi="Arial"/>
          <w:sz w:val="18"/>
          <w:szCs w:val="18"/>
          <w:color w:val="auto"/>
        </w:rPr>
        <w:t>This Exhibit discloses the current understandings with respect to cash compensation between Axcelis Technologies, Inc. (the “Company”) and each of its non-employee directors. Axcelis provides cash retainers to its non-employee directors,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124460</wp:posOffset>
            </wp:positionV>
            <wp:extent cx="4620260" cy="1988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4620260" cy="1988820"/>
                    </a:xfrm>
                    <a:prstGeom prst="rect">
                      <a:avLst/>
                    </a:prstGeom>
                    <a:noFill/>
                  </pic:spPr>
                </pic:pic>
              </a:graphicData>
            </a:graphic>
          </wp:anchor>
        </w:drawing>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Annual Cash Retainers, paid quarterly in advance</w:t>
      </w:r>
    </w:p>
    <w:p>
      <w:pPr>
        <w:spacing w:after="0" w:line="19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040" w:type="dxa"/>
            <w:vAlign w:val="bottom"/>
            <w:tcBorders>
              <w:top w:val="single" w:sz="8" w:color="C9C9C9"/>
              <w:bottom w:val="single" w:sz="8" w:color="C9C9C9"/>
              <w:right w:val="single" w:sz="8" w:color="C9C9C9"/>
            </w:tcBorders>
          </w:tcPr>
          <w:p>
            <w:pPr>
              <w:ind w:left="100"/>
              <w:spacing w:after="0"/>
              <w:rPr>
                <w:sz w:val="20"/>
                <w:szCs w:val="20"/>
                <w:color w:val="auto"/>
              </w:rPr>
            </w:pPr>
            <w:r>
              <w:rPr>
                <w:rFonts w:ascii="Arial" w:cs="Arial" w:eastAsia="Arial" w:hAnsi="Arial"/>
                <w:sz w:val="18"/>
                <w:szCs w:val="18"/>
                <w:b w:val="1"/>
                <w:bCs w:val="1"/>
                <w:i w:val="1"/>
                <w:iCs w:val="1"/>
                <w:color w:val="auto"/>
              </w:rPr>
              <w:t>Board Member Retainer</w:t>
            </w:r>
          </w:p>
        </w:tc>
        <w:tc>
          <w:tcPr>
            <w:tcW w:w="2220" w:type="dxa"/>
            <w:vAlign w:val="bottom"/>
            <w:tcBorders>
              <w:top w:val="single" w:sz="8" w:color="C9C9C9"/>
              <w:bottom w:val="single" w:sz="8" w:color="C9C9C9"/>
            </w:tcBorders>
          </w:tcPr>
          <w:p>
            <w:pPr>
              <w:ind w:left="80"/>
              <w:spacing w:after="0"/>
              <w:rPr>
                <w:sz w:val="20"/>
                <w:szCs w:val="20"/>
                <w:color w:val="auto"/>
              </w:rPr>
            </w:pPr>
            <w:r>
              <w:rPr>
                <w:rFonts w:ascii="Arial" w:cs="Arial" w:eastAsia="Arial" w:hAnsi="Arial"/>
                <w:sz w:val="18"/>
                <w:szCs w:val="18"/>
                <w:color w:val="auto"/>
              </w:rPr>
              <w:t>$60,000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b w:val="1"/>
                <w:bCs w:val="1"/>
                <w:i w:val="1"/>
                <w:iCs w:val="1"/>
                <w:color w:val="auto"/>
              </w:rPr>
              <w:t>Independent Chairman Premium</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$50,000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b w:val="1"/>
                <w:bCs w:val="1"/>
                <w:i w:val="1"/>
                <w:iCs w:val="1"/>
                <w:color w:val="auto"/>
              </w:rPr>
              <w:t>Committee Chair Retainers</w:t>
            </w:r>
          </w:p>
        </w:tc>
        <w:tc>
          <w:tcPr>
            <w:tcW w:w="2220" w:type="dxa"/>
            <w:vAlign w:val="bottom"/>
            <w:tcBorders>
              <w:bottom w:val="single" w:sz="8" w:color="C9C9C9"/>
            </w:tcBorders>
          </w:tcPr>
          <w:p>
            <w:pPr>
              <w:spacing w:after="0"/>
              <w:rPr>
                <w:sz w:val="17"/>
                <w:szCs w:val="17"/>
                <w:color w:val="auto"/>
              </w:rPr>
            </w:pP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Audit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Compensation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$15,000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Nominating and Governance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Technology and Product Development Committee Chairman</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b w:val="1"/>
                <w:bCs w:val="1"/>
                <w:i w:val="1"/>
                <w:iCs w:val="1"/>
                <w:color w:val="auto"/>
              </w:rPr>
              <w:t>Committee Member (not Chairman) Retainers</w:t>
            </w:r>
          </w:p>
        </w:tc>
        <w:tc>
          <w:tcPr>
            <w:tcW w:w="2220" w:type="dxa"/>
            <w:vAlign w:val="bottom"/>
            <w:tcBorders>
              <w:bottom w:val="single" w:sz="8" w:color="C9C9C9"/>
            </w:tcBorders>
          </w:tcPr>
          <w:p>
            <w:pPr>
              <w:spacing w:after="0"/>
              <w:rPr>
                <w:sz w:val="17"/>
                <w:szCs w:val="17"/>
                <w:color w:val="auto"/>
              </w:rPr>
            </w:pP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Audit Committee Member</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Compensation Committee Member</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$7,500</w:t>
            </w:r>
          </w:p>
        </w:tc>
      </w:tr>
      <w:tr>
        <w:trPr>
          <w:trHeight w:val="196"/>
        </w:trPr>
        <w:tc>
          <w:tcPr>
            <w:tcW w:w="5040" w:type="dxa"/>
            <w:vAlign w:val="bottom"/>
            <w:tcBorders>
              <w:bottom w:val="single" w:sz="8" w:color="C9C9C9"/>
              <w:right w:val="single" w:sz="8" w:color="C9C9C9"/>
            </w:tcBorders>
          </w:tcPr>
          <w:p>
            <w:pPr>
              <w:ind w:left="100"/>
              <w:spacing w:after="0" w:line="196" w:lineRule="exact"/>
              <w:rPr>
                <w:sz w:val="20"/>
                <w:szCs w:val="20"/>
                <w:color w:val="auto"/>
              </w:rPr>
            </w:pPr>
            <w:r>
              <w:rPr>
                <w:rFonts w:ascii="Arial" w:cs="Arial" w:eastAsia="Arial" w:hAnsi="Arial"/>
                <w:sz w:val="18"/>
                <w:szCs w:val="18"/>
                <w:color w:val="auto"/>
              </w:rPr>
              <w:t>Nominating and Governance Committee Member</w:t>
            </w:r>
          </w:p>
        </w:tc>
        <w:tc>
          <w:tcPr>
            <w:tcW w:w="2220" w:type="dxa"/>
            <w:vAlign w:val="bottom"/>
            <w:tcBorders>
              <w:bottom w:val="single" w:sz="8" w:color="C9C9C9"/>
            </w:tcBorders>
          </w:tcPr>
          <w:p>
            <w:pPr>
              <w:ind w:left="80"/>
              <w:spacing w:after="0" w:line="196" w:lineRule="exact"/>
              <w:rPr>
                <w:sz w:val="20"/>
                <w:szCs w:val="20"/>
                <w:color w:val="auto"/>
              </w:rPr>
            </w:pPr>
            <w:r>
              <w:rPr>
                <w:rFonts w:ascii="Arial" w:cs="Arial" w:eastAsia="Arial" w:hAnsi="Arial"/>
                <w:sz w:val="18"/>
                <w:szCs w:val="18"/>
                <w:color w:val="auto"/>
              </w:rPr>
              <w:t>$5,000</w:t>
            </w:r>
          </w:p>
        </w:tc>
      </w:tr>
      <w:tr>
        <w:trPr>
          <w:trHeight w:val="224"/>
        </w:trPr>
        <w:tc>
          <w:tcPr>
            <w:tcW w:w="5040" w:type="dxa"/>
            <w:vAlign w:val="bottom"/>
            <w:tcBorders>
              <w:right w:val="single" w:sz="8" w:color="C9C9C9"/>
            </w:tcBorders>
          </w:tcPr>
          <w:p>
            <w:pPr>
              <w:ind w:left="100"/>
              <w:spacing w:after="0"/>
              <w:rPr>
                <w:sz w:val="20"/>
                <w:szCs w:val="20"/>
                <w:color w:val="auto"/>
              </w:rPr>
            </w:pPr>
            <w:r>
              <w:rPr>
                <w:rFonts w:ascii="Arial" w:cs="Arial" w:eastAsia="Arial" w:hAnsi="Arial"/>
                <w:sz w:val="18"/>
                <w:szCs w:val="18"/>
                <w:color w:val="auto"/>
              </w:rPr>
              <w:t>Technology and Product Development Committee Member</w:t>
            </w:r>
          </w:p>
        </w:tc>
        <w:tc>
          <w:tcPr>
            <w:tcW w:w="2220" w:type="dxa"/>
            <w:vAlign w:val="bottom"/>
          </w:tcPr>
          <w:p>
            <w:pPr>
              <w:ind w:left="80"/>
              <w:spacing w:after="0"/>
              <w:rPr>
                <w:sz w:val="20"/>
                <w:szCs w:val="20"/>
                <w:color w:val="auto"/>
              </w:rPr>
            </w:pPr>
            <w:r>
              <w:rPr>
                <w:rFonts w:ascii="Arial" w:cs="Arial" w:eastAsia="Arial" w:hAnsi="Arial"/>
                <w:sz w:val="18"/>
                <w:szCs w:val="18"/>
                <w:color w:val="auto"/>
              </w:rPr>
              <w:t>$5,000</w:t>
            </w:r>
          </w:p>
        </w:tc>
      </w:tr>
      <w:tr>
        <w:trPr>
          <w:trHeight w:val="67"/>
        </w:trPr>
        <w:tc>
          <w:tcPr>
            <w:tcW w:w="5040" w:type="dxa"/>
            <w:vAlign w:val="bottom"/>
            <w:tcBorders>
              <w:bottom w:val="single" w:sz="8" w:color="C9C9C9"/>
              <w:right w:val="single" w:sz="8" w:color="C9C9C9"/>
            </w:tcBorders>
          </w:tcPr>
          <w:p>
            <w:pPr>
              <w:spacing w:after="0"/>
              <w:rPr>
                <w:sz w:val="5"/>
                <w:szCs w:val="5"/>
                <w:color w:val="auto"/>
              </w:rPr>
            </w:pPr>
          </w:p>
        </w:tc>
        <w:tc>
          <w:tcPr>
            <w:tcW w:w="2220" w:type="dxa"/>
            <w:vAlign w:val="bottom"/>
            <w:tcBorders>
              <w:bottom w:val="single" w:sz="8" w:color="C9C9C9"/>
            </w:tcBorders>
          </w:tcPr>
          <w:p>
            <w:pPr>
              <w:spacing w:after="0"/>
              <w:rPr>
                <w:sz w:val="5"/>
                <w:szCs w:val="5"/>
                <w:color w:val="auto"/>
              </w:rPr>
            </w:pPr>
          </w:p>
        </w:tc>
      </w:tr>
    </w:tbl>
    <w:p>
      <w:pPr>
        <w:spacing w:after="0" w:line="200" w:lineRule="exact"/>
        <w:rPr>
          <w:sz w:val="20"/>
          <w:szCs w:val="20"/>
          <w:color w:val="auto"/>
        </w:rPr>
      </w:pPr>
    </w:p>
    <w:p>
      <w:pPr>
        <w:spacing w:after="0" w:line="204" w:lineRule="exact"/>
        <w:rPr>
          <w:sz w:val="20"/>
          <w:szCs w:val="20"/>
          <w:color w:val="auto"/>
        </w:rPr>
      </w:pPr>
    </w:p>
    <w:p>
      <w:pPr>
        <w:ind w:left="200" w:right="459" w:firstLine="648"/>
        <w:spacing w:after="0" w:line="291" w:lineRule="auto"/>
        <w:rPr>
          <w:sz w:val="20"/>
          <w:szCs w:val="20"/>
          <w:color w:val="auto"/>
        </w:rPr>
      </w:pPr>
      <w:r>
        <w:rPr>
          <w:rFonts w:ascii="Arial" w:cs="Arial" w:eastAsia="Arial" w:hAnsi="Arial"/>
          <w:sz w:val="17"/>
          <w:szCs w:val="17"/>
          <w:color w:val="auto"/>
        </w:rPr>
        <w:t>Non-employee directors also receive reimbursement of out-of-pocket expenses incurred in attending Board and committee meetings. Non-employee directors do not receive any Company-paid perquisites.</w:t>
      </w:r>
    </w:p>
    <w:p>
      <w:pPr>
        <w:spacing w:after="0" w:line="133" w:lineRule="exact"/>
        <w:rPr>
          <w:sz w:val="20"/>
          <w:szCs w:val="20"/>
          <w:color w:val="auto"/>
        </w:rPr>
      </w:pPr>
    </w:p>
    <w:p>
      <w:pPr>
        <w:ind w:left="200" w:right="299" w:firstLine="648"/>
        <w:spacing w:after="0" w:line="248" w:lineRule="auto"/>
        <w:rPr>
          <w:sz w:val="20"/>
          <w:szCs w:val="20"/>
          <w:color w:val="auto"/>
        </w:rPr>
      </w:pPr>
      <w:r>
        <w:rPr>
          <w:rFonts w:ascii="Arial" w:cs="Arial" w:eastAsia="Arial" w:hAnsi="Arial"/>
          <w:sz w:val="18"/>
          <w:szCs w:val="18"/>
          <w:color w:val="auto"/>
        </w:rPr>
        <w:t>The Board of Directors may, from time to time, form committees in addition to the Audit, Compensation, Nominating and Governance and Technology and Product Development Committees and set compensation for service on such additional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0" w:name="page71"/>
    <w:bookmarkEnd w:id="70"/>
    <w:p>
      <w:pPr>
        <w:jc w:val="right"/>
        <w:ind w:right="59"/>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21.1 to Form 10-K for the year ended December 31, 2021</w:t>
      </w:r>
    </w:p>
    <w:p>
      <w:pPr>
        <w:jc w:val="center"/>
        <w:ind w:right="19"/>
        <w:spacing w:after="0"/>
        <w:rPr>
          <w:sz w:val="20"/>
          <w:szCs w:val="20"/>
          <w:color w:val="auto"/>
        </w:rPr>
      </w:pPr>
      <w:r>
        <w:rPr>
          <w:rFonts w:ascii="Arial" w:cs="Arial" w:eastAsia="Arial" w:hAnsi="Arial"/>
          <w:sz w:val="18"/>
          <w:szCs w:val="18"/>
          <w:b w:val="1"/>
          <w:bCs w:val="1"/>
          <w:color w:val="auto"/>
        </w:rPr>
        <w:t>Subsidiaries</w:t>
      </w:r>
    </w:p>
    <w:p>
      <w:pPr>
        <w:spacing w:after="0" w:line="196" w:lineRule="exact"/>
        <w:rPr>
          <w:sz w:val="20"/>
          <w:szCs w:val="20"/>
          <w:color w:val="auto"/>
        </w:rPr>
      </w:pPr>
    </w:p>
    <w:p>
      <w:pPr>
        <w:ind w:left="40" w:right="179" w:firstLine="648"/>
        <w:spacing w:after="0" w:line="261" w:lineRule="auto"/>
        <w:rPr>
          <w:sz w:val="20"/>
          <w:szCs w:val="20"/>
          <w:color w:val="auto"/>
        </w:rPr>
      </w:pPr>
      <w:r>
        <w:rPr>
          <w:rFonts w:ascii="Arial" w:cs="Arial" w:eastAsia="Arial" w:hAnsi="Arial"/>
          <w:sz w:val="18"/>
          <w:szCs w:val="18"/>
          <w:color w:val="auto"/>
        </w:rPr>
        <w:t>The following is a list of all direct and indirect wholly-owned subsidiaries of Axcelis Technologies, Inc. as of the date hereof:</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Domestic Subsidiaries</w:t>
      </w:r>
    </w:p>
    <w:p>
      <w:pPr>
        <w:spacing w:after="0" w:line="216" w:lineRule="exact"/>
        <w:rPr>
          <w:sz w:val="20"/>
          <w:szCs w:val="20"/>
          <w:color w:val="auto"/>
        </w:rPr>
      </w:pPr>
    </w:p>
    <w:p>
      <w:pPr>
        <w:ind w:left="700" w:hanging="6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Axcelis Technologies (Israel) Inc., a Delaware corporation</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Subsidiaries</w:t>
      </w:r>
    </w:p>
    <w:p>
      <w:pPr>
        <w:spacing w:after="0" w:line="216" w:lineRule="exact"/>
        <w:rPr>
          <w:sz w:val="20"/>
          <w:szCs w:val="20"/>
          <w:color w:val="auto"/>
        </w:rPr>
      </w:pPr>
    </w:p>
    <w:p>
      <w:pPr>
        <w:ind w:left="700" w:hanging="6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Axcelis Technologies GmbH (Germany)</w:t>
      </w:r>
    </w:p>
    <w:p>
      <w:pPr>
        <w:spacing w:after="0" w:line="211" w:lineRule="exact"/>
        <w:rPr>
          <w:rFonts w:ascii="Arial" w:cs="Arial" w:eastAsia="Arial" w:hAnsi="Arial"/>
          <w:sz w:val="18"/>
          <w:szCs w:val="18"/>
          <w:color w:val="auto"/>
        </w:rPr>
      </w:pPr>
    </w:p>
    <w:p>
      <w:pPr>
        <w:ind w:left="700" w:hanging="6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Axcelis Technologies, Srl (Italy)</w:t>
      </w:r>
    </w:p>
    <w:p>
      <w:pPr>
        <w:spacing w:after="0" w:line="211" w:lineRule="exact"/>
        <w:rPr>
          <w:rFonts w:ascii="Arial" w:cs="Arial" w:eastAsia="Arial" w:hAnsi="Arial"/>
          <w:sz w:val="18"/>
          <w:szCs w:val="18"/>
          <w:color w:val="auto"/>
        </w:rPr>
      </w:pPr>
    </w:p>
    <w:p>
      <w:pPr>
        <w:ind w:left="700" w:hanging="6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Axcelis Technologies, Sarl (France)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Asian Subsidiaries</w:t>
      </w:r>
    </w:p>
    <w:p>
      <w:pPr>
        <w:spacing w:after="0" w:line="216" w:lineRule="exact"/>
        <w:rPr>
          <w:sz w:val="20"/>
          <w:szCs w:val="20"/>
          <w:color w:val="auto"/>
        </w:rPr>
      </w:pPr>
    </w:p>
    <w:p>
      <w:pPr>
        <w:ind w:left="700" w:hanging="6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Axcelis Technologies, KK (Japan)</w:t>
      </w:r>
    </w:p>
    <w:p>
      <w:pPr>
        <w:spacing w:after="0" w:line="211" w:lineRule="exact"/>
        <w:rPr>
          <w:rFonts w:ascii="Arial" w:cs="Arial" w:eastAsia="Arial" w:hAnsi="Arial"/>
          <w:sz w:val="18"/>
          <w:szCs w:val="18"/>
          <w:color w:val="auto"/>
        </w:rPr>
      </w:pPr>
    </w:p>
    <w:p>
      <w:pPr>
        <w:ind w:left="700" w:hanging="6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Axcelis Technologies Limited (Korea)</w:t>
      </w:r>
    </w:p>
    <w:p>
      <w:pPr>
        <w:spacing w:after="0" w:line="211" w:lineRule="exact"/>
        <w:rPr>
          <w:rFonts w:ascii="Arial" w:cs="Arial" w:eastAsia="Arial" w:hAnsi="Arial"/>
          <w:sz w:val="18"/>
          <w:szCs w:val="18"/>
          <w:color w:val="auto"/>
        </w:rPr>
      </w:pPr>
    </w:p>
    <w:p>
      <w:pPr>
        <w:ind w:left="700" w:hanging="6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Axcelis Technologies, Ltd. (Taiwan)</w:t>
      </w:r>
    </w:p>
    <w:p>
      <w:pPr>
        <w:spacing w:after="0" w:line="211" w:lineRule="exact"/>
        <w:rPr>
          <w:rFonts w:ascii="Arial" w:cs="Arial" w:eastAsia="Arial" w:hAnsi="Arial"/>
          <w:sz w:val="18"/>
          <w:szCs w:val="18"/>
          <w:color w:val="auto"/>
        </w:rPr>
      </w:pPr>
    </w:p>
    <w:p>
      <w:pPr>
        <w:ind w:left="700" w:hanging="6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Axcelis Technologies Pte. Ltd. (Singapore)</w:t>
      </w:r>
    </w:p>
    <w:p>
      <w:pPr>
        <w:spacing w:after="0" w:line="211" w:lineRule="exact"/>
        <w:rPr>
          <w:rFonts w:ascii="Arial" w:cs="Arial" w:eastAsia="Arial" w:hAnsi="Arial"/>
          <w:sz w:val="18"/>
          <w:szCs w:val="18"/>
          <w:color w:val="auto"/>
        </w:rPr>
      </w:pPr>
    </w:p>
    <w:p>
      <w:pPr>
        <w:ind w:left="700" w:hanging="65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Axcelis Technologies Semiconductor Trading (Shanghai) Co., Ltd.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1" w:name="page72"/>
    <w:bookmarkEnd w:id="71"/>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jc w:val="both"/>
        <w:ind w:left="1020" w:right="399" w:hanging="652"/>
        <w:spacing w:after="0" w:line="324"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Registration Statements (Form S-8 No. 333-181750, 333-188967, 333-196157, 333-204544, 333-211673, 333-218225 and 333-231634) pertaining to the 2012 Equity Incentive Plan of Axcelis Technologies, Inc.,</w:t>
      </w:r>
    </w:p>
    <w:p>
      <w:pPr>
        <w:spacing w:after="0" w:line="110" w:lineRule="exact"/>
        <w:rPr>
          <w:rFonts w:ascii="Arial" w:cs="Arial" w:eastAsia="Arial" w:hAnsi="Arial"/>
          <w:sz w:val="16"/>
          <w:szCs w:val="16"/>
          <w:color w:val="auto"/>
        </w:rPr>
      </w:pPr>
    </w:p>
    <w:p>
      <w:pPr>
        <w:ind w:left="1020" w:right="179" w:hanging="652"/>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333-238770) pertaining to the 2020 Employee Stock Purchase Plan of Axcelis Technologies, Inc.,</w:t>
      </w:r>
    </w:p>
    <w:p>
      <w:pPr>
        <w:spacing w:after="0" w:line="157" w:lineRule="exact"/>
        <w:rPr>
          <w:rFonts w:ascii="Arial" w:cs="Arial" w:eastAsia="Arial" w:hAnsi="Arial"/>
          <w:sz w:val="18"/>
          <w:szCs w:val="18"/>
          <w:color w:val="auto"/>
        </w:rPr>
      </w:pPr>
    </w:p>
    <w:p>
      <w:pPr>
        <w:ind w:left="1020" w:right="599" w:hanging="652"/>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333-120356) pertaining to the 2000 Stock Plan and 2012 Equity Incentive Plan, and</w:t>
      </w:r>
    </w:p>
    <w:p>
      <w:pPr>
        <w:spacing w:after="0" w:line="157" w:lineRule="exact"/>
        <w:rPr>
          <w:rFonts w:ascii="Arial" w:cs="Arial" w:eastAsia="Arial" w:hAnsi="Arial"/>
          <w:sz w:val="18"/>
          <w:szCs w:val="18"/>
          <w:color w:val="auto"/>
        </w:rPr>
      </w:pPr>
    </w:p>
    <w:p>
      <w:pPr>
        <w:ind w:left="1020" w:right="219" w:hanging="652"/>
        <w:spacing w:after="0" w:line="291"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S-3 No. 333-238772) and related Prospectus of Axcelis Technologies, Inc. for the registration of common stock, preferred stock, warrants, debt securities and units;</w:t>
      </w:r>
    </w:p>
    <w:p>
      <w:pPr>
        <w:spacing w:after="0" w:line="133" w:lineRule="exact"/>
        <w:rPr>
          <w:sz w:val="20"/>
          <w:szCs w:val="20"/>
          <w:color w:val="auto"/>
        </w:rPr>
      </w:pPr>
    </w:p>
    <w:p>
      <w:pPr>
        <w:ind w:left="40" w:right="199"/>
        <w:spacing w:after="0" w:line="270" w:lineRule="auto"/>
        <w:rPr>
          <w:sz w:val="20"/>
          <w:szCs w:val="20"/>
          <w:color w:val="auto"/>
        </w:rPr>
      </w:pPr>
      <w:r>
        <w:rPr>
          <w:rFonts w:ascii="Arial" w:cs="Arial" w:eastAsia="Arial" w:hAnsi="Arial"/>
          <w:sz w:val="17"/>
          <w:szCs w:val="17"/>
          <w:color w:val="auto"/>
        </w:rPr>
        <w:t>of our reports dated February 25, 2022, with respect to the consolidated financial statements and schedule of Axcelis Technologies, Inc. and the effectiveness of internal control over financial reporting of Axcelis Technologies, Inc. included in this Annual Report (Form 10-K) of Axcelis Technologies, Inc. for the year ended December 31, 2021.</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Mary G. Puma, certify that:</w:t>
      </w:r>
    </w:p>
    <w:p>
      <w:pPr>
        <w:spacing w:after="0" w:line="158" w:lineRule="exact"/>
        <w:rPr>
          <w:sz w:val="20"/>
          <w:szCs w:val="20"/>
          <w:color w:val="auto"/>
        </w:rPr>
      </w:pPr>
    </w:p>
    <w:p>
      <w:pPr>
        <w:ind w:left="700" w:hanging="6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Axcelis Technologies, Inc.;</w:t>
      </w:r>
    </w:p>
    <w:p>
      <w:pPr>
        <w:spacing w:after="0" w:line="157"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700" w:right="219" w:hanging="656"/>
        <w:spacing w:after="0" w:line="248"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7" w:lineRule="exact"/>
        <w:rPr>
          <w:rFonts w:ascii="Arial" w:cs="Arial" w:eastAsia="Arial" w:hAnsi="Arial"/>
          <w:sz w:val="18"/>
          <w:szCs w:val="18"/>
          <w:color w:val="auto"/>
        </w:rPr>
      </w:pPr>
    </w:p>
    <w:p>
      <w:pPr>
        <w:ind w:left="700" w:right="379" w:hanging="656"/>
        <w:spacing w:after="0" w:line="294"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93" w:lineRule="exact"/>
        <w:rPr>
          <w:rFonts w:ascii="Arial" w:cs="Arial" w:eastAsia="Arial" w:hAnsi="Arial"/>
          <w:sz w:val="16"/>
          <w:szCs w:val="16"/>
          <w:color w:val="auto"/>
        </w:rPr>
      </w:pPr>
    </w:p>
    <w:p>
      <w:pPr>
        <w:ind w:left="1340" w:right="119" w:hanging="648"/>
        <w:spacing w:after="0" w:line="243"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8"/>
          <w:szCs w:val="18"/>
          <w:color w:val="auto"/>
        </w:rPr>
      </w:pPr>
    </w:p>
    <w:p>
      <w:pPr>
        <w:ind w:left="1340" w:right="79" w:hanging="648"/>
        <w:spacing w:after="0" w:line="243"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340" w:right="139" w:hanging="648"/>
        <w:spacing w:after="0" w:line="243"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33" w:lineRule="exact"/>
        <w:rPr>
          <w:rFonts w:ascii="Arial" w:cs="Arial" w:eastAsia="Arial" w:hAnsi="Arial"/>
          <w:sz w:val="18"/>
          <w:szCs w:val="18"/>
          <w:color w:val="auto"/>
        </w:rPr>
      </w:pPr>
    </w:p>
    <w:p>
      <w:pPr>
        <w:jc w:val="both"/>
        <w:ind w:left="700" w:right="379" w:hanging="656"/>
        <w:spacing w:after="0" w:line="248"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7"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7"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120"/>
        <w:spacing w:after="0"/>
        <w:tabs>
          <w:tab w:leader="none" w:pos="454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7"/>
          <w:szCs w:val="17"/>
          <w:color w:val="auto"/>
        </w:rPr>
        <w:t>/s/ M</w:t>
      </w:r>
      <w:r>
        <w:rPr>
          <w:rFonts w:ascii="Arial" w:cs="Arial" w:eastAsia="Arial" w:hAnsi="Arial"/>
          <w:sz w:val="11"/>
          <w:szCs w:val="11"/>
          <w:color w:val="auto"/>
        </w:rPr>
        <w:t>ARY</w:t>
      </w:r>
      <w:r>
        <w:rPr>
          <w:rFonts w:ascii="Arial" w:cs="Arial" w:eastAsia="Arial" w:hAnsi="Arial"/>
          <w:sz w:val="17"/>
          <w:szCs w:val="17"/>
          <w:color w:val="auto"/>
        </w:rPr>
        <w:t xml:space="preserve"> G. P</w:t>
      </w:r>
      <w:r>
        <w:rPr>
          <w:rFonts w:ascii="Arial" w:cs="Arial" w:eastAsia="Arial" w:hAnsi="Arial"/>
          <w:sz w:val="11"/>
          <w:szCs w:val="11"/>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Mary G. Puma,</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Kevin J. Brewer, certify that:</w:t>
      </w:r>
    </w:p>
    <w:p>
      <w:pPr>
        <w:spacing w:after="0" w:line="158" w:lineRule="exact"/>
        <w:rPr>
          <w:sz w:val="20"/>
          <w:szCs w:val="20"/>
          <w:color w:val="auto"/>
        </w:rPr>
      </w:pPr>
    </w:p>
    <w:p>
      <w:pPr>
        <w:ind w:left="700" w:hanging="65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Axcelis Technologies, Inc.;</w:t>
      </w:r>
    </w:p>
    <w:p>
      <w:pPr>
        <w:spacing w:after="0" w:line="157"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700" w:right="219" w:hanging="656"/>
        <w:spacing w:after="0" w:line="24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7" w:lineRule="exact"/>
        <w:rPr>
          <w:rFonts w:ascii="Arial" w:cs="Arial" w:eastAsia="Arial" w:hAnsi="Arial"/>
          <w:sz w:val="18"/>
          <w:szCs w:val="18"/>
          <w:color w:val="auto"/>
        </w:rPr>
      </w:pPr>
    </w:p>
    <w:p>
      <w:pPr>
        <w:ind w:left="700" w:right="379" w:hanging="656"/>
        <w:spacing w:after="0" w:line="294"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93" w:lineRule="exact"/>
        <w:rPr>
          <w:rFonts w:ascii="Arial" w:cs="Arial" w:eastAsia="Arial" w:hAnsi="Arial"/>
          <w:sz w:val="16"/>
          <w:szCs w:val="16"/>
          <w:color w:val="auto"/>
        </w:rPr>
      </w:pPr>
    </w:p>
    <w:p>
      <w:pPr>
        <w:ind w:left="1340" w:right="119" w:hanging="648"/>
        <w:spacing w:after="0" w:line="243"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8"/>
          <w:szCs w:val="18"/>
          <w:color w:val="auto"/>
        </w:rPr>
      </w:pPr>
    </w:p>
    <w:p>
      <w:pPr>
        <w:ind w:left="1340" w:right="79" w:hanging="648"/>
        <w:spacing w:after="0" w:line="243"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340" w:right="139" w:hanging="648"/>
        <w:spacing w:after="0" w:line="243"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33" w:lineRule="exact"/>
        <w:rPr>
          <w:rFonts w:ascii="Arial" w:cs="Arial" w:eastAsia="Arial" w:hAnsi="Arial"/>
          <w:sz w:val="18"/>
          <w:szCs w:val="18"/>
          <w:color w:val="auto"/>
        </w:rPr>
      </w:pPr>
    </w:p>
    <w:p>
      <w:pPr>
        <w:jc w:val="both"/>
        <w:ind w:left="700" w:right="379" w:hanging="656"/>
        <w:spacing w:after="0" w:line="24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7"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7"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82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7"/>
          <w:szCs w:val="17"/>
          <w:color w:val="auto"/>
        </w:rPr>
        <w:t>/s/ K</w:t>
      </w:r>
      <w:r>
        <w:rPr>
          <w:rFonts w:ascii="Arial" w:cs="Arial" w:eastAsia="Arial" w:hAnsi="Arial"/>
          <w:sz w:val="11"/>
          <w:szCs w:val="11"/>
          <w:color w:val="auto"/>
        </w:rPr>
        <w:t>EVIN</w:t>
      </w:r>
      <w:r>
        <w:rPr>
          <w:rFonts w:ascii="Arial" w:cs="Arial" w:eastAsia="Arial" w:hAnsi="Arial"/>
          <w:sz w:val="17"/>
          <w:szCs w:val="17"/>
          <w:color w:val="auto"/>
        </w:rPr>
        <w:t xml:space="preserve"> J. B</w:t>
      </w:r>
      <w:r>
        <w:rPr>
          <w:rFonts w:ascii="Arial" w:cs="Arial" w:eastAsia="Arial" w:hAnsi="Arial"/>
          <w:sz w:val="11"/>
          <w:szCs w:val="11"/>
          <w:color w:val="auto"/>
        </w:rPr>
        <w:t>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Kevin J. Brewer,</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96" w:lineRule="exact"/>
        <w:rPr>
          <w:sz w:val="20"/>
          <w:szCs w:val="20"/>
          <w:color w:val="auto"/>
        </w:rPr>
      </w:pPr>
    </w:p>
    <w:p>
      <w:pPr>
        <w:jc w:val="both"/>
        <w:ind w:left="40" w:right="139" w:firstLine="648"/>
        <w:spacing w:after="0" w:line="248"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82" w:lineRule="exact"/>
        <w:rPr>
          <w:sz w:val="20"/>
          <w:szCs w:val="20"/>
          <w:color w:val="auto"/>
        </w:rPr>
      </w:pPr>
    </w:p>
    <w:p>
      <w:pPr>
        <w:jc w:val="both"/>
        <w:ind w:left="40" w:right="439" w:firstLine="648"/>
        <w:spacing w:after="0" w:line="248" w:lineRule="auto"/>
        <w:rPr>
          <w:sz w:val="20"/>
          <w:szCs w:val="20"/>
          <w:color w:val="auto"/>
        </w:rPr>
      </w:pPr>
      <w:r>
        <w:rPr>
          <w:rFonts w:ascii="Arial" w:cs="Arial" w:eastAsia="Arial" w:hAnsi="Arial"/>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WITNESS WHEREOF, the undersigned has executed this Certification as of February 25, 2022.</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ARY</w:t>
      </w:r>
      <w:r>
        <w:rPr>
          <w:rFonts w:ascii="Arial" w:cs="Arial" w:eastAsia="Arial" w:hAnsi="Arial"/>
          <w:sz w:val="18"/>
          <w:szCs w:val="18"/>
          <w:color w:val="auto"/>
        </w:rPr>
        <w:t xml:space="preserve"> G. P</w:t>
      </w:r>
      <w:r>
        <w:rPr>
          <w:rFonts w:ascii="Arial" w:cs="Arial" w:eastAsia="Arial" w:hAnsi="Arial"/>
          <w:sz w:val="12"/>
          <w:szCs w:val="12"/>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Mary G. Puma</w:t>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Chief Executive Officer and President of Axcelis</w:t>
      </w:r>
    </w:p>
    <w:p>
      <w:pPr>
        <w:ind w:left="4560"/>
        <w:spacing w:after="0"/>
        <w:rPr>
          <w:sz w:val="20"/>
          <w:szCs w:val="20"/>
          <w:color w:val="auto"/>
        </w:rPr>
      </w:pPr>
      <w:r>
        <w:rPr>
          <w:rFonts w:ascii="Arial" w:cs="Arial" w:eastAsia="Arial" w:hAnsi="Arial"/>
          <w:sz w:val="18"/>
          <w:szCs w:val="18"/>
          <w:i w:val="1"/>
          <w:iCs w:val="1"/>
          <w:color w:val="auto"/>
        </w:rPr>
        <w:t>Technologies,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96" w:lineRule="exact"/>
        <w:rPr>
          <w:sz w:val="20"/>
          <w:szCs w:val="20"/>
          <w:color w:val="auto"/>
        </w:rPr>
      </w:pPr>
    </w:p>
    <w:p>
      <w:pPr>
        <w:jc w:val="both"/>
        <w:ind w:left="40" w:right="139" w:firstLine="648"/>
        <w:spacing w:after="0" w:line="248"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82" w:lineRule="exact"/>
        <w:rPr>
          <w:sz w:val="20"/>
          <w:szCs w:val="20"/>
          <w:color w:val="auto"/>
        </w:rPr>
      </w:pPr>
    </w:p>
    <w:p>
      <w:pPr>
        <w:jc w:val="both"/>
        <w:ind w:left="40" w:right="439" w:firstLine="648"/>
        <w:spacing w:after="0" w:line="248" w:lineRule="auto"/>
        <w:rPr>
          <w:sz w:val="20"/>
          <w:szCs w:val="20"/>
          <w:color w:val="auto"/>
        </w:rPr>
      </w:pPr>
      <w:r>
        <w:rPr>
          <w:rFonts w:ascii="Arial" w:cs="Arial" w:eastAsia="Arial" w:hAnsi="Arial"/>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WITNESS WHEREOF, the undersigned has executed this Certification as of February 25, 2022.</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EVIN</w:t>
      </w:r>
      <w:r>
        <w:rPr>
          <w:rFonts w:ascii="Arial" w:cs="Arial" w:eastAsia="Arial" w:hAnsi="Arial"/>
          <w:sz w:val="18"/>
          <w:szCs w:val="18"/>
          <w:color w:val="auto"/>
        </w:rPr>
        <w:t xml:space="preserve"> J. B</w:t>
      </w:r>
      <w:r>
        <w:rPr>
          <w:rFonts w:ascii="Arial" w:cs="Arial" w:eastAsia="Arial" w:hAnsi="Arial"/>
          <w:sz w:val="12"/>
          <w:szCs w:val="12"/>
          <w:color w:val="auto"/>
        </w:rPr>
        <w:t>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2631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Kevin J. Brewer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i w:val="1"/>
          <w:iCs w:val="1"/>
          <w:color w:val="auto"/>
        </w:rPr>
        <w:t>Executive Vice President and Chief Financial Officer of</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Axcelis Technologies,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 "/>
      <w:numFmt w:val="bullet"/>
      <w:start w:val="1"/>
    </w:lvl>
  </w:abstractNum>
  <w:abstractNum w:abstractNumId="3">
    <w:nsid w:val="6CEAF087"/>
    <w:multiLevelType w:val="hybridMultilevel"/>
    <w:lvl w:ilvl="0">
      <w:lvlJc w:val="left"/>
      <w:lvlText w:val="●"/>
      <w:numFmt w:val="bullet"/>
      <w:start w:val="1"/>
    </w:lvl>
    <w:lvl w:ilvl="1">
      <w:lvlJc w:val="left"/>
      <w:lvlText w:val="o"/>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upperLetter"/>
      <w:start w:val="1"/>
    </w:lvl>
  </w:abstractNum>
  <w:abstractNum w:abstractNumId="11">
    <w:nsid w:val="5072367"/>
    <w:multiLevelType w:val="hybridMultilevel"/>
    <w:lvl w:ilvl="0">
      <w:lvlJc w:val="left"/>
      <w:lvlText w:val="●"/>
      <w:numFmt w:val="bullet"/>
      <w:start w:val="1"/>
    </w:lvl>
    <w:lvl w:ilvl="1">
      <w:lvlJc w:val="left"/>
      <w:lvlText w:val="%2."/>
      <w:numFmt w:val="upperLetter"/>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lowerLetter"/>
      <w:start w:val="1"/>
    </w:lvl>
    <w:lvl w:ilvl="1">
      <w:lvlJc w:val="left"/>
      <w:lvlText w:val="%2)"/>
      <w:numFmt w:val="decimal"/>
      <w:start w:val="1"/>
    </w:lvl>
  </w:abstractNum>
  <w:abstractNum w:abstractNumId="18">
    <w:nsid w:val="51EAD36B"/>
    <w:multiLevelType w:val="hybridMultilevel"/>
    <w:lvl w:ilvl="0">
      <w:lvlJc w:val="left"/>
      <w:lvlText w:val="%1)"/>
      <w:numFmt w:val="decimal"/>
      <w:start w:val="3"/>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2"/>
    </w:lvl>
  </w:abstractNum>
  <w:abstractNum w:abstractNumId="21">
    <w:nsid w:val="153EA438"/>
    <w:multiLevelType w:val="hybridMultilevel"/>
    <w:lvl w:ilvl="0">
      <w:lvlJc w:val="left"/>
      <w:lvlText w:val="(%1)"/>
      <w:numFmt w:val="lowerLetter"/>
      <w:start w:val="3"/>
    </w:lvl>
  </w:abstractNum>
  <w:abstractNum w:abstractNumId="22">
    <w:nsid w:val="3855585C"/>
    <w:multiLevelType w:val="hybridMultilevel"/>
    <w:lvl w:ilvl="0">
      <w:lvlJc w:val="left"/>
      <w:lvlText w:val="(%1)"/>
      <w:numFmt w:val="lowerLetter"/>
      <w:start w:val="4"/>
    </w:lvl>
  </w:abstractNum>
  <w:abstractNum w:abstractNumId="23">
    <w:nsid w:val="70A64E2A"/>
    <w:multiLevelType w:val="hybridMultilevel"/>
    <w:lvl w:ilvl="0">
      <w:lvlJc w:val="left"/>
      <w:lvlText w:val="(%1)"/>
      <w:numFmt w:val="lowerLetter"/>
      <w:start w:val="5"/>
    </w:lvl>
  </w:abstractNum>
  <w:abstractNum w:abstractNumId="24">
    <w:nsid w:val="6A2342EC"/>
    <w:multiLevelType w:val="hybridMultilevel"/>
    <w:lvl w:ilvl="0">
      <w:lvlJc w:val="left"/>
      <w:lvlText w:val="(%1)"/>
      <w:numFmt w:val="lowerLetter"/>
      <w:start w:val="6"/>
    </w:lvl>
  </w:abstractNum>
  <w:abstractNum w:abstractNumId="25">
    <w:nsid w:val="2A487CB0"/>
    <w:multiLevelType w:val="hybridMultilevel"/>
    <w:lvl w:ilvl="0">
      <w:lvlJc w:val="left"/>
      <w:lvlText w:val="(%1)"/>
      <w:numFmt w:val="lowerLetter"/>
      <w:start w:val="7"/>
    </w:lvl>
  </w:abstractNum>
  <w:abstractNum w:abstractNumId="26">
    <w:nsid w:val="1D4ED43B"/>
    <w:multiLevelType w:val="hybridMultilevel"/>
    <w:lvl w:ilvl="0">
      <w:lvlJc w:val="left"/>
      <w:lvlText w:val="(%1)"/>
      <w:numFmt w:val="lowerLetter"/>
      <w:start w:val="8"/>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1)"/>
      <w:numFmt w:val="lowerLetter"/>
      <w:start w:val="10"/>
    </w:lvl>
  </w:abstractNum>
  <w:abstractNum w:abstractNumId="29">
    <w:nsid w:val="57E4CCAF"/>
    <w:multiLevelType w:val="hybridMultilevel"/>
    <w:lvl w:ilvl="0">
      <w:lvlJc w:val="left"/>
      <w:lvlText w:val="(%1)"/>
      <w:numFmt w:val="lowerLetter"/>
      <w:start w:val="11"/>
    </w:lvl>
  </w:abstractNum>
  <w:abstractNum w:abstractNumId="30">
    <w:nsid w:val="7A6D8D3C"/>
    <w:multiLevelType w:val="hybridMultilevel"/>
    <w:lvl w:ilvl="0">
      <w:lvlJc w:val="left"/>
      <w:lvlText w:val="(%1)"/>
      <w:numFmt w:val="lowerLetter"/>
      <w:start w:val="12"/>
    </w:lvl>
  </w:abstractNum>
  <w:abstractNum w:abstractNumId="31">
    <w:nsid w:val="4B588F54"/>
    <w:multiLevelType w:val="hybridMultilevel"/>
    <w:lvl w:ilvl="0">
      <w:lvlJc w:val="left"/>
      <w:lvlText w:val="(%1)"/>
      <w:numFmt w:val="lowerLetter"/>
      <w:start w:val="13"/>
    </w:lvl>
  </w:abstractNum>
  <w:abstractNum w:abstractNumId="32">
    <w:nsid w:val="542289EC"/>
    <w:multiLevelType w:val="hybridMultilevel"/>
    <w:lvl w:ilvl="0">
      <w:lvlJc w:val="left"/>
      <w:lvlText w:val="(%1)"/>
      <w:numFmt w:val="lowerLetter"/>
      <w:start w:val="14"/>
    </w:lvl>
  </w:abstractNum>
  <w:abstractNum w:abstractNumId="33">
    <w:nsid w:val="6DE91B18"/>
    <w:multiLevelType w:val="hybridMultilevel"/>
    <w:lvl w:ilvl="0">
      <w:lvlJc w:val="left"/>
      <w:lvlText w:val="(%1)"/>
      <w:numFmt w:val="lowerLetter"/>
      <w:start w:val="15"/>
    </w:lvl>
  </w:abstractNum>
  <w:abstractNum w:abstractNumId="34">
    <w:nsid w:val="38437FDB"/>
    <w:multiLevelType w:val="hybridMultilevel"/>
    <w:lvl w:ilvl="0">
      <w:lvlJc w:val="left"/>
      <w:lvlText w:val="(%1)"/>
      <w:numFmt w:val="lowerLetter"/>
      <w:start w:val="16"/>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2"/>
    </w:lvl>
  </w:abstractNum>
  <w:abstractNum w:abstractNumId="41">
    <w:nsid w:val="1BA026FA"/>
    <w:multiLevelType w:val="hybridMultilevel"/>
    <w:lvl w:ilvl="0">
      <w:lvlJc w:val="left"/>
      <w:lvlText w:val="(%1)"/>
      <w:numFmt w:val="lowerLetter"/>
      <w:start w:val="3"/>
    </w:lvl>
  </w:abstractNum>
  <w:abstractNum w:abstractNumId="42">
    <w:nsid w:val="79A1DEAA"/>
    <w:multiLevelType w:val="hybridMultilevel"/>
    <w:lvl w:ilvl="0">
      <w:lvlJc w:val="left"/>
      <w:lvlText w:val="(%1)"/>
      <w:numFmt w:val="lowerLetter"/>
      <w:start w:val="4"/>
    </w:lvl>
  </w:abstractNum>
  <w:abstractNum w:abstractNumId="43">
    <w:nsid w:val="75C6C33A"/>
    <w:multiLevelType w:val="hybridMultilevel"/>
    <w:lvl w:ilvl="0">
      <w:lvlJc w:val="left"/>
      <w:lvlText w:val="(%1)"/>
      <w:numFmt w:val="lowerLetter"/>
      <w:start w:val="5"/>
    </w:lvl>
  </w:abstractNum>
  <w:abstractNum w:abstractNumId="44">
    <w:nsid w:val="12E685FB"/>
    <w:multiLevelType w:val="hybridMultilevel"/>
    <w:lvl w:ilvl="0">
      <w:lvlJc w:val="left"/>
      <w:lvlText w:val="(%1)"/>
      <w:numFmt w:val="lowerLetter"/>
      <w:start w:val="6"/>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lowerLetter"/>
      <w:start w:val="3"/>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3"/>
    </w:lvl>
  </w:abstractNum>
  <w:abstractNum w:abstractNumId="51">
    <w:nsid w:val="275AC794"/>
    <w:multiLevelType w:val="hybridMultilevel"/>
    <w:lvl w:ilvl="0">
      <w:lvlJc w:val="left"/>
      <w:lvlText w:val="%1"/>
      <w:numFmt w:val="decimal"/>
      <w:start w:val="101"/>
    </w:lvl>
  </w:abstractNum>
  <w:abstractNum w:abstractNumId="52">
    <w:nsid w:val="39386575"/>
    <w:multiLevelType w:val="hybridMultilevel"/>
    <w:lvl w:ilvl="0">
      <w:lvlJc w:val="left"/>
      <w:lvlText w:val="*"/>
      <w:numFmt w:val="bullet"/>
      <w:start w:val="1"/>
    </w:lvl>
    <w:lvl w:ilvl="1">
      <w:lvlJc w:val="left"/>
      <w:lvlText w:val="%2"/>
      <w:numFmt w:val="decimal"/>
      <w:start w:val="104"/>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2"/>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78" Type="http://schemas.openxmlformats.org/officeDocument/2006/relationships/hyperlink" Target="http://www.sec.gov/Archives/edgar/data/1113232/000155837017008078/acls-20170930ex31a83feb6.htm" TargetMode="External"/><Relationship Id="rId79" Type="http://schemas.openxmlformats.org/officeDocument/2006/relationships/hyperlink" Target="http://www.sec.gov/Archives/edgar/data/1113232/000110465914040101/a14-8383_4ex3d2.htm" TargetMode="External"/><Relationship Id="rId80" Type="http://schemas.openxmlformats.org/officeDocument/2006/relationships/hyperlink" Target="https://www.sec.gov/Archives/edgar/data/1113232/000155837020001858/acls-20191231ex448a2eaee.htm" TargetMode="External"/><Relationship Id="rId81" Type="http://schemas.openxmlformats.org/officeDocument/2006/relationships/hyperlink" Target="http://www.sec.gov/Archives/edgar/data/1113232/000110465919030716/a19-10111_1s8.htm" TargetMode="External"/><Relationship Id="rId82" Type="http://schemas.openxmlformats.org/officeDocument/2006/relationships/hyperlink" Target="http://www.sec.gov/Archives/edgar/data/1113232/000104746910002204/a2197155zex-10_2.htm" TargetMode="External"/><Relationship Id="rId83" Type="http://schemas.openxmlformats.org/officeDocument/2006/relationships/hyperlink" Target="http://www.sec.gov/Archives/edgar/data/1113232/000104746912001874/a2207604zex-10_4.htm" TargetMode="External"/><Relationship Id="rId84" Type="http://schemas.openxmlformats.org/officeDocument/2006/relationships/hyperlink" Target="http://www.sec.gov/Archives/edgar/data/1113232/000155837017001778/acls-20161231ex106472dea.htm" TargetMode="External"/><Relationship Id="rId85" Type="http://schemas.openxmlformats.org/officeDocument/2006/relationships/hyperlink" Target="http://www.sec.gov/Archives/edgar/data/1113232/000110465912055070/a12-13741_1ex10d2.htm" TargetMode="External"/><Relationship Id="rId86" Type="http://schemas.openxmlformats.org/officeDocument/2006/relationships/hyperlink" Target="http://www.sec.gov/Archives/edgar/data/1113232/000110465912055070/a12-13741_1ex10d3.htm" TargetMode="External"/><Relationship Id="rId87" Type="http://schemas.openxmlformats.org/officeDocument/2006/relationships/hyperlink" Target="http://www.sec.gov/Archives/edgar/data/1113232/000110465912055070/a12-13741_1ex10d4.htm" TargetMode="External"/><Relationship Id="rId88" Type="http://schemas.openxmlformats.org/officeDocument/2006/relationships/hyperlink" Target="http://www.sec.gov/Archives/edgar/data/1113232/000104746907008764/a2180796zex-10_3.htm" TargetMode="External"/><Relationship Id="rId89" Type="http://schemas.openxmlformats.org/officeDocument/2006/relationships/hyperlink" Target="http://www.sec.gov/Archives/edgar/data/1113232/000155837019007396/acls-20190630ex1022c13af.htm" TargetMode="External"/><Relationship Id="rId90" Type="http://schemas.openxmlformats.org/officeDocument/2006/relationships/hyperlink" Target="http://www.sec.gov/Archives/edgar/data/1113232/000104746915001994/a2223440zex-10_24.htm" TargetMode="External"/><Relationship Id="rId91" Type="http://schemas.openxmlformats.org/officeDocument/2006/relationships/hyperlink" Target="https://www.sec.gov/Archives/edgar/data/1113232/000155837020013115/acls-20200930xex10d1.htm" TargetMode="External"/><Relationship Id="rId92" Type="http://schemas.openxmlformats.org/officeDocument/2006/relationships/hyperlink" Target="https://www.sec.gov/Archives/edgar/data/1113232/000155837020013115/acls-20200930xex10d2.htm" TargetMode="External"/><Relationship Id="rId93" Type="http://schemas.openxmlformats.org/officeDocument/2006/relationships/hyperlink" Target="http://www.sec.gov/Archives/edgar/data/1113232/000111323203000002/ex14_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2022-02-25T11:45:31Z</dcterms:created>
  <dcterms:modified xsi:type="dcterms:W3CDTF">2022-02-25T11:45:31Z</dcterms:modified>
</cp:coreProperties>
</file>