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40" w:right="1240" w:hanging="326"/>
        <w:spacing w:after="0" w:line="256" w:lineRule="auto"/>
        <w:tabs>
          <w:tab w:leader="none" w:pos="6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4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0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39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center"/>
              <w:ind w:left="1630"/>
              <w:spacing w:after="0"/>
              <w:rPr>
                <w:sz w:val="20"/>
                <w:szCs w:val="20"/>
                <w:color w:val="auto"/>
              </w:rPr>
            </w:pPr>
            <w:r>
              <w:rPr>
                <w:rFonts w:ascii="Arial" w:cs="Arial" w:eastAsia="Arial" w:hAnsi="Arial"/>
                <w:sz w:val="18"/>
                <w:szCs w:val="18"/>
                <w:b w:val="1"/>
                <w:bCs w:val="1"/>
                <w:color w:val="auto"/>
                <w:w w:val="91"/>
              </w:rPr>
              <w:t>34-1818596</w:t>
            </w:r>
          </w:p>
        </w:tc>
      </w:tr>
      <w:tr>
        <w:trPr>
          <w:trHeight w:val="243"/>
        </w:trPr>
        <w:tc>
          <w:tcPr>
            <w:tcW w:w="3900" w:type="dxa"/>
            <w:vAlign w:val="bottom"/>
          </w:tcPr>
          <w:p>
            <w:pPr>
              <w:jc w:val="center"/>
              <w:ind w:right="163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43"/>
        </w:trPr>
        <w:tc>
          <w:tcPr>
            <w:tcW w:w="3900" w:type="dxa"/>
            <w:vAlign w:val="bottom"/>
          </w:tcPr>
          <w:p>
            <w:pPr>
              <w:jc w:val="center"/>
              <w:ind w:right="163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830" w:type="dxa"/>
        <w:tblCellMar>
          <w:top w:w="0" w:type="dxa"/>
          <w:left w:w="0" w:type="dxa"/>
          <w:bottom w:w="0" w:type="dxa"/>
          <w:right w:w="0" w:type="dxa"/>
        </w:tblCellMar>
      </w:tblPr>
      <w:tr>
        <w:trPr>
          <w:trHeight w:val="215"/>
        </w:trPr>
        <w:tc>
          <w:tcPr>
            <w:tcW w:w="2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67" w:lineRule="exact"/>
        <w:rPr>
          <w:sz w:val="24"/>
          <w:szCs w:val="24"/>
          <w:color w:val="auto"/>
        </w:rPr>
      </w:pPr>
    </w:p>
    <w:p>
      <w:pPr>
        <w:ind w:right="26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firstLine="23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9" w:lineRule="exact"/>
        <w:rPr>
          <w:sz w:val="24"/>
          <w:szCs w:val="24"/>
          <w:color w:val="auto"/>
        </w:rPr>
      </w:pPr>
    </w:p>
    <w:p>
      <w:pPr>
        <w:ind w:right="14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00"/>
          </w:cols>
          <w:pgMar w:left="840" w:top="665" w:right="859" w:bottom="1440" w:gutter="0" w:footer="0" w:header="0"/>
        </w:sectPr>
      </w:pPr>
    </w:p>
    <w:p>
      <w:pPr>
        <w:spacing w:after="0" w:line="56"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280" w:space="720"/>
            <w:col w:w="3200"/>
          </w:cols>
          <w:pgMar w:left="840" w:top="665" w:right="859" w:bottom="1440" w:gutter="0" w:footer="0" w:header="0"/>
          <w:type w:val="continuous"/>
        </w:sectPr>
      </w:pPr>
    </w:p>
    <w:p>
      <w:pPr>
        <w:ind w:left="16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ind w:left="20"/>
        <w:spacing w:after="0" w:line="141" w:lineRule="exact"/>
        <w:rPr>
          <w:sz w:val="20"/>
          <w:szCs w:val="20"/>
          <w:color w:val="auto"/>
        </w:rPr>
      </w:pPr>
      <w:r>
        <w:rPr>
          <w:rFonts w:ascii="MS PGothic" w:cs="MS PGothic" w:eastAsia="MS PGothic" w:hAnsi="MS PGothic"/>
          <w:sz w:val="16"/>
          <w:szCs w:val="16"/>
          <w:color w:val="auto"/>
        </w:rPr>
        <w:t>☐</w:t>
      </w:r>
    </w:p>
    <w:p>
      <w:pPr>
        <w:spacing w:after="0" w:line="8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7" w:lineRule="exact"/>
        <w:rPr>
          <w:sz w:val="24"/>
          <w:szCs w:val="24"/>
          <w:color w:val="auto"/>
        </w:rPr>
      </w:pPr>
    </w:p>
    <w:p>
      <w:pPr>
        <w:sectPr>
          <w:pgSz w:w="11900" w:h="16838" w:orient="portrait"/>
          <w:cols w:equalWidth="0" w:num="3">
            <w:col w:w="5880" w:space="720"/>
            <w:col w:w="1960" w:space="80"/>
            <w:col w:w="1560"/>
          </w:cols>
          <w:pgMar w:left="840" w:top="665" w:right="859" w:bottom="1440" w:gutter="0" w:footer="0" w:header="0"/>
          <w:type w:val="continuous"/>
        </w:sectPr>
      </w:pPr>
    </w:p>
    <w:p>
      <w:pPr>
        <w:ind w:right="180" w:firstLine="233"/>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220" w:right="820" w:hanging="3"/>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3, 2021 there were 33,574,743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802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10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Statements of Operations for the three and six months ended June 30, 2021 and 2020</w:t>
              </w:r>
            </w:hyperlink>
          </w:p>
        </w:tc>
        <w:tc>
          <w:tcPr>
            <w:tcW w:w="92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Comprehensive Income for the three and six months ended June 30, 2021 and</w:t>
              </w:r>
            </w:hyperlink>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0000EE"/>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June 30, 2021 and December 31,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Stockholders’ Equity for the three and six months ended June 30, 2021 and 2020</w:t>
              </w:r>
            </w:hyperlink>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six months ended June 30, 2021 and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(Unaudited)</w:t>
              </w:r>
            </w:hyperlink>
          </w:p>
        </w:tc>
        <w:tc>
          <w:tcPr>
            <w:tcW w:w="2380" w:type="dxa"/>
            <w:vAlign w:val="bottom"/>
            <w:tcBorders>
              <w:top w:val="single" w:sz="8" w:color="0000EE"/>
            </w:tcBorders>
            <w:gridSpan w:val="4"/>
          </w:tcPr>
          <w:p>
            <w:pPr>
              <w:spacing w:after="0"/>
              <w:rPr>
                <w:sz w:val="19"/>
                <w:szCs w:val="19"/>
                <w:color w:val="auto"/>
              </w:rPr>
            </w:pPr>
          </w:p>
        </w:tc>
        <w:tc>
          <w:tcPr>
            <w:tcW w:w="158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8020" w:type="dxa"/>
            <w:vAlign w:val="bottom"/>
            <w:gridSpan w:val="2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Overview</w:t>
              </w:r>
            </w:hyperlink>
          </w:p>
        </w:tc>
        <w:tc>
          <w:tcPr>
            <w:tcW w:w="120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Critical Accounting Estimates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Results of Operations</w:t>
              </w:r>
            </w:hyperlink>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Liquidity and Capital Resources</w:t>
              </w:r>
            </w:hyperlink>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w:t>
              </w:r>
            </w:hyperlink>
          </w:p>
        </w:tc>
        <w:tc>
          <w:tcPr>
            <w:tcW w:w="8020" w:type="dxa"/>
            <w:vAlign w:val="bottom"/>
            <w:gridSpan w:val="2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w:t>
              </w:r>
            </w:hyperlink>
          </w:p>
        </w:tc>
        <w:tc>
          <w:tcPr>
            <w:tcW w:w="8020" w:type="dxa"/>
            <w:vAlign w:val="bottom"/>
            <w:gridSpan w:val="2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8760" w:type="dxa"/>
            <w:vAlign w:val="bottom"/>
            <w:gridSpan w:val="2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4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w:t>
              </w:r>
            </w:hyperlink>
          </w:p>
        </w:tc>
        <w:tc>
          <w:tcPr>
            <w:tcW w:w="208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Legal Proceedings</w:t>
              </w:r>
            </w:hyperlink>
          </w:p>
        </w:tc>
        <w:tc>
          <w:tcPr>
            <w:tcW w:w="594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Item 1A.</w:t>
              </w:r>
            </w:hyperlink>
          </w:p>
        </w:tc>
        <w:tc>
          <w:tcPr>
            <w:tcW w:w="60" w:type="dxa"/>
            <w:vAlign w:val="bottom"/>
          </w:tcPr>
          <w:p>
            <w:pPr>
              <w:spacing w:after="0"/>
              <w:rPr>
                <w:sz w:val="19"/>
                <w:szCs w:val="19"/>
                <w:color w:val="auto"/>
              </w:rPr>
            </w:pPr>
          </w:p>
        </w:tc>
        <w:tc>
          <w:tcPr>
            <w:tcW w:w="80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2.</w:t>
              </w:r>
            </w:hyperlink>
          </w:p>
        </w:tc>
        <w:tc>
          <w:tcPr>
            <w:tcW w:w="60" w:type="dxa"/>
            <w:vAlign w:val="bottom"/>
          </w:tcPr>
          <w:p>
            <w:pPr>
              <w:spacing w:after="0"/>
              <w:rPr>
                <w:sz w:val="19"/>
                <w:szCs w:val="19"/>
                <w:color w:val="auto"/>
              </w:rPr>
            </w:pPr>
          </w:p>
        </w:tc>
        <w:tc>
          <w:tcPr>
            <w:tcW w:w="80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w:t>
              </w:r>
            </w:hyperlink>
          </w:p>
        </w:tc>
        <w:tc>
          <w:tcPr>
            <w:tcW w:w="80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w:t>
              </w:r>
            </w:hyperlink>
          </w:p>
        </w:tc>
        <w:tc>
          <w:tcPr>
            <w:tcW w:w="80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5.</w:t>
              </w:r>
            </w:hyperlink>
          </w:p>
        </w:tc>
        <w:tc>
          <w:tcPr>
            <w:tcW w:w="80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6.</w:t>
              </w:r>
            </w:hyperlink>
          </w:p>
        </w:tc>
        <w:tc>
          <w:tcPr>
            <w:tcW w:w="8020" w:type="dxa"/>
            <w:vAlign w:val="bottom"/>
            <w:gridSpan w:val="24"/>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3360" w:type="dxa"/>
            <w:vAlign w:val="bottom"/>
            <w:gridSpan w:val="13"/>
          </w:tcPr>
          <w:p>
            <w:pPr>
              <w:jc w:val="right"/>
              <w:ind w:right="1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7" w:right="1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Product</w:t>
            </w:r>
          </w:p>
        </w:tc>
        <w:tc>
          <w:tcPr>
            <w:tcW w:w="6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140,156</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117,194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266,765</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229,327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147,274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122,965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280,050</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241,956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Product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147,022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132,691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159,601</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144,508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12,177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21,230</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67,364</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35,386</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Shares used in computing net income per share:</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weighted average common shares</w:t>
            </w:r>
          </w:p>
        </w:tc>
        <w:tc>
          <w:tcPr>
            <w:tcW w:w="4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33,677</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33,116</w:t>
            </w: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33,696</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32,998</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 weighted average common shares</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34,311</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33,958</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34,473</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34,023</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$ 18,906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$ 13,302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$ 35,386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$ 24,523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200"/>
              <w:spacing w:after="0" w:line="201" w:lineRule="exact"/>
              <w:rPr>
                <w:sz w:val="20"/>
                <w:szCs w:val="20"/>
                <w:color w:val="auto"/>
              </w:rPr>
            </w:pPr>
            <w:r>
              <w:rPr>
                <w:rFonts w:ascii="Arial" w:cs="Arial" w:eastAsia="Arial" w:hAnsi="Arial"/>
                <w:sz w:val="18"/>
                <w:szCs w:val="18"/>
                <w:color w:val="auto"/>
                <w:w w:val="93"/>
              </w:rPr>
              <w:t>Amortization of actuarial loss and other adjustments from pension plan,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$ 19,492</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$ 14,195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$ 34,620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$ 24,361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219,731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Finance lease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40,303</w:t>
            </w:r>
          </w:p>
        </w:tc>
        <w:tc>
          <w:tcPr>
            <w:tcW w:w="10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660,640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1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ind w:left="1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Current portion of finance lease obligation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106,474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obligation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166,538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143,022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stock, $0.001 par value, 75,000 shares authorized; 33,657 shares issued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outstanding at June 30, 2021; 33,633 shares issued and outstanding at December 31, 2020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561,680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570,102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481,602</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660,640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8"/>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10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32,585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559,878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(140,226)</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419,427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Issuance of shares under Employee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40" w:type="dxa"/>
            <w:vAlign w:val="bottom"/>
            <w:gridSpan w:val="2"/>
          </w:tcPr>
          <w:p>
            <w:pPr>
              <w:spacing w:after="0"/>
              <w:rPr>
                <w:sz w:val="20"/>
                <w:szCs w:val="20"/>
                <w:color w:val="auto"/>
              </w:rPr>
            </w:pPr>
            <w:r>
              <w:rPr>
                <w:rFonts w:ascii="Arial" w:cs="Arial" w:eastAsia="Arial" w:hAnsi="Arial"/>
                <w:sz w:val="16"/>
                <w:szCs w:val="16"/>
                <w:color w:val="auto"/>
              </w:rPr>
              <w:t>Purchase Plan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common shares,</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40" w:type="dxa"/>
            <w:vAlign w:val="bottom"/>
            <w:gridSpan w:val="2"/>
          </w:tcPr>
          <w:p>
            <w:pPr>
              <w:spacing w:after="0"/>
              <w:rPr>
                <w:sz w:val="20"/>
                <w:szCs w:val="20"/>
                <w:color w:val="auto"/>
              </w:rPr>
            </w:pPr>
            <w:r>
              <w:rPr>
                <w:rFonts w:ascii="Arial" w:cs="Arial" w:eastAsia="Arial" w:hAnsi="Arial"/>
                <w:sz w:val="16"/>
                <w:szCs w:val="16"/>
                <w:color w:val="auto"/>
              </w:rPr>
              <w:t>Balance at March 31, 2020</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32,837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559,182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(130,730)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(1,313)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under Employee Stock</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Issuance of restricted common shares,</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rPr>
                <w:sz w:val="20"/>
                <w:szCs w:val="20"/>
                <w:color w:val="auto"/>
              </w:rPr>
            </w:pPr>
            <w:r>
              <w:rPr>
                <w:rFonts w:ascii="Arial" w:cs="Arial" w:eastAsia="Arial" w:hAnsi="Arial"/>
                <w:sz w:val="16"/>
                <w:szCs w:val="16"/>
                <w:color w:val="auto"/>
              </w:rPr>
              <w:t>Balance at June 30, 2020</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93"/>
              </w:rPr>
              <w:t>33,433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562,839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(117,428)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3"/>
          </w:tcPr>
          <w:p>
            <w:pPr>
              <w:jc w:val="right"/>
              <w:ind w:right="6"/>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445,024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Comprehensive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5"/>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33,633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570,102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(91,969)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3,435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481,602</w:t>
            </w: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16,480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16,480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(1,372)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2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2,512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Issuance of restricted common shares,</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(2,354)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05"/>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2,407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2,407</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640" w:type="dxa"/>
            <w:vAlign w:val="bottom"/>
            <w:gridSpan w:val="4"/>
          </w:tcPr>
          <w:p>
            <w:pPr>
              <w:jc w:val="right"/>
              <w:ind w:right="80"/>
              <w:spacing w:after="0"/>
              <w:rPr>
                <w:sz w:val="20"/>
                <w:szCs w:val="20"/>
                <w:color w:val="auto"/>
              </w:rPr>
            </w:pPr>
            <w:r>
              <w:rPr>
                <w:rFonts w:ascii="Arial" w:cs="Arial" w:eastAsia="Arial" w:hAnsi="Arial"/>
                <w:sz w:val="16"/>
                <w:szCs w:val="16"/>
                <w:color w:val="auto"/>
              </w:rPr>
              <w:t>(303)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(5,468)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(6,167)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(11,635)</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March 31, 2021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33,679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567,199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(81,656)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2,083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487,660</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18,906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18,906</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552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2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Issuance of shares under Employee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color w:val="auto"/>
              </w:rPr>
              <w:t>Purchase Plan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restricted common shares,</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(4,141)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3,377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(323)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(5,827)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(7,531)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Arial" w:cs="Arial" w:eastAsia="Arial" w:hAnsi="Arial"/>
                <w:sz w:val="16"/>
                <w:szCs w:val="16"/>
                <w:color w:val="auto"/>
              </w:rPr>
              <w:t>Balance at June 30, 2021</w:t>
            </w:r>
          </w:p>
        </w:tc>
        <w:tc>
          <w:tcPr>
            <w:tcW w:w="2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33,657</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0" w:type="dxa"/>
            <w:vAlign w:val="bottom"/>
            <w:tcBorders>
              <w:top w:val="single" w:sz="8" w:color="auto"/>
            </w:tcBorders>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561,680</w:t>
            </w:r>
          </w:p>
        </w:tc>
        <w:tc>
          <w:tcPr>
            <w:tcW w:w="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(70,281)</w:t>
            </w:r>
          </w:p>
        </w:tc>
        <w:tc>
          <w:tcPr>
            <w:tcW w:w="40" w:type="dxa"/>
            <w:vAlign w:val="bottom"/>
          </w:tcPr>
          <w:p>
            <w:pPr>
              <w:spacing w:after="0"/>
              <w:rPr>
                <w:sz w:val="17"/>
                <w:szCs w:val="17"/>
                <w:color w:val="auto"/>
              </w:rPr>
            </w:pPr>
          </w:p>
        </w:tc>
        <w:tc>
          <w:tcPr>
            <w:tcW w:w="200" w:type="dxa"/>
            <w:vAlign w:val="bottom"/>
            <w:gridSpan w:val="3"/>
          </w:tcPr>
          <w:p>
            <w:pPr>
              <w:ind w:left="12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2,669</w:t>
            </w:r>
          </w:p>
        </w:tc>
        <w:tc>
          <w:tcPr>
            <w:tcW w:w="6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494,102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35,386</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56,575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settlement on restricted stock grants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Repurchase of 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Principal payments on finance lease obligation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204,232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146,534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220,486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197,016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1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The balance sheet at December 31, 2020 has been derived from the audited consolidated financial statements at that date but does not include all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 Our 2000 Stock Plan (the “2000 Stock Plan”) expired on May 1, 2012 and no new grants may be made under that plan after that date. However, unexpired options granted under the 2000 Stock Plan, which have a 10-year term, remain outstanding and subject to the terms of the 2000 Stock Plan. We also maintain the Axcelis Technologies, Inc. 2020 Employee Stock Purchase Plan (the “2020 ESPP”), an Internal Revenue Code Section 423 plan. The Company’s Employee Stock Purchase Plan, which was effective in June 2000 (the “2000 ESPP”), expired in June 2020.</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2012 Equity Plan is more fully described in Note 13 to the consolidated financial statements in our Annual Report on Form 10-K for the year ended December 31, 2020.</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recognized stock-based compensation expense of $3.4 million and $3.1 million for the three-month periods ended June 30, 2021 and 2020, respectively. We recognized stock-based compensation expense of $5.8 million and $4.8 million for the six-month periods ended June 30, 2021 and 2020, respectively. These amounts include compensation expense related to RSUs, non-qualified stock options and stock to be issued to participants under the 2020 ESPP and 2000 ESPP.</w:t>
      </w:r>
    </w:p>
    <w:p>
      <w:pPr>
        <w:spacing w:after="0" w:line="15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the three-month periods ended June 30, 2021 and 2020, we issued 0.3 million and 0.6 million shares of common stock, respectively, upon stock option exercises, purchases under the employee stock purchase plans and vesting of RSUs. In the three-month periods ended June 30, 2021 and 2020, we received proceeds of $1.1 million and $3.3 million, respectively, in connection with the exercise of stock options and purchases under the employee stock purchase plans.</w:t>
      </w:r>
    </w:p>
    <w:p>
      <w:pPr>
        <w:spacing w:after="0" w:line="15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In the six-month periods ended June 30, 2021 and 2020, we issued 0.7 million and 1.2 million shares of common stock, respectively, upon stock option exercises, purchases under the employee stock purchase plans and vesting of RSUs. In the six-month periods ended June 30, 2021 and 2020, we received proceeds of $3.6 million and $7.8 million, respectively, in connection with the exercise of stock options and purchases under the employee stock purchase plans.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have operating leases for office space, warehouse space, computer and office equipment and vehicles used in our business operations. We have a finance lease as a result of the 2015 sale-leaseback of our corporate headquarters in Beverly, Massachusetts. All new agreements are reviewed to determine if they contain a lease component. A lease is a contract or part of a contract that conveys the right to control the use of identified property, plant or equipment over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are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368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40" w:type="dxa"/>
            <w:vAlign w:val="bottom"/>
          </w:tcPr>
          <w:p>
            <w:pPr>
              <w:spacing w:after="0" w:line="142" w:lineRule="exact"/>
              <w:rPr>
                <w:sz w:val="20"/>
                <w:szCs w:val="20"/>
                <w:color w:val="auto"/>
              </w:rPr>
            </w:pPr>
            <w:r>
              <w:rPr>
                <w:rFonts w:ascii="Arial" w:cs="Arial" w:eastAsia="Arial" w:hAnsi="Arial"/>
                <w:sz w:val="14"/>
                <w:szCs w:val="14"/>
                <w:b w:val="1"/>
                <w:bCs w:val="1"/>
                <w:color w:val="auto"/>
              </w:rPr>
              <w:t>Assets</w:t>
            </w: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3680" w:type="dxa"/>
            <w:vAlign w:val="bottom"/>
            <w:shd w:val="clear" w:color="auto" w:fill="CCEEFF"/>
          </w:tcPr>
          <w:p>
            <w:pPr>
              <w:ind w:left="1820"/>
              <w:spacing w:after="0" w:line="149" w:lineRule="exact"/>
              <w:rPr>
                <w:sz w:val="20"/>
                <w:szCs w:val="20"/>
                <w:color w:val="auto"/>
              </w:rPr>
            </w:pPr>
            <w:r>
              <w:rPr>
                <w:rFonts w:ascii="Arial" w:cs="Arial" w:eastAsia="Arial" w:hAnsi="Arial"/>
                <w:sz w:val="14"/>
                <w:szCs w:val="14"/>
                <w:color w:val="auto"/>
              </w:rPr>
              <w:t>Operating lease assets</w:t>
            </w:r>
          </w:p>
        </w:tc>
        <w:tc>
          <w:tcPr>
            <w:tcW w:w="4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7,626</w:t>
            </w:r>
          </w:p>
        </w:tc>
        <w:tc>
          <w:tcPr>
            <w:tcW w:w="480" w:type="dxa"/>
            <w:vAlign w:val="bottom"/>
            <w:gridSpan w:val="2"/>
            <w:shd w:val="clear" w:color="auto" w:fill="CCEEFF"/>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Finance lease</w:t>
            </w:r>
          </w:p>
        </w:tc>
        <w:tc>
          <w:tcPr>
            <w:tcW w:w="3680" w:type="dxa"/>
            <w:vAlign w:val="bottom"/>
            <w:tcBorders>
              <w:bottom w:val="single" w:sz="8" w:color="CCEEFF"/>
            </w:tcBorders>
          </w:tcPr>
          <w:p>
            <w:pPr>
              <w:ind w:left="1820"/>
              <w:spacing w:after="0" w:line="149" w:lineRule="exact"/>
              <w:rPr>
                <w:sz w:val="20"/>
                <w:szCs w:val="20"/>
                <w:color w:val="auto"/>
              </w:rPr>
            </w:pPr>
            <w:r>
              <w:rPr>
                <w:rFonts w:ascii="Arial" w:cs="Arial" w:eastAsia="Arial" w:hAnsi="Arial"/>
                <w:sz w:val="14"/>
                <w:szCs w:val="14"/>
                <w:color w:val="auto"/>
              </w:rPr>
              <w:t>Finance lease assets *</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19,889</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leased assets</w:t>
            </w:r>
          </w:p>
        </w:tc>
        <w:tc>
          <w:tcPr>
            <w:tcW w:w="36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27,515</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25,086</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60" w:type="dxa"/>
            <w:vAlign w:val="bottom"/>
            <w:gridSpan w:val="2"/>
            <w:vMerge w:val="continue"/>
          </w:tcPr>
          <w:p>
            <w:pPr>
              <w:spacing w:after="0"/>
              <w:rPr>
                <w:sz w:val="11"/>
                <w:szCs w:val="11"/>
                <w:color w:val="auto"/>
              </w:rPr>
            </w:pPr>
          </w:p>
        </w:tc>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w:t>
            </w:r>
          </w:p>
        </w:tc>
        <w:tc>
          <w:tcPr>
            <w:tcW w:w="3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Operating</w:t>
            </w:r>
          </w:p>
        </w:tc>
        <w:tc>
          <w:tcPr>
            <w:tcW w:w="3680" w:type="dxa"/>
            <w:vAlign w:val="bottom"/>
          </w:tcPr>
          <w:p>
            <w:pPr>
              <w:ind w:left="1820"/>
              <w:spacing w:after="0" w:line="149" w:lineRule="exact"/>
              <w:rPr>
                <w:sz w:val="20"/>
                <w:szCs w:val="20"/>
                <w:color w:val="auto"/>
              </w:rPr>
            </w:pPr>
            <w:r>
              <w:rPr>
                <w:rFonts w:ascii="Arial" w:cs="Arial" w:eastAsia="Arial" w:hAnsi="Arial"/>
                <w:sz w:val="14"/>
                <w:szCs w:val="14"/>
                <w:color w:val="auto"/>
              </w:rPr>
              <w:t>Other current liabilities</w:t>
            </w:r>
          </w:p>
        </w:tc>
        <w:tc>
          <w:tcPr>
            <w:tcW w:w="4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3,215</w:t>
            </w:r>
          </w:p>
        </w:tc>
        <w:tc>
          <w:tcPr>
            <w:tcW w:w="48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3680" w:type="dxa"/>
            <w:vAlign w:val="bottom"/>
            <w:shd w:val="clear" w:color="auto" w:fill="CCEEFF"/>
          </w:tcPr>
          <w:p>
            <w:pPr>
              <w:ind w:left="1820"/>
              <w:spacing w:after="0" w:line="130" w:lineRule="exact"/>
              <w:rPr>
                <w:sz w:val="20"/>
                <w:szCs w:val="20"/>
                <w:color w:val="auto"/>
              </w:rPr>
            </w:pPr>
            <w:r>
              <w:rPr>
                <w:rFonts w:ascii="Arial" w:cs="Arial" w:eastAsia="Arial" w:hAnsi="Arial"/>
                <w:sz w:val="14"/>
                <w:szCs w:val="14"/>
                <w:color w:val="auto"/>
                <w:w w:val="94"/>
              </w:rPr>
              <w:t>Current portion of finance lease</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68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obligation</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w:t>
            </w: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3680" w:type="dxa"/>
            <w:vAlign w:val="bottom"/>
            <w:shd w:val="clear" w:color="auto" w:fill="CCEEFF"/>
          </w:tcPr>
          <w:p>
            <w:pPr>
              <w:ind w:left="1820"/>
              <w:spacing w:after="0" w:line="149" w:lineRule="exact"/>
              <w:rPr>
                <w:sz w:val="20"/>
                <w:szCs w:val="20"/>
                <w:color w:val="auto"/>
              </w:rPr>
            </w:pPr>
            <w:r>
              <w:rPr>
                <w:rFonts w:ascii="Arial" w:cs="Arial" w:eastAsia="Arial" w:hAnsi="Arial"/>
                <w:sz w:val="14"/>
                <w:szCs w:val="14"/>
                <w:color w:val="auto"/>
              </w:rPr>
              <w:t>Other long-term liabilities</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4,398</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Finance</w:t>
            </w:r>
          </w:p>
        </w:tc>
        <w:tc>
          <w:tcPr>
            <w:tcW w:w="3680" w:type="dxa"/>
            <w:vAlign w:val="bottom"/>
            <w:tcBorders>
              <w:bottom w:val="single" w:sz="8" w:color="CCEEFF"/>
            </w:tcBorders>
          </w:tcPr>
          <w:p>
            <w:pPr>
              <w:ind w:left="1820"/>
              <w:spacing w:after="0" w:line="149" w:lineRule="exact"/>
              <w:rPr>
                <w:sz w:val="20"/>
                <w:szCs w:val="20"/>
                <w:color w:val="auto"/>
              </w:rPr>
            </w:pPr>
            <w:r>
              <w:rPr>
                <w:rFonts w:ascii="Arial" w:cs="Arial" w:eastAsia="Arial" w:hAnsi="Arial"/>
                <w:sz w:val="14"/>
                <w:szCs w:val="14"/>
                <w:color w:val="auto"/>
              </w:rPr>
              <w:t>Finance lease obligation</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46,923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47,393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lease liabilities</w:t>
            </w:r>
          </w:p>
        </w:tc>
        <w:tc>
          <w:tcPr>
            <w:tcW w:w="36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55,400</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00" w:firstLine="8"/>
        <w:spacing w:after="0" w:line="238"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depreciation of $48.9 million and include $0.7 million of prepaid financing costs as of June 30, 2021. Finance lease assets are recorded net of accumulated depreciation of $48.4 million and include $0.7 million of prepaid financing costs as of December 31, 2020.</w:t>
      </w:r>
    </w:p>
    <w:p>
      <w:pPr>
        <w:spacing w:after="0" w:line="1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All of our operating lease office locations support selling and servicing functions. Operating lease expense, and depreciation and interest expense relating to our finance lease obligation, are recognized within our consolidated statement of operations for the three and six months ended June 30, 2021 and 2020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01"/>
        </w:trPr>
        <w:tc>
          <w:tcPr>
            <w:tcW w:w="2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cost</w:t>
            </w: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6"/>
        </w:trPr>
        <w:tc>
          <w:tcPr>
            <w:tcW w:w="2600" w:type="dxa"/>
            <w:vAlign w:val="bottom"/>
            <w:gridSpan w:val="2"/>
            <w:vMerge w:val="continue"/>
          </w:tcPr>
          <w:p>
            <w:pPr>
              <w:spacing w:after="0"/>
              <w:rPr>
                <w:sz w:val="17"/>
                <w:szCs w:val="17"/>
                <w:color w:val="auto"/>
              </w:rPr>
            </w:pPr>
          </w:p>
        </w:tc>
        <w:tc>
          <w:tcPr>
            <w:tcW w:w="2960" w:type="dxa"/>
            <w:vAlign w:val="bottom"/>
          </w:tcPr>
          <w:p>
            <w:pPr>
              <w:ind w:left="94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Operating lease cost</w:t>
            </w: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Cost of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2960" w:type="dxa"/>
            <w:vAlign w:val="bottom"/>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2960" w:type="dxa"/>
            <w:vAlign w:val="bottom"/>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2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 cost</w:t>
            </w: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0" w:type="dxa"/>
            <w:vAlign w:val="bottom"/>
            <w:gridSpan w:val="2"/>
            <w:vMerge w:val="continue"/>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960" w:type="dxa"/>
            <w:vAlign w:val="bottom"/>
            <w:shd w:val="clear" w:color="auto" w:fill="CCEEFF"/>
          </w:tcPr>
          <w:p>
            <w:pPr>
              <w:ind w:left="940"/>
              <w:spacing w:after="0" w:line="130" w:lineRule="exact"/>
              <w:rPr>
                <w:sz w:val="20"/>
                <w:szCs w:val="20"/>
                <w:color w:val="auto"/>
              </w:rPr>
            </w:pPr>
            <w:r>
              <w:rPr>
                <w:rFonts w:ascii="Arial" w:cs="Arial" w:eastAsia="Arial" w:hAnsi="Arial"/>
                <w:sz w:val="14"/>
                <w:szCs w:val="14"/>
                <w:color w:val="auto"/>
                <w:w w:val="96"/>
              </w:rPr>
              <w:t>Cost of revenue, R&amp;D, Sales and</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marketing and G&amp;A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4"/>
                <w:szCs w:val="14"/>
                <w:color w:val="auto"/>
              </w:rPr>
              <w:t>Interest on lease liabilities</w:t>
            </w:r>
          </w:p>
        </w:tc>
        <w:tc>
          <w:tcPr>
            <w:tcW w:w="2960" w:type="dxa"/>
            <w:vAlign w:val="bottom"/>
          </w:tcPr>
          <w:p>
            <w:pPr>
              <w:ind w:left="94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2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29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5,779</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0" w:firstLine="8"/>
        <w:spacing w:after="0" w:line="238"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Sales and marketing and general and administrative expense also includes short-term lease and variable lease costs of approximately $0.4 million and $0.9 million for the three and six months ended June 30, 2021, respectively, and includes short-term and variable lease costs of approximately $0.3 million and $0.5 million for the three and six months ended June 30, 2020, respectively.</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lease of our corporate headquarters, shown below under finance leases, had an original lease term of 22 years, beginning in January 2015.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 as of June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Finance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8,475</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Arial" w:cs="Arial" w:eastAsia="Arial" w:hAnsi="Arial"/>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(53,141)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(862)</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(54,003)</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Lease term and discount rate</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01"/>
        </w:trPr>
        <w:tc>
          <w:tcPr>
            <w:tcW w:w="7680" w:type="dxa"/>
            <w:vAlign w:val="bottom"/>
            <w:gridSpan w:val="3"/>
            <w:vMerge w:val="continue"/>
          </w:tcPr>
          <w:p>
            <w:pPr>
              <w:spacing w:after="0"/>
              <w:rPr>
                <w:sz w:val="17"/>
                <w:szCs w:val="17"/>
                <w:color w:val="auto"/>
              </w:rPr>
            </w:pP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gridSpan w:val="3"/>
          </w:tcPr>
          <w:p>
            <w:pPr>
              <w:spacing w:after="0"/>
              <w:rPr>
                <w:sz w:val="20"/>
                <w:szCs w:val="20"/>
                <w:color w:val="auto"/>
              </w:rPr>
            </w:pPr>
            <w:r>
              <w:rPr>
                <w:rFonts w:ascii="Arial" w:cs="Arial" w:eastAsia="Arial" w:hAnsi="Arial"/>
                <w:sz w:val="14"/>
                <w:szCs w:val="14"/>
                <w:color w:val="auto"/>
              </w:rPr>
              <w:t>Weighted-average remaining lease term (years):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2"/>
              </w:rPr>
              <w:t>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Arial" w:cs="Arial" w:eastAsia="Arial" w:hAnsi="Arial"/>
                <w:sz w:val="14"/>
                <w:szCs w:val="14"/>
                <w:color w:val="auto"/>
              </w:rPr>
              <w:t>Finance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5"/>
              </w:rPr>
              <w:t>15.6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Arial" w:cs="Arial" w:eastAsia="Arial" w:hAnsi="Arial"/>
                <w:sz w:val="14"/>
                <w:szCs w:val="14"/>
                <w:color w:val="auto"/>
              </w:rPr>
              <w:t>Operating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3"/>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5"/>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payment of principal component. The table below shows our cash outflows, by lease type and related section of our statement of cash flows, as well as the non-cash amount capitalized on our balance sheet in relation to our operating lease right-of-use assets for the six months ending June 30, 2021 and 2020,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01"/>
        </w:trPr>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cash outflows from finance leases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4,192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6"/>
                <w:szCs w:val="16"/>
                <w:color w:val="auto"/>
              </w:rPr>
            </w:pPr>
          </w:p>
        </w:tc>
      </w:tr>
      <w:tr>
        <w:trPr>
          <w:trHeight w:val="201"/>
        </w:trPr>
        <w:tc>
          <w:tcPr>
            <w:tcW w:w="4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100,138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181,129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159,152</w:t>
            </w:r>
          </w:p>
        </w:tc>
      </w:tr>
      <w:tr>
        <w:trPr>
          <w:trHeight w:val="203"/>
        </w:trPr>
        <w:tc>
          <w:tcPr>
            <w:tcW w:w="4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Aftermarket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46,150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98,921</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82,804</w:t>
            </w:r>
          </w:p>
        </w:tc>
      </w:tr>
      <w:tr>
        <w:trPr>
          <w:trHeight w:val="19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147,274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122,965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280,050</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241,956</w:t>
            </w: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60"/>
          </w:cols>
          <w:pgMar w:left="1380" w:top="517" w:right="1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3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2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4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19,712</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19,576</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Asia Pacific</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116,642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106,604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220,033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203,432</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0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20,428</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18,948</w:t>
            </w:r>
          </w:p>
        </w:tc>
      </w:tr>
      <w:tr>
        <w:trPr>
          <w:trHeight w:val="196"/>
        </w:trPr>
        <w:tc>
          <w:tcPr>
            <w:tcW w:w="298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0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147,274</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122,965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280,050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241,956</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46"/>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right"/>
              <w:ind w:right="81"/>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7"/>
              </w:rPr>
              <w:t>Six months ended</w:t>
            </w:r>
          </w:p>
        </w:tc>
      </w:tr>
      <w:tr>
        <w:trPr>
          <w:trHeight w:val="187"/>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29,251</w:t>
            </w:r>
          </w:p>
        </w:tc>
      </w:tr>
      <w:tr>
        <w:trPr>
          <w:trHeight w:val="203"/>
        </w:trPr>
        <w:tc>
          <w:tcPr>
            <w:tcW w:w="20" w:type="dxa"/>
            <w:vAlign w:val="bottom"/>
          </w:tcPr>
          <w:p>
            <w:pPr>
              <w:spacing w:after="0"/>
              <w:rPr>
                <w:sz w:val="17"/>
                <w:szCs w:val="17"/>
                <w:color w:val="auto"/>
              </w:rPr>
            </w:pPr>
          </w:p>
        </w:tc>
        <w:tc>
          <w:tcPr>
            <w:tcW w:w="4020" w:type="dxa"/>
            <w:vAlign w:val="bottom"/>
          </w:tcPr>
          <w:p>
            <w:pPr>
              <w:ind w:left="140"/>
              <w:spacing w:after="0"/>
              <w:rPr>
                <w:sz w:val="20"/>
                <w:szCs w:val="20"/>
                <w:color w:val="auto"/>
              </w:rPr>
            </w:pPr>
            <w:r>
              <w:rPr>
                <w:rFonts w:ascii="Arial" w:cs="Arial" w:eastAsia="Arial" w:hAnsi="Arial"/>
                <w:sz w:val="16"/>
                <w:szCs w:val="16"/>
                <w:color w:val="auto"/>
              </w:rPr>
              <w:t>Deferral of revenue</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30,117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10,724</w:t>
            </w: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deferred revenue</w:t>
            </w:r>
          </w:p>
        </w:tc>
        <w:tc>
          <w:tcPr>
            <w:tcW w:w="1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(9,558)</w:t>
            </w:r>
          </w:p>
        </w:tc>
      </w:tr>
      <w:tr>
        <w:trPr>
          <w:trHeight w:val="196"/>
        </w:trPr>
        <w:tc>
          <w:tcPr>
            <w:tcW w:w="4040" w:type="dxa"/>
            <w:vAlign w:val="bottom"/>
            <w:gridSpan w:val="2"/>
          </w:tcPr>
          <w:p>
            <w:pPr>
              <w:spacing w:after="0"/>
              <w:rPr>
                <w:sz w:val="20"/>
                <w:szCs w:val="20"/>
                <w:color w:val="auto"/>
              </w:rPr>
            </w:pPr>
            <w:r>
              <w:rPr>
                <w:rFonts w:ascii="Arial" w:cs="Arial" w:eastAsia="Arial" w:hAnsi="Arial"/>
                <w:sz w:val="16"/>
                <w:szCs w:val="16"/>
                <w:color w:val="auto"/>
              </w:rPr>
              <w:t>Balance, end of the period</w:t>
            </w:r>
          </w:p>
        </w:tc>
        <w:tc>
          <w:tcPr>
            <w:tcW w:w="17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30,417</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30,417</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majority of our system transactions have payment terms of 90% due upon shipment of the tool and 10% due upon acceptance. Aftermarket transaction payment terms usually provide that payment is due either within 30 or 60 days after the service is provided or parts delivered.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Axcelis maintains an allowance for credit losses, which represent an estimate of expected losses over the remaining contractual life of our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our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Axcelis evaluates the credit risk of the customer when extending credit based on a combination of various financial and qualitative factors that may affect our customers’ ability to pay. These factors may include the customer’s financial condition, past payment experience, and credit bureau report, as well as the value of the underlying collateral.</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performs detailed reviews of Axcelis’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shows changes of the allowances for credit losses related to trade receivables for the three and six months ended June 30, 2021 and 2020,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6"/>
                <w:szCs w:val="16"/>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4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54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7"/>
                <w:szCs w:val="17"/>
                <w:color w:val="auto"/>
              </w:rPr>
            </w:pPr>
          </w:p>
        </w:tc>
      </w:tr>
      <w:tr>
        <w:trPr>
          <w:trHeight w:val="183"/>
        </w:trPr>
        <w:tc>
          <w:tcPr>
            <w:tcW w:w="5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6"/>
                <w:szCs w:val="16"/>
                <w:color w:val="auto"/>
              </w:rPr>
              <w:t>Provision for credit losses</w:t>
            </w:r>
          </w:p>
        </w:tc>
        <w:tc>
          <w:tcPr>
            <w:tcW w:w="5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Charge-offs</w:t>
            </w: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r>
      <w:tr>
        <w:trPr>
          <w:trHeight w:val="216"/>
        </w:trPr>
        <w:tc>
          <w:tcPr>
            <w:tcW w:w="5440" w:type="dxa"/>
            <w:vAlign w:val="bottom"/>
          </w:tcPr>
          <w:p>
            <w:pPr>
              <w:ind w:left="160"/>
              <w:spacing w:after="0"/>
              <w:rPr>
                <w:sz w:val="20"/>
                <w:szCs w:val="20"/>
                <w:color w:val="auto"/>
              </w:rPr>
            </w:pPr>
            <w:r>
              <w:rPr>
                <w:rFonts w:ascii="Arial" w:cs="Arial" w:eastAsia="Arial" w:hAnsi="Arial"/>
                <w:sz w:val="16"/>
                <w:szCs w:val="16"/>
                <w:color w:val="auto"/>
              </w:rPr>
              <w:t>Recoveries</w:t>
            </w:r>
          </w:p>
        </w:tc>
        <w:tc>
          <w:tcPr>
            <w:tcW w:w="5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end of period</w:t>
            </w: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20" w:type="dxa"/>
            <w:vAlign w:val="bottom"/>
            <w:gridSpan w:val="10"/>
          </w:tcPr>
          <w:p>
            <w:pPr>
              <w:jc w:val="right"/>
              <w:ind w:right="260"/>
              <w:spacing w:after="0" w:line="129" w:lineRule="exact"/>
              <w:rPr>
                <w:sz w:val="20"/>
                <w:szCs w:val="20"/>
                <w:color w:val="auto"/>
              </w:rPr>
            </w:pPr>
            <w:r>
              <w:rPr>
                <w:rFonts w:ascii="Arial" w:cs="Arial" w:eastAsia="Arial" w:hAnsi="Arial"/>
                <w:sz w:val="14"/>
                <w:szCs w:val="14"/>
                <w:b w:val="1"/>
                <w:bCs w:val="1"/>
                <w:color w:val="auto"/>
                <w:w w:val="99"/>
              </w:rPr>
              <w:t>(in thousands, except per share amounts)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13,302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35,386</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24,523</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w w:val="96"/>
              </w:rPr>
              <w:t>Weighted average common shares outstanding used in computing basic income per</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color w:val="auto"/>
              </w:rPr>
              <w:t>share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33,677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33,116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33,696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32,998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Incremental options and RSUs</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7"/>
              </w:rPr>
              <w:t>Weighted average common shares used in computing diluted net income per share</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33,958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34,473</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34,023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per share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Diluted weighted average common shares outstanding does not include 1,800 and 3,138 common equivalent shares issuable with respect to outstanding equity awards for the three-month periods ended June 30, 2021 and 2020, respectively, or 1,352 and 5,006 common equivalent shares issuable with respect to outstanding equity awards for the six-month periods ending June 30, 2021 and 2020, respectively, as their effect would have been anti-dilutive.</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Accumulated Other Comprehensive Income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income, net of tax, by component, for the six months ended June 30,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7"/>
              </w:rPr>
              <w:t>Foreign</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Defined benefit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87"/>
              </w:rPr>
              <w:t>pension plan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$ 3,945</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6"/>
                <w:szCs w:val="16"/>
                <w:color w:val="auto"/>
              </w:rPr>
              <w:t>Other comprehensive loss and pension reclassification</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(820)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2021</w:t>
            </w: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$ 3,125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219,731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203,479</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restricted cash</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220,486</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204,232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had $0.8 million in restricted cash representing the total of (i) cash collateral for 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$0.7 million letter of credit relating to workers’ compensation insurance and (ii) a $0.1 million deposit relating to customs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40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109,795</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100,254</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Work in process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33,867</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2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26,955</w:t>
            </w:r>
          </w:p>
        </w:tc>
        <w:tc>
          <w:tcPr>
            <w:tcW w:w="1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226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192,321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161,076</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120"/>
          </w:cols>
          <w:pgMar w:left="1380" w:top="517" w:right="13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230"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Six months ended</w:t>
      </w:r>
    </w:p>
    <w:p>
      <w:pPr>
        <w:jc w:val="center"/>
        <w:ind w:left="71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124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Warranties issued during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2,635</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Settlements made during the period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(1,991)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(end of period)</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Amount classified as current</w:t>
            </w:r>
          </w:p>
        </w:tc>
        <w:tc>
          <w:tcPr>
            <w:tcW w:w="124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Amount classified as long-term</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Fair Value Hierarchy</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23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Fair Value Measurements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money market funds and short-term investments are included in cash and cash equivalents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190,731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190,731</w:t>
            </w:r>
          </w:p>
        </w:tc>
        <w:tc>
          <w:tcPr>
            <w:tcW w:w="100" w:type="dxa"/>
            <w:vAlign w:val="bottom"/>
            <w:shd w:val="clear" w:color="auto" w:fill="CCEEFF"/>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172,119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172,119</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$47.8 million as of June 30, 2021.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reduces our availability under our credit facility, as described in the next paragraph.</w:t>
      </w:r>
    </w:p>
    <w:p>
      <w:pPr>
        <w:spacing w:after="0" w:line="177"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June 30, 2021, we were in compliance with all covenant requirements of the Credit Agreement. As of such date, no borrowings had been made under the Credit Agreement, although a letter of credit for $5.9 million reduces the funds available for borrowing under the credit line. We entered into a First Amendment to the Credit Agreement with Silicon Valley Bank in March 2021 to (i) align the covenants with our 2021 stock repurchase program, and (ii) established terms to transition from a Eurodollar based interest rate option to an interest rate benchmark using a secured overnight financing rate (known as “SOFR”) published by the Federal Reserve Bank of New York.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Income tax expense was $3.8 million for the three months ended June 30, 2021, compared to $2.3 million for the three months ended June 30, 2020. The $1.5 million increase was primarily due to a $7.2 million increase in pretax income. Income tax expense was $5.6 million during the six months ended June 30, 2021, compared with $3.3 million for the six months ended June 30, 2020. The $2.3 million increase was primarily due to a $13.1 million increase in pretax income.</w:t>
      </w:r>
    </w:p>
    <w:p>
      <w:pPr>
        <w:sectPr>
          <w:pgSz w:w="11900" w:h="16838" w:orient="portrait"/>
          <w:cols w:equalWidth="0" w:num="1">
            <w:col w:w="9120"/>
          </w:cols>
          <w:pgMar w:left="1380" w:top="517" w:right="13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effective tax rate for the three and six months ended June 30, 2021 and 2020, respectively, was less than the U.S. statutory rate of 21% due to favorable discrete items related to equity compensation in those periods and Federal research and development tax credits that reduce the annual tax rate.</w:t>
      </w:r>
    </w:p>
    <w:p>
      <w:pPr>
        <w:spacing w:after="0" w:line="18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had $51.4 million and $57.9 million of net deferred tax assets worldwide relating to net operating loss carryforwards, tax credit carryforwards and other temporary differences, as of June 30, 2021 and December 31, 2020, respectively. These deferred tax assets are available to reduce income taxes in future years. We have a $9.1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229"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For the three months ended June 30, 2021, two customers accounted for 19.7% and 10.2% of total revenue, respectively. For the three months ended June 30, 2020, three customers accounted for 22.5%, 22.2% and 11.6% of total revenue, respectively.</w:t>
      </w:r>
    </w:p>
    <w:p>
      <w:pPr>
        <w:spacing w:after="0" w:line="184"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For the six months ended June 30, 2021, one customer accounted for 24.4% of total revenue. For the six months ended June 30, 2020, three customers accounted for 19.7%, 18.5% and 16.2% of total revenue, respectively.</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June 30, 2021, two customers accounted for 11.7% and 10.0% of accounts receivable, respectively. At December 31, 2020, two customers accounted for 23.8% and 11.9% of accounts receivable,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229"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In December 2020, our Board of Directors approved stock repurchases of up to $100 million of our common stock through the end of 2021. During the six months ended June 30, 2021, we purchased 0.6 million shares at an average cost of $39.92 per share. The timing and actual number of shares repurchased under this program will depend on various factors including price, corporate and regulatory requirements, alternative investment opportunities and other market conditions.</w:t>
      </w:r>
    </w:p>
    <w:p>
      <w:pPr>
        <w:spacing w:after="0" w:line="15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Shares repurchased by us are accounted for when the transaction is settled. Shares repurchased and retired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6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Guidance</w:t>
      </w:r>
    </w:p>
    <w:p>
      <w:pPr>
        <w:spacing w:after="0" w:line="198" w:lineRule="exact"/>
        <w:rPr>
          <w:sz w:val="20"/>
          <w:szCs w:val="20"/>
          <w:color w:val="auto"/>
        </w:rPr>
      </w:pPr>
    </w:p>
    <w:p>
      <w:pPr>
        <w:ind w:left="660" w:hanging="42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 2019-12 Income Taxes (Topic 740)</w:t>
      </w:r>
    </w:p>
    <w:p>
      <w:pPr>
        <w:spacing w:after="0" w:line="229" w:lineRule="exact"/>
        <w:rPr>
          <w:sz w:val="20"/>
          <w:szCs w:val="20"/>
          <w:color w:val="auto"/>
        </w:rPr>
      </w:pPr>
    </w:p>
    <w:p>
      <w:pPr>
        <w:ind w:right="99" w:firstLine="648"/>
        <w:spacing w:after="0" w:line="254" w:lineRule="auto"/>
        <w:rPr>
          <w:sz w:val="20"/>
          <w:szCs w:val="20"/>
          <w:color w:val="auto"/>
        </w:rPr>
      </w:pPr>
      <w:r>
        <w:rPr>
          <w:rFonts w:ascii="Arial" w:cs="Arial" w:eastAsia="Arial" w:hAnsi="Arial"/>
          <w:sz w:val="18"/>
          <w:szCs w:val="18"/>
          <w:color w:val="auto"/>
        </w:rPr>
        <w:t>We adopted Financial Accounting Standards Board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as of January 1, 2021 on a prospective basis. The amendments in this ASU simplify the accounting for income taxes by removing certain exceptions from the previous standard as well as requiring entities to include franchise tax partially based on income as an income based tax and to account for an enacted change in tax laws or rates in the annual effective tax rate computation in the interim period that includes the enactment date. The guidance in ASU 2019-12 is required for annual reporting periods beginning after December 15, 2020. Adoption of ASU 2019-12 had no material effect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29">
        <w:r>
          <w:rPr>
            <w:rFonts w:ascii="Arial" w:cs="Arial" w:eastAsia="Arial" w:hAnsi="Arial"/>
            <w:sz w:val="17"/>
            <w:szCs w:val="17"/>
            <w:i w:val="1"/>
            <w:iCs w:val="1"/>
            <w:color w:val="auto"/>
          </w:rPr>
          <w:t xml:space="preserve">Resources" below and under “Risk Factors” in Part I, Item 1A to our </w:t>
        </w:r>
        <w:r>
          <w:rPr>
            <w:rFonts w:ascii="Arial" w:cs="Arial" w:eastAsia="Arial" w:hAnsi="Arial"/>
            <w:sz w:val="17"/>
            <w:szCs w:val="17"/>
            <w:i w:val="1"/>
            <w:iCs w:val="1"/>
            <w:u w:val="single" w:color="auto"/>
            <w:color w:val="0000EE"/>
          </w:rPr>
          <w:t>annual report on Form 10-K for the year ended</w:t>
        </w:r>
      </w:hyperlink>
      <w:r>
        <w:rPr>
          <w:rFonts w:ascii="Arial" w:cs="Arial" w:eastAsia="Arial" w:hAnsi="Arial"/>
          <w:sz w:val="17"/>
          <w:szCs w:val="17"/>
          <w:i w:val="1"/>
          <w:iCs w:val="1"/>
          <w:color w:val="auto"/>
        </w:rPr>
        <w:t xml:space="preserve"> </w:t>
      </w:r>
      <w:hyperlink r:id="rId29">
        <w:r>
          <w:rPr>
            <w:rFonts w:ascii="Arial" w:cs="Arial" w:eastAsia="Arial" w:hAnsi="Arial"/>
            <w:sz w:val="17"/>
            <w:szCs w:val="17"/>
            <w:i w:val="1"/>
            <w:iCs w:val="1"/>
            <w:u w:val="single" w:color="auto"/>
            <w:color w:val="0000EE"/>
          </w:rPr>
          <w:t>December 31, 2020</w:t>
        </w:r>
        <w:r>
          <w:rPr>
            <w:rFonts w:ascii="Arial" w:cs="Arial" w:eastAsia="Arial" w:hAnsi="Arial"/>
            <w:sz w:val="17"/>
            <w:szCs w:val="17"/>
            <w:i w:val="1"/>
            <w:iCs w:val="1"/>
            <w:color w:val="000000"/>
          </w:rPr>
          <w:t xml:space="preserve">, which discussion is incorporated herein by reference. Readers are cautioned not to place undue </w:t>
        </w:r>
      </w:hyperlink>
      <w:r>
        <w:rPr>
          <w:rFonts w:ascii="Arial" w:cs="Arial" w:eastAsia="Arial" w:hAnsi="Arial"/>
          <w:sz w:val="17"/>
          <w:szCs w:val="17"/>
          <w:i w:val="1"/>
          <w:iCs w:val="1"/>
          <w:color w:val="0000EE"/>
        </w:rPr>
        <w:t xml:space="preserve">reliance </w:t>
      </w:r>
      <w:r>
        <w:rPr>
          <w:rFonts w:ascii="Arial" w:cs="Arial" w:eastAsia="Arial" w:hAnsi="Arial"/>
          <w:sz w:val="17"/>
          <w:szCs w:val="17"/>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although we are adding additional manufacturing capacity in South Korea that should come online by year end 2021.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71.1% of total revenue for the six months ended June 30, 2021.</w:t>
      </w:r>
    </w:p>
    <w:p>
      <w:pPr>
        <w:spacing w:after="0" w:line="16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the first half of 2021, we delivered strong financial performance driven by strong semiconductor industry fundamentals and an increasing demand for our Purion products, especially in the high growth power device market. The rapid acceleration of the electrification of the automotive industry is creating substantial demand for power devices and image sensors, which is driving sustainable growth for the Purion product extensions specifically developed for these markets.</w:t>
      </w:r>
    </w:p>
    <w:p>
      <w:pPr>
        <w:spacing w:after="0" w:line="15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Despite the many difficult logistical challenges brought on by trade tensions between the United States and China and COVID-19, we are continuing to work closely with our customers across market segments to provide them with the best ion implant solutions for their specific manufacturing challenges.</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December 2020, the United States Commerce Department placed one of our major Chinese customers, Semiconductor Manufacturing International Corporation (“SMIC”), on the U.S. export controls Entity List. As a result of the Entity List classification, we are required to obtain export controls licenses for all U.S. shipments to this customer. Although we have begun receiving these licenses, this situation did delay some shipments to this customer in the first half of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2020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648"/>
        <w:spacing w:after="0" w:line="287"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40" w:type="dxa"/>
            <w:vAlign w:val="bottom"/>
            <w:gridSpan w:val="5"/>
          </w:tcPr>
          <w:p>
            <w:pPr>
              <w:jc w:val="center"/>
              <w:ind w:right="379"/>
              <w:spacing w:after="0"/>
              <w:rPr>
                <w:sz w:val="20"/>
                <w:szCs w:val="20"/>
                <w:color w:val="auto"/>
              </w:rPr>
            </w:pPr>
            <w:r>
              <w:rPr>
                <w:rFonts w:ascii="Arial" w:cs="Arial" w:eastAsia="Arial" w:hAnsi="Arial"/>
                <w:sz w:val="14"/>
                <w:szCs w:val="14"/>
                <w:b w:val="1"/>
                <w:bCs w:val="1"/>
                <w:color w:val="auto"/>
                <w:w w:val="91"/>
              </w:rPr>
              <w:t>Three months ended</w:t>
            </w:r>
          </w:p>
        </w:tc>
        <w:tc>
          <w:tcPr>
            <w:tcW w:w="2020" w:type="dxa"/>
            <w:vAlign w:val="bottom"/>
            <w:gridSpan w:val="5"/>
          </w:tcPr>
          <w:p>
            <w:pPr>
              <w:jc w:val="center"/>
              <w:ind w:right="319"/>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506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2020</w:t>
            </w: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2020</w:t>
            </w:r>
          </w:p>
        </w:tc>
        <w:tc>
          <w:tcPr>
            <w:tcW w:w="42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95.2 %</w:t>
            </w:r>
          </w:p>
        </w:tc>
        <w:tc>
          <w:tcPr>
            <w:tcW w:w="180" w:type="dxa"/>
            <w:vAlign w:val="bottom"/>
          </w:tcPr>
          <w:p>
            <w:pPr>
              <w:spacing w:after="0"/>
              <w:rPr>
                <w:sz w:val="18"/>
                <w:szCs w:val="18"/>
                <w:color w:val="auto"/>
              </w:rPr>
            </w:pP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95.3 %</w:t>
            </w:r>
          </w:p>
        </w:tc>
        <w:tc>
          <w:tcPr>
            <w:tcW w:w="920" w:type="dxa"/>
            <w:vAlign w:val="bottom"/>
            <w:gridSpan w:val="2"/>
          </w:tcPr>
          <w:p>
            <w:pPr>
              <w:jc w:val="right"/>
              <w:ind w:right="24"/>
              <w:spacing w:after="0"/>
              <w:rPr>
                <w:sz w:val="20"/>
                <w:szCs w:val="20"/>
                <w:color w:val="auto"/>
              </w:rPr>
            </w:pPr>
            <w:r>
              <w:rPr>
                <w:rFonts w:ascii="Arial" w:cs="Arial" w:eastAsia="Arial" w:hAnsi="Arial"/>
                <w:sz w:val="16"/>
                <w:szCs w:val="16"/>
                <w:color w:val="auto"/>
              </w:rPr>
              <w:t>95.3 %</w:t>
            </w:r>
          </w:p>
        </w:tc>
        <w:tc>
          <w:tcPr>
            <w:tcW w:w="180" w:type="dxa"/>
            <w:vAlign w:val="bottom"/>
          </w:tcPr>
          <w:p>
            <w:pPr>
              <w:spacing w:after="0"/>
              <w:rPr>
                <w:sz w:val="18"/>
                <w:szCs w:val="18"/>
                <w:color w:val="auto"/>
              </w:rPr>
            </w:pPr>
          </w:p>
        </w:tc>
        <w:tc>
          <w:tcPr>
            <w:tcW w:w="920" w:type="dxa"/>
            <w:vAlign w:val="bottom"/>
            <w:gridSpan w:val="2"/>
          </w:tcPr>
          <w:p>
            <w:pPr>
              <w:jc w:val="right"/>
              <w:ind w:right="199"/>
              <w:spacing w:after="0"/>
              <w:rPr>
                <w:sz w:val="20"/>
                <w:szCs w:val="20"/>
                <w:color w:val="auto"/>
              </w:rPr>
            </w:pPr>
            <w:r>
              <w:rPr>
                <w:rFonts w:ascii="Arial" w:cs="Arial" w:eastAsia="Arial" w:hAnsi="Arial"/>
                <w:sz w:val="16"/>
                <w:szCs w:val="16"/>
                <w:color w:val="auto"/>
              </w:rPr>
              <w:t>94.8 %</w:t>
            </w: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680" w:type="dxa"/>
            <w:vAlign w:val="bottom"/>
          </w:tcPr>
          <w:p>
            <w:pPr>
              <w:jc w:val="right"/>
              <w:spacing w:after="0"/>
              <w:rPr>
                <w:sz w:val="20"/>
                <w:szCs w:val="20"/>
                <w:color w:val="auto"/>
              </w:rPr>
            </w:pPr>
            <w:r>
              <w:rPr>
                <w:rFonts w:ascii="Arial" w:cs="Arial" w:eastAsia="Arial" w:hAnsi="Arial"/>
                <w:sz w:val="16"/>
                <w:szCs w:val="16"/>
                <w:color w:val="auto"/>
              </w:rPr>
              <w:t>52.1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53.3</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54.8</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56.6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57.8</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59.7</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68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Other (expense)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8"/>
                <w:szCs w:val="18"/>
                <w:color w:val="auto"/>
              </w:rPr>
            </w:pPr>
          </w:p>
        </w:tc>
        <w:tc>
          <w:tcPr>
            <w:tcW w:w="960" w:type="dxa"/>
            <w:vAlign w:val="bottom"/>
            <w:gridSpan w:val="2"/>
          </w:tcPr>
          <w:p>
            <w:pPr>
              <w:jc w:val="right"/>
              <w:ind w:right="379"/>
              <w:spacing w:after="0"/>
              <w:rPr>
                <w:sz w:val="20"/>
                <w:szCs w:val="20"/>
                <w:color w:val="auto"/>
              </w:rPr>
            </w:pPr>
            <w:r>
              <w:rPr>
                <w:rFonts w:ascii="Arial" w:cs="Arial" w:eastAsia="Arial" w:hAnsi="Arial"/>
                <w:sz w:val="16"/>
                <w:szCs w:val="16"/>
                <w:color w:val="auto"/>
              </w:rPr>
              <w:t>(1.1)</w:t>
            </w:r>
          </w:p>
        </w:tc>
        <w:tc>
          <w:tcPr>
            <w:tcW w:w="920" w:type="dxa"/>
            <w:vAlign w:val="bottom"/>
            <w:gridSpan w:val="2"/>
          </w:tcPr>
          <w:p>
            <w:pPr>
              <w:jc w:val="right"/>
              <w:ind w:right="144"/>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8"/>
                <w:szCs w:val="18"/>
                <w:color w:val="auto"/>
              </w:rPr>
            </w:pPr>
          </w:p>
        </w:tc>
        <w:tc>
          <w:tcPr>
            <w:tcW w:w="920" w:type="dxa"/>
            <w:vAlign w:val="bottom"/>
            <w:gridSpan w:val="2"/>
          </w:tcPr>
          <w:p>
            <w:pPr>
              <w:jc w:val="right"/>
              <w:ind w:right="319"/>
              <w:spacing w:after="0"/>
              <w:rPr>
                <w:sz w:val="20"/>
                <w:szCs w:val="20"/>
                <w:color w:val="auto"/>
              </w:rPr>
            </w:pPr>
            <w:r>
              <w:rPr>
                <w:rFonts w:ascii="Arial" w:cs="Arial" w:eastAsia="Arial" w:hAnsi="Arial"/>
                <w:sz w:val="16"/>
                <w:szCs w:val="16"/>
                <w:color w:val="auto"/>
              </w:rPr>
              <w:t>(1.1)</w:t>
            </w: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(0.4)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(0.1)</w:t>
            </w:r>
          </w:p>
        </w:tc>
      </w:tr>
      <w:tr>
        <w:trPr>
          <w:trHeight w:val="196"/>
        </w:trPr>
        <w:tc>
          <w:tcPr>
            <w:tcW w:w="5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4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CCEEFF"/>
            </w:tcBorders>
          </w:tcPr>
          <w:p>
            <w:pPr>
              <w:spacing w:after="0"/>
              <w:rPr>
                <w:sz w:val="18"/>
                <w:szCs w:val="18"/>
                <w:color w:val="auto"/>
              </w:rPr>
            </w:pPr>
          </w:p>
        </w:tc>
      </w:tr>
      <w:tr>
        <w:trPr>
          <w:trHeight w:val="199"/>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4"/>
              </w:rPr>
              <w:t>%</w:t>
            </w: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4"/>
              </w:rPr>
              <w:t>%</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Period-to-Period</w:t>
            </w: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Period-to-Period</w:t>
            </w: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800" w:type="dxa"/>
            <w:vAlign w:val="bottom"/>
            <w:gridSpan w:val="3"/>
          </w:tcPr>
          <w:p>
            <w:pPr>
              <w:jc w:val="center"/>
              <w:ind w:left="266"/>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left="184"/>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7"/>
              </w:rPr>
              <w:t>(dollars in thousands)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6"/>
                <w:szCs w:val="16"/>
                <w:color w:val="auto"/>
              </w:rPr>
              <w:t>Product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$ 140,156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$ 117,194</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xml:space="preserve">$ </w:t>
            </w:r>
            <w:r>
              <w:rPr>
                <w:rFonts w:ascii="Arial" w:cs="Arial" w:eastAsia="Arial" w:hAnsi="Arial"/>
                <w:sz w:val="16"/>
                <w:szCs w:val="16"/>
                <w:i w:val="1"/>
                <w:iCs w:val="1"/>
                <w:color w:val="auto"/>
                <w:w w:val="96"/>
              </w:rPr>
              <w:t>22,962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19.6 % </w:t>
            </w:r>
            <w:r>
              <w:rPr>
                <w:rFonts w:ascii="Arial" w:cs="Arial" w:eastAsia="Arial" w:hAnsi="Arial"/>
                <w:sz w:val="16"/>
                <w:szCs w:val="16"/>
                <w:color w:val="auto"/>
                <w:w w:val="95"/>
              </w:rPr>
              <w:t>$ 266,765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$ 229,327</w:t>
            </w:r>
          </w:p>
        </w:tc>
        <w:tc>
          <w:tcPr>
            <w:tcW w:w="20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37,438</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16.3 %</w:t>
            </w:r>
          </w:p>
        </w:tc>
      </w:tr>
      <w:tr>
        <w:trPr>
          <w:trHeight w:val="219"/>
        </w:trPr>
        <w:tc>
          <w:tcPr>
            <w:tcW w:w="20" w:type="dxa"/>
            <w:vAlign w:val="bottom"/>
          </w:tcPr>
          <w:p>
            <w:pPr>
              <w:spacing w:after="0"/>
              <w:rPr>
                <w:sz w:val="19"/>
                <w:szCs w:val="19"/>
                <w:color w:val="auto"/>
              </w:rPr>
            </w:pPr>
          </w:p>
        </w:tc>
        <w:tc>
          <w:tcPr>
            <w:tcW w:w="202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95.2 %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95.3 %</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95.3 %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94.8 %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6"/>
                <w:szCs w:val="16"/>
                <w:color w:val="auto"/>
              </w:rPr>
              <w:t>Services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7,118</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5,771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i w:val="1"/>
                <w:iCs w:val="1"/>
                <w:color w:val="auto"/>
              </w:rPr>
              <w:t>1,347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w w:val="92"/>
              </w:rPr>
              <w:t>23.3 %</w:t>
            </w:r>
          </w:p>
        </w:tc>
        <w:tc>
          <w:tcPr>
            <w:tcW w:w="720" w:type="dxa"/>
            <w:vAlign w:val="bottom"/>
          </w:tcPr>
          <w:p>
            <w:pPr>
              <w:jc w:val="right"/>
              <w:spacing w:after="0"/>
              <w:rPr>
                <w:sz w:val="20"/>
                <w:szCs w:val="20"/>
                <w:color w:val="auto"/>
              </w:rPr>
            </w:pPr>
            <w:r>
              <w:rPr>
                <w:rFonts w:ascii="Arial" w:cs="Arial" w:eastAsia="Arial" w:hAnsi="Arial"/>
                <w:sz w:val="16"/>
                <w:szCs w:val="16"/>
                <w:color w:val="auto"/>
              </w:rPr>
              <w:t>13,285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12,629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656</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5.2 %</w:t>
            </w:r>
          </w:p>
        </w:tc>
      </w:tr>
      <w:tr>
        <w:trPr>
          <w:trHeight w:val="219"/>
        </w:trPr>
        <w:tc>
          <w:tcPr>
            <w:tcW w:w="20" w:type="dxa"/>
            <w:vAlign w:val="bottom"/>
          </w:tcPr>
          <w:p>
            <w:pPr>
              <w:spacing w:after="0"/>
              <w:rPr>
                <w:sz w:val="19"/>
                <w:szCs w:val="19"/>
                <w:color w:val="auto"/>
              </w:rPr>
            </w:pPr>
          </w:p>
        </w:tc>
        <w:tc>
          <w:tcPr>
            <w:tcW w:w="202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4.8 %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4.7 %</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4.7 %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5.2 %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02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2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$ 147,274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$ 122,965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$ 24,309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w w:val="92"/>
              </w:rPr>
              <w:t>19.8 %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$ 280,050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$ 241,956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38,094</w:t>
            </w: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 xml:space="preserve">15.7 </w:t>
            </w: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Compared with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revenue, which includes systems sales, sales of spare parts, product upgrades and used systems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$140.2 million, or 95.2% of revenue during the three months ended June 30, 2021, compared with $117.2 million, or 95.3%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for the three months ended June 30, 2020. The $23.0 million increase in product revenue for the three-month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ending June 30, 2021, in comparison to the same period in 2020, was primarily driven by an increase in the number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systems sold.</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portion of our revenue from systems sales is deferred until installation and other services related to future performance obligations are performed. The total amount of deferred revenue at June 30, 2021 and December 31, 2020 was $35.5 million and $23.1 million, respectively. The increase in deferred revenue was primarily due to customer prepayments for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Services revenue, which includes the labor component of maintenance and service contracts and fees for service hours provided by on-site service personnel, was $7.1 million, or 4.8% of revenue for the three months ended June 30, 2021, compared with $5.8 million, or 4.7% of revenue for the three months ended June 30, 2020.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Compared with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Product revenue was $266.8 million, or 95.3% of revenue during the six months ended June 30, 2021, compared with $229.3 million, or 94.8% of revenue for the six months ended June 30, 2020. The $37.4 million increase in product revenue for the six-month period ending June 30, 2021, in comparison to the same period in 2020, was primarily driven by an increase in the number of systems sold and to a lesser extent revenue increases in spare parts, product upgrades and used systems.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Services revenue was $13.3 million, or 4.7% of revenue for the six months ended June 30, 2021, compared with $12.6 million, or 5.2% of revenue for the six months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20" w:right="540" w:hanging="316"/>
        <w:spacing w:after="0" w:line="308" w:lineRule="auto"/>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Ion implant revenue separate from revenue from legacy non-ion implant product lines, given that ion implantation systems are the primary driver of our growth and strategic objectives;</w:t>
      </w:r>
    </w:p>
    <w:p>
      <w:pPr>
        <w:spacing w:after="0" w:line="146" w:lineRule="exact"/>
        <w:rPr>
          <w:rFonts w:ascii="Arial" w:cs="Arial" w:eastAsia="Arial" w:hAnsi="Arial"/>
          <w:sz w:val="17"/>
          <w:szCs w:val="17"/>
          <w:color w:val="auto"/>
        </w:rPr>
      </w:pPr>
    </w:p>
    <w:p>
      <w:pPr>
        <w:ind w:left="1320" w:hanging="31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80" w:right="420" w:hanging="328"/>
        <w:spacing w:after="0" w:line="250" w:lineRule="auto"/>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20" w:right="20" w:hanging="316"/>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20" w:right="300" w:hanging="316"/>
        <w:spacing w:after="0" w:line="279"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technology processes and leading edge foundry and logic.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ion implant and Aftermarket revenue categories for recent periods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Compared with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Included in total revenue of $147.3 million during the three months ended June 30, 2021 is revenue from sales of ion implant products and services of $142.9 million, or 97.0% of total revenue, compared with $118.7 million, or 96.6%, of total revenue for the three months ended June 30, 2020. The remaining $4.4 million of revenue for the three months ended June 30, 2021 was non-ion implant parts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Included in total revenue of $147.3 million during the three months ended June 30, 2021 is revenue from our Aftermarket business of $47.1 million, compared to $46.2 million for the three months ended June 30, 2020. The remaining $100.2 million of revenue for the three months ended June 30, 2021 was from system sales.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Compared with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Included in total revenue of $280.1 million during the six months ended June 30, 2021 is revenue from sales of ion implant products and services of $271.6 million, or 97.0% of total revenue, compared with $233.8 million, or 96.6%, of total revenue for the six months ended June 30, 2020. The remaining $8.5 million of revenue for the six months ended June 30, 2021 was non-ion implant parts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Included in total revenue of $280.1 million during the six months ended June 30, 2021 is revenue from our Aftermarket business of $98.9 million, compared to $82.8 million for the six months ended June 30, 2020. The remaining $181.2 million of revenue for the six months ended June 30, 2021 was from system sales.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384"/>
              <w:spacing w:after="0"/>
              <w:rPr>
                <w:sz w:val="20"/>
                <w:szCs w:val="20"/>
                <w:color w:val="auto"/>
              </w:rPr>
            </w:pPr>
            <w:r>
              <w:rPr>
                <w:rFonts w:ascii="Arial" w:cs="Arial" w:eastAsia="Arial" w:hAnsi="Arial"/>
                <w:sz w:val="14"/>
                <w:szCs w:val="14"/>
                <w:b w:val="1"/>
                <w:bCs w:val="1"/>
                <w:color w:val="auto"/>
                <w:w w:val="94"/>
              </w:rPr>
              <w:t>Three months ended</w:t>
            </w:r>
          </w:p>
        </w:tc>
        <w:tc>
          <w:tcPr>
            <w:tcW w:w="40" w:type="dxa"/>
            <w:vAlign w:val="bottom"/>
          </w:tcPr>
          <w:p>
            <w:pPr>
              <w:spacing w:after="0"/>
              <w:rPr>
                <w:sz w:val="14"/>
                <w:szCs w:val="14"/>
                <w:color w:val="auto"/>
              </w:rPr>
            </w:pPr>
          </w:p>
        </w:tc>
        <w:tc>
          <w:tcPr>
            <w:tcW w:w="15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Period-to-Period</w:t>
            </w:r>
          </w:p>
        </w:tc>
        <w:tc>
          <w:tcPr>
            <w:tcW w:w="80" w:type="dxa"/>
            <w:vAlign w:val="bottom"/>
          </w:tcPr>
          <w:p>
            <w:pPr>
              <w:spacing w:after="0"/>
              <w:rPr>
                <w:sz w:val="14"/>
                <w:szCs w:val="14"/>
                <w:color w:val="auto"/>
              </w:rPr>
            </w:pPr>
          </w:p>
        </w:tc>
        <w:tc>
          <w:tcPr>
            <w:tcW w:w="1720" w:type="dxa"/>
            <w:vAlign w:val="bottom"/>
            <w:gridSpan w:val="7"/>
          </w:tcPr>
          <w:p>
            <w:pPr>
              <w:jc w:val="center"/>
              <w:ind w:right="199"/>
              <w:spacing w:after="0"/>
              <w:rPr>
                <w:sz w:val="20"/>
                <w:szCs w:val="20"/>
                <w:color w:val="auto"/>
              </w:rPr>
            </w:pPr>
            <w:r>
              <w:rPr>
                <w:rFonts w:ascii="Arial" w:cs="Arial" w:eastAsia="Arial" w:hAnsi="Arial"/>
                <w:sz w:val="14"/>
                <w:szCs w:val="14"/>
                <w:b w:val="1"/>
                <w:bCs w:val="1"/>
                <w:color w:val="auto"/>
                <w:w w:val="89"/>
              </w:rPr>
              <w:t>Six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00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3"/>
              <w:spacing w:after="0" w:line="119"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01"/>
              <w:spacing w:after="0" w:line="119"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ind w:right="227"/>
              <w:spacing w:after="0" w:line="11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64"/>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03"/>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(dollars</w:t>
            </w:r>
          </w:p>
        </w:tc>
        <w:tc>
          <w:tcPr>
            <w:tcW w:w="300" w:type="dxa"/>
            <w:vAlign w:val="bottom"/>
            <w:gridSpan w:val="2"/>
            <w:vMerge w:val="continue"/>
          </w:tcPr>
          <w:p>
            <w:pPr>
              <w:spacing w:after="0"/>
              <w:rPr>
                <w:sz w:val="11"/>
                <w:szCs w:val="11"/>
                <w:color w:val="auto"/>
              </w:rPr>
            </w:pPr>
          </w:p>
        </w:tc>
        <w:tc>
          <w:tcPr>
            <w:tcW w:w="6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6"/>
                <w:szCs w:val="16"/>
                <w:color w:val="auto"/>
              </w:rPr>
              <w:t>Product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63,468</w:t>
            </w:r>
          </w:p>
        </w:tc>
        <w:tc>
          <w:tcPr>
            <w:tcW w:w="180" w:type="dxa"/>
            <w:vAlign w:val="bottom"/>
          </w:tcPr>
          <w:p>
            <w:pPr>
              <w:spacing w:after="0"/>
              <w:rPr>
                <w:sz w:val="18"/>
                <w:szCs w:val="18"/>
                <w:color w:val="auto"/>
              </w:rPr>
            </w:pPr>
          </w:p>
        </w:tc>
        <w:tc>
          <w:tcPr>
            <w:tcW w:w="2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51,675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$ 11,793</w:t>
            </w:r>
          </w:p>
        </w:tc>
        <w:tc>
          <w:tcPr>
            <w:tcW w:w="1600" w:type="dxa"/>
            <w:vAlign w:val="bottom"/>
            <w:gridSpan w:val="5"/>
          </w:tcPr>
          <w:p>
            <w:pPr>
              <w:jc w:val="right"/>
              <w:spacing w:after="0"/>
              <w:rPr>
                <w:sz w:val="20"/>
                <w:szCs w:val="20"/>
                <w:color w:val="auto"/>
              </w:rPr>
            </w:pPr>
            <w:r>
              <w:rPr>
                <w:rFonts w:ascii="Arial" w:cs="Arial" w:eastAsia="Arial" w:hAnsi="Arial"/>
                <w:sz w:val="16"/>
                <w:szCs w:val="16"/>
                <w:i w:val="1"/>
                <w:iCs w:val="1"/>
                <w:color w:val="auto"/>
              </w:rPr>
              <w:t xml:space="preserve">22.8 % </w:t>
            </w:r>
            <w:r>
              <w:rPr>
                <w:rFonts w:ascii="Arial" w:cs="Arial" w:eastAsia="Arial" w:hAnsi="Arial"/>
                <w:sz w:val="16"/>
                <w:szCs w:val="16"/>
                <w:color w:val="auto"/>
              </w:rPr>
              <w:t>$ 119,743</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96,636</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 xml:space="preserve">23.9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w w:val="99"/>
              </w:rPr>
              <w:t>Product gross margin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45.3 %</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44.1 %</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44.9 %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42.1 %</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8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(143.8)%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(13.1)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6"/>
                <w:szCs w:val="16"/>
                <w:i w:val="1"/>
                <w:iCs w:val="1"/>
                <w:color w:val="auto"/>
                <w:w w:val="96"/>
              </w:rPr>
              <w:t>Services gross margin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i w:val="1"/>
                <w:iCs w:val="1"/>
                <w:color w:val="auto"/>
              </w:rPr>
              <w:t>7.7 %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i w:val="1"/>
                <w:iCs w:val="1"/>
                <w:color w:val="auto"/>
              </w:rPr>
              <w:t>3.9 %</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i w:val="1"/>
                <w:iCs w:val="1"/>
                <w:color w:val="auto"/>
              </w:rPr>
              <w:t>5.3 %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i w:val="1"/>
                <w:iCs w:val="1"/>
                <w:color w:val="auto"/>
              </w:rPr>
              <w:t>6.4 %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64,014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$ 12,115</w:t>
            </w:r>
          </w:p>
        </w:tc>
        <w:tc>
          <w:tcPr>
            <w:tcW w:w="880" w:type="dxa"/>
            <w:vAlign w:val="bottom"/>
            <w:tcBorders>
              <w:top w:val="single" w:sz="8" w:color="CCEEFF"/>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23.3 %</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$ 120,449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97,448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23.6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43.4</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42.2</w:t>
            </w: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i w:val="1"/>
                <w:iCs w:val="1"/>
                <w:color w:val="auto"/>
              </w:rPr>
              <w:t>43.0</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i w:val="1"/>
                <w:iCs w:val="1"/>
                <w:color w:val="auto"/>
              </w:rPr>
              <w:t>40.3</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Compared with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Gross margin from product revenue was 45.3% for the three months ended June 30, 2021, compared to 44.1% for the three months ended June 30, 2020. The increase resulted from improved gross margins on parts and upgrades and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Gross margin from services revenue was 7.7% for the three months ended June 30, 2021, compared to 3.9% for the three months ended June 30, 2020. The increase in gross margin is attributable to changes in the mix of service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Compared with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Gross margin from product revenue was 44.9% for the six months ended June 30, 2021, compared to 42.1% for the six months ended June 30, 2020. The increase in gross margin resulted from an increased mix of higher margin parts and upgrades and improved margins on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Gross margin from services revenue was 5.3% for the six months ended June 30, 2021, compared to 6.4% for the six months ended June 30, 2020. The decrease in gross margin is attributable to changes in the mix of service contracts.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580" w:type="dxa"/>
            <w:vAlign w:val="bottom"/>
            <w:gridSpan w:val="6"/>
          </w:tcPr>
          <w:p>
            <w:pPr>
              <w:jc w:val="center"/>
              <w:ind w:right="348"/>
              <w:spacing w:after="0"/>
              <w:rPr>
                <w:sz w:val="20"/>
                <w:szCs w:val="20"/>
                <w:color w:val="auto"/>
              </w:rPr>
            </w:pPr>
            <w:r>
              <w:rPr>
                <w:rFonts w:ascii="Arial" w:cs="Arial" w:eastAsia="Arial" w:hAnsi="Arial"/>
                <w:sz w:val="14"/>
                <w:szCs w:val="14"/>
                <w:b w:val="1"/>
                <w:bCs w:val="1"/>
                <w:color w:val="auto"/>
                <w:w w:val="94"/>
              </w:rPr>
              <w:t>Period-to-Period</w:t>
            </w:r>
          </w:p>
        </w:tc>
        <w:tc>
          <w:tcPr>
            <w:tcW w:w="154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w w:val="94"/>
              </w:rPr>
              <w:t>Six months ended</w:t>
            </w:r>
          </w:p>
        </w:tc>
        <w:tc>
          <w:tcPr>
            <w:tcW w:w="16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7"/>
              </w:rPr>
              <w:t>Change</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(dollars</w:t>
            </w:r>
          </w:p>
        </w:tc>
        <w:tc>
          <w:tcPr>
            <w:tcW w:w="180" w:type="dxa"/>
            <w:vAlign w:val="bottom"/>
            <w:vMerge w:val="continue"/>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16,623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16,040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3.6 </w:t>
            </w:r>
            <w:r>
              <w:rPr>
                <w:rFonts w:ascii="Arial" w:cs="Arial" w:eastAsia="Arial" w:hAnsi="Arial"/>
                <w:sz w:val="14"/>
                <w:szCs w:val="14"/>
                <w:color w:val="auto"/>
              </w:rPr>
              <w:t>% $</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32,308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30,646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1,662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5.4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11.3 %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13.0 %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11.5 %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12.7 %</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29.0 </w:t>
            </w: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22,564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17,641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4,923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27.9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8.3 %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7.7 %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8.1 %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7.3 %</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11,217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10,041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11.7 </w:t>
            </w: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19,077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2,153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11.3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7.6 %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8.2 %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7.6 %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7.9 %</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40,017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35,518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 xml:space="preserve">12.7 </w:t>
            </w: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76,102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67,364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8,738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i w:val="1"/>
                <w:iCs w:val="1"/>
                <w:color w:val="auto"/>
              </w:rPr>
              <w:t xml:space="preserve">13.0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27.2</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28.9</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27.2</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27.9</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incentive 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Personnel costs are our largest expense, representing $25.4 million or 63.5% of our total operating expenses for the three months ended June 30, 2021, compared to $22.8 million or 64.3% of our total operating expenses for the three months ended June 30, 2020. Personnel costs were $47.5 million or 62.4% of our total operating expenses for the six months ended June 30, 2021, compared to $42.8 million or 63.5% of our total operating expenses for the six months ended June 30, 2020. The higher personnel costs for the three and six months ended June 30, 2021 is primarily due to an increase in personnel expenses to support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Period-to-Period</w:t>
            </w: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160" w:type="dxa"/>
            <w:vAlign w:val="bottom"/>
          </w:tcPr>
          <w:p>
            <w:pPr>
              <w:spacing w:after="0"/>
              <w:rPr>
                <w:sz w:val="14"/>
                <w:szCs w:val="14"/>
                <w:color w:val="auto"/>
              </w:rPr>
            </w:pPr>
          </w:p>
        </w:tc>
        <w:tc>
          <w:tcPr>
            <w:tcW w:w="1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26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209"/>
        </w:trPr>
        <w:tc>
          <w:tcPr>
            <w:tcW w:w="266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7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r>
      <w:tr>
        <w:trPr>
          <w:trHeight w:val="129"/>
        </w:trPr>
        <w:tc>
          <w:tcPr>
            <w:tcW w:w="2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$ 16,623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$ 16,040</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583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i w:val="1"/>
                <w:iCs w:val="1"/>
                <w:color w:val="auto"/>
              </w:rPr>
              <w:t xml:space="preserve">3.6 </w:t>
            </w: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32,308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30,646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1,662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i w:val="1"/>
                <w:iCs w:val="1"/>
                <w:color w:val="auto"/>
              </w:rPr>
              <w:t xml:space="preserve">5.4 </w:t>
            </w:r>
            <w:r>
              <w:rPr>
                <w:rFonts w:ascii="Arial" w:cs="Arial" w:eastAsia="Arial" w:hAnsi="Arial"/>
                <w:sz w:val="16"/>
                <w:szCs w:val="16"/>
                <w:color w:val="auto"/>
              </w:rPr>
              <w:t>%</w:t>
            </w:r>
          </w:p>
        </w:tc>
      </w:tr>
      <w:tr>
        <w:trPr>
          <w:trHeight w:val="210"/>
        </w:trPr>
        <w:tc>
          <w:tcPr>
            <w:tcW w:w="26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11.3 %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13.0 %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11.5 %</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12.7 %</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solve customers’ high value, high impact, ion implantation challenges.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Compared with Three months ended June 30, 2020</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Research and development expense was $16.6 million during the three months ended June 30, 2021, an increase of $0.6 million, or 3.6%, compared with $16.0 million during the three months ended June 30, 2020. The increase is primarily due to higher personnel expenses and incentive based pay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Compared with Six months ended June 30,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expense was $32.3 million during the six months ended June 30, 2021,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 million, or 5.4%, compared with $30.6 million during the six months ended June 30, 2020. The increase is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higher personnel expenses, supplies and materials costs for ongoing projects and increased depreciation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additions.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Three months ended</w:t>
            </w:r>
          </w:p>
        </w:tc>
        <w:tc>
          <w:tcPr>
            <w:tcW w:w="1400" w:type="dxa"/>
            <w:vAlign w:val="bottom"/>
            <w:gridSpan w:val="4"/>
          </w:tcPr>
          <w:p>
            <w:pPr>
              <w:jc w:val="center"/>
              <w:ind w:right="158"/>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6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4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400" w:type="dxa"/>
            <w:vAlign w:val="bottom"/>
            <w:gridSpan w:val="4"/>
          </w:tcPr>
          <w:p>
            <w:pPr>
              <w:jc w:val="center"/>
              <w:ind w:right="138"/>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74"/>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75"/>
              </w:rPr>
              <w:t>(dollars</w:t>
            </w:r>
          </w:p>
        </w:tc>
        <w:tc>
          <w:tcPr>
            <w:tcW w:w="22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$ 12,177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$ 9,437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$ 2,740</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w w:val="99"/>
              </w:rPr>
              <w:t xml:space="preserve">29.0 </w:t>
            </w:r>
            <w:r>
              <w:rPr>
                <w:rFonts w:ascii="Arial" w:cs="Arial" w:eastAsia="Arial" w:hAnsi="Arial"/>
                <w:sz w:val="16"/>
                <w:szCs w:val="16"/>
                <w:color w:val="auto"/>
                <w:w w:val="99"/>
              </w:rPr>
              <w:t>% $ 22,564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$ 17,641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$ 4,923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i w:val="1"/>
                <w:iCs w:val="1"/>
                <w:color w:val="auto"/>
                <w:w w:val="96"/>
              </w:rPr>
              <w:t xml:space="preserve">27.9 </w:t>
            </w: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0"/>
        </w:trPr>
        <w:tc>
          <w:tcPr>
            <w:tcW w:w="302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8.3 %</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7.7 %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8.1 %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7.3 %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Compared with Three months ended June 30, 2020</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Sales and marketing expense was $12.2 million during the three months ended June 30, 2021, an increase of $2.7 million, or 29.0%, compared with $9.4 million during the three months ended June 30, 2020. The increase is primarily due to increases in freight expense and project material costs as well as higher personnel related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Compared with Six months ended June 30, 2020</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Sales and marketing expense was $22.6 million during the six months ended June 30, 2021, an increase of $4.9 million, or 27.9%, compared with $17.6 million during the six months ended June 30, 2020. The increase is primarily due to increases in freight expense and project material costs as well as higher personnel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Three months ended</w:t>
            </w:r>
          </w:p>
        </w:tc>
        <w:tc>
          <w:tcPr>
            <w:tcW w:w="146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4"/>
              </w:rPr>
              <w:t>Period-to-Period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6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5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46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$ 10,041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$ 1,176</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11.7 </w:t>
            </w:r>
            <w:r>
              <w:rPr>
                <w:rFonts w:ascii="Arial" w:cs="Arial" w:eastAsia="Arial" w:hAnsi="Arial"/>
                <w:sz w:val="16"/>
                <w:szCs w:val="16"/>
                <w:color w:val="auto"/>
              </w:rPr>
              <w:t>% $ 21,230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$ 19,077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$ 2,153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i w:val="1"/>
                <w:iCs w:val="1"/>
                <w:color w:val="auto"/>
                <w:w w:val="96"/>
              </w:rPr>
              <w:t xml:space="preserve">11.3 </w:t>
            </w: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0"/>
        </w:trPr>
        <w:tc>
          <w:tcPr>
            <w:tcW w:w="28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7.6 %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8.2 %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7.6 %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7.9 %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Compared with Three months ended June 30, 2020</w:t>
      </w:r>
    </w:p>
    <w:p>
      <w:pPr>
        <w:spacing w:after="0" w:line="14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General and administrative expense was $11.2 million during the three months ended June 30, 2021, an increase of $1.2 million, or 11.7%, compared with $10.0 million during the three months ended June 30, 2020. The increase is primarily due to an increase in personnel expenses and incentive based pay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Compared with Six months ended June 30, 2020</w:t>
      </w:r>
    </w:p>
    <w:p>
      <w:pPr>
        <w:spacing w:after="0" w:line="144"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General and administrative expense was $21.2 million during the six months ended June 30, 2021, an increase of $2.2 million, or 11.3%, compared with $19.1 million during the six months ended June 30, 2020. The increase is primarily due to an increase in personnel expenses and incentive based pay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58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93"/>
              </w:rPr>
              <w:t>Period-to-period</w:t>
            </w:r>
          </w:p>
        </w:tc>
        <w:tc>
          <w:tcPr>
            <w:tcW w:w="1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Six months ended</w:t>
            </w:r>
          </w:p>
        </w:tc>
        <w:tc>
          <w:tcPr>
            <w:tcW w:w="140" w:type="dxa"/>
            <w:vAlign w:val="bottom"/>
          </w:tcPr>
          <w:p>
            <w:pPr>
              <w:spacing w:after="0"/>
              <w:rPr>
                <w:sz w:val="14"/>
                <w:szCs w:val="14"/>
                <w:color w:val="auto"/>
              </w:rPr>
            </w:pPr>
          </w:p>
        </w:tc>
        <w:tc>
          <w:tcPr>
            <w:tcW w:w="1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Period-to-period</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000" w:type="dxa"/>
            <w:vAlign w:val="bottom"/>
            <w:gridSpan w:val="3"/>
          </w:tcPr>
          <w:p>
            <w:pPr>
              <w:jc w:val="center"/>
              <w:ind w:left="404"/>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left="206"/>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3"/>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20" w:type="dxa"/>
            <w:vAlign w:val="bottom"/>
            <w:vMerge w:val="continue"/>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  (1,249)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54.6 </w:t>
            </w:r>
            <w:r>
              <w:rPr>
                <w:rFonts w:ascii="Arial" w:cs="Arial" w:eastAsia="Arial" w:hAnsi="Arial"/>
                <w:sz w:val="16"/>
                <w:szCs w:val="16"/>
                <w:color w:val="auto"/>
              </w:rPr>
              <w:t>% $</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(3,398)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(2,249)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51.1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64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(0.9)%</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rPr>
              <w:t>(0.7)%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i w:val="1"/>
                <w:iCs w:val="1"/>
                <w:color w:val="auto"/>
              </w:rPr>
              <w:t>(1.2)%</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rPr>
              <w:t>(1.0)%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Other expense was $1.2 million for the three months ended June 30, 2021, compared with $0.8 million for the three months ended June 30, 2020. The increase in other expense was primarily due to an increase in foreign currency exchange losses. Other expense was $3.4 million for the six months ended June 30, 2021, compared with $2.2 million for the six months ended June 30, 2020. The increase in other expense was primarily due to an increase in foreign currency exchange losses of $0.6 million as well as a reduction of $0.5 million in interest income when compared to the six-month period ended June 30, 2020.</w:t>
      </w:r>
    </w:p>
    <w:p>
      <w:pPr>
        <w:spacing w:after="0" w:line="1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six-month periods ended June 30, 2021 and 2020, we had no significant off-balance-sheet risk such as exchange contracts, option contracts or other hedging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1620" w:type="dxa"/>
            <w:vAlign w:val="bottom"/>
            <w:gridSpan w:val="5"/>
          </w:tcPr>
          <w:p>
            <w:pPr>
              <w:jc w:val="center"/>
              <w:ind w:right="208"/>
              <w:spacing w:after="0"/>
              <w:rPr>
                <w:sz w:val="20"/>
                <w:szCs w:val="20"/>
                <w:color w:val="auto"/>
              </w:rPr>
            </w:pPr>
            <w:r>
              <w:rPr>
                <w:rFonts w:ascii="Arial" w:cs="Arial" w:eastAsia="Arial" w:hAnsi="Arial"/>
                <w:sz w:val="14"/>
                <w:szCs w:val="14"/>
                <w:b w:val="1"/>
                <w:bCs w:val="1"/>
                <w:color w:val="auto"/>
                <w:w w:val="93"/>
              </w:rPr>
              <w:t>Period-to-period</w:t>
            </w: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3"/>
          </w:tcPr>
          <w:p>
            <w:pPr>
              <w:jc w:val="center"/>
              <w:ind w:left="326"/>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2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w:t>
            </w:r>
          </w:p>
        </w:tc>
        <w:tc>
          <w:tcPr>
            <w:tcW w:w="620" w:type="dxa"/>
            <w:vAlign w:val="bottom"/>
            <w:tcBorders>
              <w:top w:val="single" w:sz="8" w:color="auto"/>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40"/>
              <w:spacing w:after="0" w:line="129" w:lineRule="exact"/>
              <w:rPr>
                <w:sz w:val="20"/>
                <w:szCs w:val="20"/>
                <w:color w:val="auto"/>
              </w:rPr>
            </w:pPr>
            <w:r>
              <w:rPr>
                <w:rFonts w:ascii="Arial" w:cs="Arial" w:eastAsia="Arial" w:hAnsi="Arial"/>
                <w:sz w:val="13"/>
                <w:szCs w:val="13"/>
                <w:b w:val="1"/>
                <w:bCs w:val="1"/>
                <w:color w:val="auto"/>
                <w:w w:val="72"/>
              </w:rPr>
              <w:t>(dollars</w:t>
            </w:r>
          </w:p>
        </w:tc>
        <w:tc>
          <w:tcPr>
            <w:tcW w:w="30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3,842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2,271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1,571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(69.2)</w:t>
            </w: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5,563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3,312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w w:val="99"/>
              </w:rPr>
              <w:t>2,251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68.0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6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2.6 %</w:t>
            </w: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1.8 %</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2.0 </w:t>
            </w:r>
            <w:r>
              <w:rPr>
                <w:rFonts w:ascii="Arial" w:cs="Arial" w:eastAsia="Arial" w:hAnsi="Arial"/>
                <w:sz w:val="16"/>
                <w:szCs w:val="16"/>
                <w:i w:val="1"/>
                <w:i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i w:val="1"/>
                <w:iCs w:val="1"/>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Income tax expense was $3.8 million for the three months ended June 30, 2021, compared to $2.3 million for the three months ended June 30, 2020. The $1.5 million increase was primarily due to a $7.2 million increase in pretax income. Income tax expense was $5.6 million during the six months ended June 30, 2021, compared to $3.3 million for the six months ended June 30, 2020. The $2.3 million increase was primarily due to a $13.1 million increase in pretax income. The effective tax rate for the three and six months ended June 30, 2021 and 2020, respectively, was less than the U.S. statutory rate of 21% due to favorable discrete items related to equity compensation in those periods as well as Federal research and development tax credits that reduce the annual tax rate.</w:t>
      </w:r>
    </w:p>
    <w:p>
      <w:pPr>
        <w:spacing w:after="0" w:line="177"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We had $51.4 million and $57.9 million of net deferred tax assets worldwide relating to net operating loss carryforwards, tax credit carryforwards and other temporary differences, as of June 30, 2021 and December 31, 2020, respectively. These deferred tax assets are available to reduce income taxes in future years. We have a $9.1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had $219.7 million in unrestricted cash and cash equivalents at June 30, 2021, in addition to $0.8 million in restricted cash. Management believes that maintaining a strong cash balance is necessary to provide funding for potential ramps in our business which can require significant cash investment to meet sudden demand. Additionally, we are using cash in our 2021 stock repurchase program and are considering both organic and inorganic opportunities to drive future growth, for which cash resources will be necessary.</w:t>
      </w:r>
    </w:p>
    <w:p>
      <w:pPr>
        <w:spacing w:after="0" w:line="9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Stock repurchases, as discussed below, also reduce our cash balances.</w:t>
      </w:r>
    </w:p>
    <w:p>
      <w:pPr>
        <w:sectPr>
          <w:pgSz w:w="11900" w:h="16838" w:orient="portrait"/>
          <w:cols w:equalWidth="0" w:num="1">
            <w:col w:w="9120"/>
          </w:cols>
          <w:pgMar w:left="1380" w:top="517" w:right="13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2021, we generated $45.9 million of cash related to operating activities.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we generated $56.6 million of cash related to operating activities.</w:t>
      </w:r>
    </w:p>
    <w:p>
      <w:pPr>
        <w:spacing w:after="0" w:line="11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Investing activities for the six months ended June 30, 2021 and 2020 resulted in cash outflows of $2.4 million and $3.0 million, respectively, used for capital expenditures.</w:t>
      </w:r>
    </w:p>
    <w:p>
      <w:pPr>
        <w:spacing w:after="0" w:line="7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Financing activities for the six months ended June 30, 2021 resulted in a cash usage of $28.3 million. During the first six months of 2021, $25.0 million in cash was used to repurchase our common stock and $6.5 million was used for payments to government tax authorities for income tax withholding on employee compensation arising from the vesting of RSUs, where shares are withheld by the Company, as well as $0.4 million relating to the reduction of the liability under the finance lease of our corporate headquarters. These amounts were partially offset by $3.6 million of proceeds from the exercise of stock options and purchase of shares under our 2020 ESPP during the first six months of 2021. In comparison, financing activities for the six months ended June 30, 2020 resulted in cash usage of $3.7 million, $7.5 million of which related to the repurchase of our common stock and $3.9 million related to payments made to government tax authorities for income tax withholding on employee compensation arising from the vesting of RSUs, as well as $0.1 million relating to the reduction of our financing lease liability. These amounts were partially offset by $7.8 million of proceeds related to the exercise of stock options and purchase of shares under our prior employee stock purchase plan during the first six months of 2020.</w:t>
      </w:r>
    </w:p>
    <w:p>
      <w:pPr>
        <w:spacing w:after="0" w:line="17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6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June 30, 2021, we were in compliance with all covenant requirements of the Credit Agreement. As of such date, no borrowings had been made under the Credit Agreement, although a letter of credit for $5.9 million reduces the funds available for borrowing under the credit line. We have no immediate plans to borrow under the Credit Agreement, but we will use the facility for letters of credit, for ongoing working capital needs and to fund general corporate purposes, as desired.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believe that based on our current market, revenue, expense and cash flow forecasts, our existing cash, cash equivalents and equity and debt financing capacity will be sufficient to satisfy our anticipated cash requirements for the short and long-term.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Significant commitments and contingencies at June 30, 2021 are consistent with those discussed in Item 7, “Management’s Discussion and Analysis of Financial Condition and Results of Operations,” and Note 16 to the consolidated financial statements in our Annual Report on Form 10-K for the fiscal year ended December 31, 2020.</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June 30, 2021, there have been no material changes to the quantitative information about market risk disclosed in Item 7A to our Annual Report on Form 10-K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2021, there have been no material changes to the risk factors described in Item 1A to our Annual Report on Form 10-K for the year ended December 31, 2020.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December 2020, our Board of Directors authorized a share repurchase program covering 2021 for up to $100 million of the Company's common stock.</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summarizes the stock repurchase activity, based upon settlement date, for the three months ended June 30, 2021 as well as the approximate dollar value of shares that may yet be purchased pursuant to our stock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1860" w:type="dxa"/>
            <w:vAlign w:val="bottom"/>
            <w:gridSpan w:val="4"/>
          </w:tcPr>
          <w:p>
            <w:pPr>
              <w:ind w:left="4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4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Shares Purchased</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Program</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1, 2021 through April 30,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28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3"/>
              </w:rPr>
              <w:t>$43.35</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83,286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May 1, 2021 through May 31,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8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3"/>
              </w:rPr>
              <w:t>$39.74</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79,312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1, 2021 through June 30, 2021</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28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3"/>
              </w:rPr>
              <w:t>$40.74</w:t>
            </w:r>
          </w:p>
        </w:tc>
        <w:tc>
          <w:tcPr>
            <w:tcW w:w="16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75,006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1260"/>
              <w:spacing w:after="0" w:line="142"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00" w:type="dxa"/>
            <w:vAlign w:val="bottom"/>
            <w:gridSpan w:val="13"/>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3"/>
          </w:tcPr>
          <w:p>
            <w:pPr>
              <w:ind w:left="40"/>
              <w:spacing w:after="0"/>
              <w:rPr>
                <w:sz w:val="20"/>
                <w:szCs w:val="20"/>
                <w:color w:val="auto"/>
              </w:rPr>
            </w:pPr>
            <w:r>
              <w:rPr>
                <w:rFonts w:ascii="Arial" w:cs="Arial" w:eastAsia="Arial" w:hAnsi="Arial"/>
                <w:sz w:val="18"/>
                <w:szCs w:val="18"/>
                <w:color w:val="auto"/>
              </w:rPr>
              <w:t>The following exhibits are filed herewith:</w:t>
            </w:r>
          </w:p>
        </w:tc>
      </w:tr>
      <w:tr>
        <w:trPr>
          <w:trHeight w:val="369"/>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940" w:type="dxa"/>
            <w:vAlign w:val="bottom"/>
            <w:tcBorders>
              <w:bottom w:val="single" w:sz="8" w:color="auto"/>
            </w:tcBorders>
            <w:gridSpan w:val="11"/>
          </w:tcPr>
          <w:p>
            <w:pPr>
              <w:ind w:left="36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rFonts w:ascii="Arial" w:cs="Arial" w:eastAsia="Arial" w:hAnsi="Arial"/>
                <w:sz w:val="18"/>
                <w:szCs w:val="18"/>
                <w:color w:val="0000EE"/>
                <w:w w:val="93"/>
              </w:rPr>
            </w:pPr>
            <w:hyperlink r:id="rId41">
              <w:r>
                <w:rPr>
                  <w:rFonts w:ascii="Arial" w:cs="Arial" w:eastAsia="Arial" w:hAnsi="Arial"/>
                  <w:sz w:val="18"/>
                  <w:szCs w:val="18"/>
                  <w:color w:val="0000EE"/>
                  <w:w w:val="93"/>
                </w:rPr>
                <w:t>Restated Certificate of Incorporation of the Company filed November 2, 2017. Incorporated by reference to</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Exhibit 3.1 of the Company’s Form 10-Q filed with the Commission on November 3, 2017.</w:t>
              </w:r>
            </w:hyperlink>
          </w:p>
        </w:tc>
        <w:tc>
          <w:tcPr>
            <w:tcW w:w="11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rFonts w:ascii="Arial" w:cs="Arial" w:eastAsia="Arial" w:hAnsi="Arial"/>
                <w:sz w:val="18"/>
                <w:szCs w:val="18"/>
                <w:color w:val="0000EE"/>
                <w:w w:val="95"/>
              </w:rPr>
            </w:pPr>
            <w:hyperlink r:id="rId42">
              <w:r>
                <w:rPr>
                  <w:rFonts w:ascii="Arial" w:cs="Arial" w:eastAsia="Arial" w:hAnsi="Arial"/>
                  <w:sz w:val="18"/>
                  <w:szCs w:val="18"/>
                  <w:color w:val="0000EE"/>
                  <w:w w:val="95"/>
                </w:rPr>
                <w:t>Bylaws of the Company, as amended as of May 13, 2014. Incorporated by reference to Exhibit 3.2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Company’s Form 8-K filed with the Commission on May 19, 2014.</w:t>
              </w:r>
            </w:hyperlink>
          </w:p>
        </w:tc>
        <w:tc>
          <w:tcPr>
            <w:tcW w:w="268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Certification of the Principal Executive Officer under Exchange Act Rule 13a-14(a)/15d-14(a) (Section 302</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of the Sarbanes-Oxley Act), dated August 6, 2021. Filed herewith.</w:t>
              </w:r>
            </w:hyperlink>
          </w:p>
        </w:tc>
        <w:tc>
          <w:tcPr>
            <w:tcW w:w="200" w:type="dxa"/>
            <w:vAlign w:val="bottom"/>
            <w:gridSpan w:val="2"/>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the Principal Financial Officer under Exchange Act Rule 13a-14(a)/15d-14(a) (Section 302 of</w:t>
              </w:r>
            </w:hyperlink>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the Sarbanes-Oxley Act), dated August 6, 2021. Filed herewith.</w:t>
              </w:r>
            </w:hyperlink>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Certification of the Principal Executive Officer pursuant to Section 1350 of Chapter 63 of title 18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United States Code (Section 906 of the Sarbanes-Oxley Act), dated August 6, 2021. Filed herewith.</w:t>
              </w:r>
            </w:hyperlink>
          </w:p>
        </w:tc>
        <w:tc>
          <w:tcPr>
            <w:tcW w:w="280" w:type="dxa"/>
            <w:vAlign w:val="bottom"/>
            <w:tcBorders>
              <w:top w:val="single" w:sz="8" w:color="0000EE"/>
            </w:tcBorders>
            <w:gridSpan w:val="2"/>
          </w:tcPr>
          <w:p>
            <w:pPr>
              <w:spacing w:after="0"/>
              <w:rPr>
                <w:sz w:val="17"/>
                <w:szCs w:val="17"/>
                <w:color w:val="auto"/>
              </w:rPr>
            </w:pPr>
          </w:p>
        </w:tc>
        <w:tc>
          <w:tcPr>
            <w:tcW w:w="480" w:type="dxa"/>
            <w:vAlign w:val="bottom"/>
            <w:gridSpan w:val="4"/>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the Principal Financial Officer pursuant to Section 1350 of Chapter 63 of title 18 of the</w:t>
              </w:r>
            </w:hyperlink>
          </w:p>
        </w:tc>
        <w:tc>
          <w:tcPr>
            <w:tcW w:w="520" w:type="dxa"/>
            <w:vAlign w:val="bottom"/>
            <w:gridSpan w:val="5"/>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United States Code (Section 906 of the Sarbanes-Oxley Act), dated August 6, 2021. Filed herewith.</w:t>
              </w:r>
            </w:hyperlink>
          </w:p>
        </w:tc>
        <w:tc>
          <w:tcPr>
            <w:tcW w:w="760" w:type="dxa"/>
            <w:vAlign w:val="bottom"/>
            <w:gridSpan w:val="6"/>
          </w:tcPr>
          <w:p>
            <w:pPr>
              <w:spacing w:after="0"/>
              <w:rPr>
                <w:sz w:val="17"/>
                <w:szCs w:val="17"/>
                <w:color w:val="auto"/>
              </w:rPr>
            </w:pPr>
          </w:p>
        </w:tc>
      </w:tr>
    </w:tbl>
    <w:p>
      <w:pPr>
        <w:spacing w:after="0" w:line="229" w:lineRule="exact"/>
        <w:rPr>
          <w:sz w:val="20"/>
          <w:szCs w:val="20"/>
          <w:color w:val="auto"/>
        </w:rPr>
      </w:pPr>
    </w:p>
    <w:p>
      <w:pPr>
        <w:ind w:left="1180" w:right="260" w:hanging="858"/>
        <w:spacing w:after="0" w:line="291"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the Company’s Form 10-Q for the quarter ended June 30, 2021, formatted in inline eXtensible Business Reporting Language (iXBRL): (i) Consolidated Statements of Operations,</w:t>
      </w:r>
    </w:p>
    <w:p>
      <w:pPr>
        <w:ind w:left="1180" w:right="100"/>
        <w:spacing w:after="0" w:line="323" w:lineRule="auto"/>
        <w:rPr>
          <w:rFonts w:ascii="Arial" w:cs="Arial" w:eastAsia="Arial" w:hAnsi="Arial"/>
          <w:sz w:val="16"/>
          <w:szCs w:val="16"/>
          <w:color w:val="auto"/>
        </w:rPr>
      </w:pPr>
      <w:r>
        <w:rPr>
          <w:rFonts w:ascii="Arial" w:cs="Arial" w:eastAsia="Arial" w:hAnsi="Arial"/>
          <w:sz w:val="16"/>
          <w:szCs w:val="16"/>
          <w:color w:val="auto"/>
        </w:rPr>
        <w:t>(ii) Consolidated Statements of Comprehensive Income, (iii) Consolidated Balance Sheets, (iv) Consolidated Statements of Cash Flows and (v) Notes to Consolidated Financial Statements (Unaudited). Filed herewith.</w:t>
      </w:r>
    </w:p>
    <w:p>
      <w:pPr>
        <w:spacing w:after="0" w:line="138" w:lineRule="exact"/>
        <w:rPr>
          <w:sz w:val="20"/>
          <w:szCs w:val="20"/>
          <w:color w:val="auto"/>
        </w:rPr>
      </w:pPr>
    </w:p>
    <w:p>
      <w:pPr>
        <w:ind w:left="1180" w:hanging="858"/>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DATED: August 6, 2021</w:t>
      </w:r>
      <w:r>
        <w:rPr>
          <w:sz w:val="20"/>
          <w:szCs w:val="20"/>
          <w:color w:val="auto"/>
        </w:rPr>
        <w:tab/>
      </w:r>
      <w:r>
        <w:rPr>
          <w:rFonts w:ascii="Arial" w:cs="Arial" w:eastAsia="Arial" w:hAnsi="Arial"/>
          <w:sz w:val="17"/>
          <w:szCs w:val="17"/>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2640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J. Brewer</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48"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1" w:name="page32"/>
    <w:bookmarkEnd w:id="3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Mary G. Puma, certify that:</w:t>
      </w:r>
    </w:p>
    <w:p>
      <w:pPr>
        <w:spacing w:after="0" w:line="198" w:lineRule="exact"/>
        <w:rPr>
          <w:sz w:val="20"/>
          <w:szCs w:val="20"/>
          <w:color w:val="auto"/>
        </w:rPr>
      </w:pPr>
    </w:p>
    <w:p>
      <w:pPr>
        <w:ind w:left="540" w:hanging="49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J. Brewer, certify that:</w:t>
      </w:r>
    </w:p>
    <w:p>
      <w:pPr>
        <w:spacing w:after="0" w:line="198" w:lineRule="exact"/>
        <w:rPr>
          <w:sz w:val="20"/>
          <w:szCs w:val="20"/>
          <w:color w:val="auto"/>
        </w:rPr>
      </w:pPr>
    </w:p>
    <w:p>
      <w:pPr>
        <w:ind w:left="540" w:hanging="490"/>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59" w:firstLine="495"/>
        <w:spacing w:after="0" w:line="248"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August 6, 2021.</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119" w:firstLine="495"/>
        <w:spacing w:after="0" w:line="248"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August 6,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 of</w:t>
      </w: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
      <w:numFmt w:val="bullet"/>
      <w:start w:val="1"/>
    </w:lvl>
    <w:lvl w:ilvl="1">
      <w:lvlJc w:val="left"/>
      <w:lvlText w:val="%2."/>
      <w:numFmt w:val="upp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04"/>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29" Type="http://schemas.openxmlformats.org/officeDocument/2006/relationships/hyperlink" Target="https://www.sec.gov/ix?doc=/Archives/edgar/data/1113232/000155837021001972/acls-20201231x10k.htm" TargetMode="External"/><Relationship Id="rId41" Type="http://schemas.openxmlformats.org/officeDocument/2006/relationships/hyperlink" Target="http://www.sec.gov/Archives/edgar/data/1113232/000155837017008078/acls-20170930ex31a83feb6.htm" TargetMode="External"/><Relationship Id="rId42" Type="http://schemas.openxmlformats.org/officeDocument/2006/relationships/hyperlink" Target="http://www.sec.gov/Archives/edgar/data/1113232/000110465914040101/a14-8383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2021-08-06T09:58:10Z</dcterms:created>
  <dcterms:modified xsi:type="dcterms:W3CDTF">2021-08-06T09:58:10Z</dcterms:modified>
</cp:coreProperties>
</file>