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40" w:right="1260" w:hanging="326"/>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0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34-1818596</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67" w:lineRule="exact"/>
        <w:rPr>
          <w:sz w:val="24"/>
          <w:szCs w:val="24"/>
          <w:color w:val="auto"/>
        </w:rPr>
      </w:pPr>
    </w:p>
    <w:p>
      <w:pPr>
        <w:ind w:right="28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right="20" w:firstLine="23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9" w:lineRule="exact"/>
        <w:rPr>
          <w:sz w:val="24"/>
          <w:szCs w:val="24"/>
          <w:color w:val="auto"/>
        </w:rPr>
      </w:pPr>
    </w:p>
    <w:p>
      <w:pPr>
        <w:ind w:right="16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56"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280" w:space="720"/>
            <w:col w:w="3220"/>
          </w:cols>
          <w:pgMar w:left="840" w:top="665" w:right="839" w:bottom="1440" w:gutter="0" w:footer="0" w:header="0"/>
          <w:type w:val="continuous"/>
        </w:sectPr>
      </w:pPr>
    </w:p>
    <w:p>
      <w:pPr>
        <w:ind w:left="1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3">
            <w:col w:w="5880" w:space="720"/>
            <w:col w:w="1960" w:space="100"/>
            <w:col w:w="1560"/>
          </w:cols>
          <w:pgMar w:left="840" w:top="665" w:right="839" w:bottom="1440" w:gutter="0" w:footer="0" w:header="0"/>
          <w:type w:val="continuous"/>
        </w:sectPr>
      </w:pPr>
    </w:p>
    <w:p>
      <w:pPr>
        <w:ind w:right="200" w:firstLine="233"/>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220" w:right="840" w:hanging="3"/>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3, 2021 there were 33,599,897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20" w:type="dxa"/>
            <w:vAlign w:val="bottom"/>
            <w:gridSpan w:val="10"/>
          </w:tcPr>
          <w:p>
            <w:pPr>
              <w:jc w:val="center"/>
              <w:ind w:right="2840"/>
              <w:spacing w:after="0"/>
              <w:rPr>
                <w:sz w:val="20"/>
                <w:szCs w:val="20"/>
                <w:color w:val="auto"/>
              </w:rPr>
            </w:pPr>
            <w:r>
              <w:rPr>
                <w:rFonts w:ascii="Arial" w:cs="Arial" w:eastAsia="Arial" w:hAnsi="Arial"/>
                <w:sz w:val="18"/>
                <w:szCs w:val="18"/>
                <w:b w:val="1"/>
                <w:bCs w:val="1"/>
                <w:color w:val="auto"/>
                <w:w w:val="89"/>
              </w:rPr>
              <w:t>Table of Contents</w:t>
            </w:r>
          </w:p>
        </w:tc>
        <w:tc>
          <w:tcPr>
            <w:tcW w:w="48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52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790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48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for the three months ended March 31, 2021 and 2020</w:t>
              </w:r>
            </w:hyperlink>
          </w:p>
        </w:tc>
        <w:tc>
          <w:tcPr>
            <w:tcW w:w="1220" w:type="dxa"/>
            <w:vAlign w:val="bottom"/>
            <w:gridSpan w:val="5"/>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Comprehensive Income for the three months ended March 31, 2021 and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0" w:type="dxa"/>
            <w:vAlign w:val="bottom"/>
            <w:tcBorders>
              <w:top w:val="single" w:sz="8" w:color="0000EE"/>
            </w:tcBorders>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March 31, 2021 and December 31, 2020</w:t>
              </w:r>
            </w:hyperlink>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for the three months ended March 31, 2021 and 2020</w:t>
              </w:r>
            </w:hyperlink>
          </w:p>
        </w:tc>
        <w:tc>
          <w:tcPr>
            <w:tcW w:w="480" w:type="dxa"/>
            <w:vAlign w:val="bottom"/>
            <w:gridSpan w:val="2"/>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three months ended March 31, 2021 and 2020</w:t>
              </w:r>
            </w:hyperlink>
          </w:p>
        </w:tc>
        <w:tc>
          <w:tcPr>
            <w:tcW w:w="116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(Unaudited)</w:t>
              </w:r>
            </w:hyperlink>
          </w:p>
        </w:tc>
        <w:tc>
          <w:tcPr>
            <w:tcW w:w="384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7900" w:type="dxa"/>
            <w:vAlign w:val="bottom"/>
            <w:gridSpan w:val="2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Overview</w:t>
              </w:r>
            </w:hyperlink>
          </w:p>
        </w:tc>
        <w:tc>
          <w:tcPr>
            <w:tcW w:w="108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Critical Accounting Estimates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Results of Operations</w:t>
              </w:r>
            </w:hyperlink>
          </w:p>
        </w:tc>
        <w:tc>
          <w:tcPr>
            <w:tcW w:w="600" w:type="dxa"/>
            <w:vAlign w:val="bottom"/>
            <w:tcBorders>
              <w:top w:val="single" w:sz="8" w:color="0000EE"/>
            </w:tcBorders>
            <w:gridSpan w:val="4"/>
          </w:tcPr>
          <w:p>
            <w:pPr>
              <w:spacing w:after="0"/>
              <w:rPr>
                <w:sz w:val="19"/>
                <w:szCs w:val="19"/>
                <w:color w:val="auto"/>
              </w:rPr>
            </w:pPr>
          </w:p>
        </w:tc>
        <w:tc>
          <w:tcPr>
            <w:tcW w:w="5740" w:type="dxa"/>
            <w:vAlign w:val="bottom"/>
            <w:gridSpan w:val="14"/>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Liquidity and Capital Resources</w:t>
              </w:r>
            </w:hyperlink>
          </w:p>
        </w:tc>
        <w:tc>
          <w:tcPr>
            <w:tcW w:w="5580" w:type="dxa"/>
            <w:vAlign w:val="bottom"/>
            <w:gridSpan w:val="13"/>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w:t>
              </w:r>
            </w:hyperlink>
          </w:p>
        </w:tc>
        <w:tc>
          <w:tcPr>
            <w:tcW w:w="7900" w:type="dxa"/>
            <w:vAlign w:val="bottom"/>
            <w:gridSpan w:val="2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w:t>
              </w:r>
            </w:hyperlink>
          </w:p>
        </w:tc>
        <w:tc>
          <w:tcPr>
            <w:tcW w:w="7900" w:type="dxa"/>
            <w:vAlign w:val="bottom"/>
            <w:gridSpan w:val="2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40" w:type="dxa"/>
            <w:vAlign w:val="bottom"/>
            <w:gridSpan w:val="2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4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w:t>
              </w:r>
            </w:hyperlink>
          </w:p>
        </w:tc>
        <w:tc>
          <w:tcPr>
            <w:tcW w:w="20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582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w w:val="94"/>
              </w:rPr>
            </w:pPr>
            <w:hyperlink w:anchor="page28">
              <w:r>
                <w:rPr>
                  <w:rFonts w:ascii="Arial" w:cs="Arial" w:eastAsia="Arial" w:hAnsi="Arial"/>
                  <w:sz w:val="18"/>
                  <w:szCs w:val="18"/>
                  <w:b w:val="1"/>
                  <w:bCs w:val="1"/>
                  <w:color w:val="0000EE"/>
                  <w:w w:val="94"/>
                </w:rPr>
                <w:t>Item 1A.</w:t>
              </w:r>
            </w:hyperlink>
          </w:p>
        </w:tc>
        <w:tc>
          <w:tcPr>
            <w:tcW w:w="60" w:type="dxa"/>
            <w:vAlign w:val="bottom"/>
          </w:tcPr>
          <w:p>
            <w:pPr>
              <w:spacing w:after="0"/>
              <w:rPr>
                <w:sz w:val="19"/>
                <w:szCs w:val="19"/>
                <w:color w:val="auto"/>
              </w:rPr>
            </w:pPr>
          </w:p>
        </w:tc>
        <w:tc>
          <w:tcPr>
            <w:tcW w:w="790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w:t>
              </w:r>
            </w:hyperlink>
          </w:p>
        </w:tc>
        <w:tc>
          <w:tcPr>
            <w:tcW w:w="60" w:type="dxa"/>
            <w:vAlign w:val="bottom"/>
          </w:tcPr>
          <w:p>
            <w:pPr>
              <w:spacing w:after="0"/>
              <w:rPr>
                <w:sz w:val="19"/>
                <w:szCs w:val="19"/>
                <w:color w:val="auto"/>
              </w:rPr>
            </w:pPr>
          </w:p>
        </w:tc>
        <w:tc>
          <w:tcPr>
            <w:tcW w:w="790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w:t>
              </w:r>
            </w:hyperlink>
          </w:p>
        </w:tc>
        <w:tc>
          <w:tcPr>
            <w:tcW w:w="790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w:t>
              </w:r>
            </w:hyperlink>
          </w:p>
        </w:tc>
        <w:tc>
          <w:tcPr>
            <w:tcW w:w="790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5.</w:t>
              </w:r>
            </w:hyperlink>
          </w:p>
        </w:tc>
        <w:tc>
          <w:tcPr>
            <w:tcW w:w="790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46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6.</w:t>
              </w:r>
            </w:hyperlink>
          </w:p>
        </w:tc>
        <w:tc>
          <w:tcPr>
            <w:tcW w:w="7900" w:type="dxa"/>
            <w:vAlign w:val="bottom"/>
            <w:gridSpan w:val="2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7" w:right="1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Product</w:t>
            </w:r>
          </w:p>
        </w:tc>
        <w:tc>
          <w:tcPr>
            <w:tcW w:w="1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126,609</w:t>
            </w:r>
          </w:p>
        </w:tc>
        <w:tc>
          <w:tcPr>
            <w:tcW w:w="8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112,133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132,776</w:t>
            </w:r>
          </w:p>
        </w:tc>
        <w:tc>
          <w:tcPr>
            <w:tcW w:w="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Product</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70,334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67,172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76,341</w:t>
            </w:r>
          </w:p>
        </w:tc>
        <w:tc>
          <w:tcPr>
            <w:tcW w:w="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10,387</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36,085</w:t>
            </w:r>
          </w:p>
        </w:tc>
        <w:tc>
          <w:tcPr>
            <w:tcW w:w="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31,846</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(expense) income: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16,480</w:t>
            </w:r>
          </w:p>
        </w:tc>
        <w:tc>
          <w:tcPr>
            <w:tcW w:w="3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34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weighted average common shares</w:t>
            </w:r>
          </w:p>
        </w:tc>
        <w:tc>
          <w:tcPr>
            <w:tcW w:w="1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33,715</w:t>
            </w:r>
          </w:p>
        </w:tc>
        <w:tc>
          <w:tcPr>
            <w:tcW w:w="3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32,872</w:t>
            </w:r>
          </w:p>
        </w:tc>
        <w:tc>
          <w:tcPr>
            <w:tcW w:w="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 weighted average common shares</w:t>
            </w:r>
          </w:p>
        </w:tc>
        <w:tc>
          <w:tcPr>
            <w:tcW w:w="1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34,643</w:t>
            </w:r>
          </w:p>
        </w:tc>
        <w:tc>
          <w:tcPr>
            <w:tcW w:w="3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34,057</w:t>
            </w: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11,221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9"/>
              </w:rPr>
              <w:t>Amortization of actuarial loss and other adjustments from pension plan, net of tax</w:t>
            </w: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comprehensive loss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15,128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10,166</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206,766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40,303</w:t>
            </w:r>
          </w:p>
        </w:tc>
        <w:tc>
          <w:tcPr>
            <w:tcW w:w="12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629,292</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12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64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143,022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$0.001 par value, 75,000 shares authorized; 33,679 shares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outstanding at March 31, 2021; 33,633 shares issued and outstanding at December 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567,199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570,102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481,602</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gridSpan w:val="4"/>
            <w:vMerge w:val="restart"/>
          </w:tcPr>
          <w:p>
            <w:pPr>
              <w:jc w:val="right"/>
              <w:ind w:right="5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1"/>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11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32,585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559,878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(140,226)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419,427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spacing w:after="0"/>
              <w:rPr>
                <w:sz w:val="20"/>
                <w:szCs w:val="20"/>
                <w:color w:val="auto"/>
              </w:rPr>
            </w:pPr>
            <w:r>
              <w:rPr>
                <w:rFonts w:ascii="Arial" w:cs="Arial" w:eastAsia="Arial" w:hAnsi="Arial"/>
                <w:sz w:val="16"/>
                <w:szCs w:val="16"/>
                <w:color w:val="auto"/>
              </w:rPr>
              <w:t>Balance at March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32,837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559,182</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(130,730)</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427,172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continue"/>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Shares</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2"/>
                <w:szCs w:val="12"/>
                <w:color w:val="auto"/>
              </w:rPr>
            </w:pPr>
          </w:p>
        </w:tc>
        <w:tc>
          <w:tcPr>
            <w:tcW w:w="740" w:type="dxa"/>
            <w:vAlign w:val="bottom"/>
          </w:tcPr>
          <w:p>
            <w:pPr>
              <w:jc w:val="center"/>
              <w:ind w:right="81"/>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33,633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570,102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(91,969)</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481,602</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16,480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16,480</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Arial" w:cs="Arial" w:eastAsia="Arial" w:hAnsi="Arial"/>
                <w:sz w:val="16"/>
                <w:szCs w:val="16"/>
                <w:color w:val="auto"/>
              </w:rPr>
              <w:t>Issuance of restricted common shares,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Arial" w:cs="Arial" w:eastAsia="Arial" w:hAnsi="Arial"/>
                <w:sz w:val="16"/>
                <w:szCs w:val="16"/>
                <w:color w:val="auto"/>
              </w:rPr>
              <w:t>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(2,354)</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(5,468)</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(6,167)</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(11,635)</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33,679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487,660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8"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16,480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(16,503)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Repurchase of common stock</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204,232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146,534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207,519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181,416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balance sheet at December 31, 2020 has been derived from the audited consolidated financial statements at that date but does not include all of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 Our 2000 Stock Plan (the “2000 Stock Plan”) expired on May 1, 2012 and no new grants may be made under that plan after that date. However, unexpired options granted under the 2000 Stock Plan, which have a 10-year term, remain outstanding and subject to the terms of the 2000 Stock Plan. We also maintain the Axcelis Technologies, Inc. 2020 Employee Stock Purchase Plan (the “2020 ESPP”), an Internal Revenue Code Section 423 plan.</w:t>
      </w:r>
    </w:p>
    <w:p>
      <w:pPr>
        <w:spacing w:after="0" w:line="195" w:lineRule="exact"/>
        <w:rPr>
          <w:sz w:val="20"/>
          <w:szCs w:val="20"/>
          <w:color w:val="auto"/>
        </w:rPr>
      </w:pPr>
    </w:p>
    <w:p>
      <w:pPr>
        <w:jc w:val="both"/>
        <w:ind w:right="460" w:firstLine="648"/>
        <w:spacing w:after="0" w:line="277" w:lineRule="auto"/>
        <w:rPr>
          <w:sz w:val="20"/>
          <w:szCs w:val="20"/>
          <w:color w:val="auto"/>
        </w:rPr>
      </w:pPr>
      <w:r>
        <w:rPr>
          <w:rFonts w:ascii="Arial" w:cs="Arial" w:eastAsia="Arial" w:hAnsi="Arial"/>
          <w:sz w:val="18"/>
          <w:szCs w:val="18"/>
          <w:color w:val="auto"/>
        </w:rPr>
        <w:t>The 2012 Equity Plan is more fully described in Note 13 to the consolidated financial statements in our Annual Report on Form 10-K for the year ended December 31, 2020.</w:t>
      </w:r>
    </w:p>
    <w:p>
      <w:pPr>
        <w:spacing w:after="0" w:line="170"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recognized stock-based compensation expense of $2.4 million and $1.7 million for the three-month periods ended March 31, 2021 and 2020, respectively. These amounts include compensation expense related to RSUs and non-qualified stock options.</w:t>
      </w:r>
    </w:p>
    <w:p>
      <w:pPr>
        <w:spacing w:after="0" w:line="18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the three-month periods ended March 31, 2021 and 2020, we issued 0.3 million and 0.6 million shares of common stock, respectively, upon stock option exercises and vesting of RSUs. In the three-month periods ended March 31, 2021 and 2020, we received proceeds of $2.5 million and $4.5 million, respectively, in connection with the exercise of stock options.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operating leases for office space, warehouse space, computer and office equipment and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 property, plant or equipment for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w:t>
      </w:r>
    </w:p>
    <w:p>
      <w:pPr>
        <w:sectPr>
          <w:pgSz w:w="11900" w:h="16838" w:orient="portrait"/>
          <w:cols w:equalWidth="0" w:num="1">
            <w:col w:w="9120"/>
          </w:cols>
          <w:pgMar w:left="1380" w:top="517" w:right="13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are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144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3460" w:type="dxa"/>
            <w:vAlign w:val="bottom"/>
          </w:tcPr>
          <w:p>
            <w:pPr>
              <w:ind w:left="170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Operating lease assets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color w:val="auto"/>
              </w:rPr>
              <w:t>Finance lease</w:t>
            </w:r>
          </w:p>
        </w:tc>
        <w:tc>
          <w:tcPr>
            <w:tcW w:w="3460" w:type="dxa"/>
            <w:vAlign w:val="bottom"/>
          </w:tcPr>
          <w:p>
            <w:pPr>
              <w:ind w:left="1700"/>
              <w:spacing w:after="0"/>
              <w:rPr>
                <w:sz w:val="20"/>
                <w:szCs w:val="20"/>
                <w:color w:val="auto"/>
              </w:rPr>
            </w:pPr>
            <w:r>
              <w:rPr>
                <w:rFonts w:ascii="Arial" w:cs="Arial" w:eastAsia="Arial" w:hAnsi="Arial"/>
                <w:sz w:val="14"/>
                <w:szCs w:val="14"/>
                <w:color w:val="auto"/>
              </w:rPr>
              <w:t>Finance lease assets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Total leased assets</w:t>
            </w:r>
          </w:p>
        </w:tc>
        <w:tc>
          <w:tcPr>
            <w:tcW w:w="3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25,086</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6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w:t>
            </w:r>
          </w:p>
        </w:tc>
        <w:tc>
          <w:tcPr>
            <w:tcW w:w="3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3460" w:type="dxa"/>
            <w:vAlign w:val="bottom"/>
          </w:tcPr>
          <w:p>
            <w:pPr>
              <w:ind w:left="1700"/>
              <w:spacing w:after="0"/>
              <w:rPr>
                <w:sz w:val="20"/>
                <w:szCs w:val="20"/>
                <w:color w:val="auto"/>
              </w:rPr>
            </w:pPr>
            <w:r>
              <w:rPr>
                <w:rFonts w:ascii="Arial" w:cs="Arial" w:eastAsia="Arial" w:hAnsi="Arial"/>
                <w:sz w:val="14"/>
                <w:szCs w:val="14"/>
                <w:color w:val="auto"/>
              </w:rPr>
              <w:t>Other current liabilities</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2,387</w:t>
            </w:r>
          </w:p>
        </w:tc>
        <w:tc>
          <w:tcPr>
            <w:tcW w:w="3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2,573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3460" w:type="dxa"/>
            <w:vAlign w:val="bottom"/>
            <w:shd w:val="clear" w:color="auto" w:fill="CCEEFF"/>
          </w:tcPr>
          <w:p>
            <w:pPr>
              <w:ind w:left="1700"/>
              <w:spacing w:after="0" w:line="130" w:lineRule="exact"/>
              <w:rPr>
                <w:sz w:val="20"/>
                <w:szCs w:val="20"/>
                <w:color w:val="auto"/>
              </w:rPr>
            </w:pPr>
            <w:r>
              <w:rPr>
                <w:rFonts w:ascii="Arial" w:cs="Arial" w:eastAsia="Arial" w:hAnsi="Arial"/>
                <w:sz w:val="14"/>
                <w:szCs w:val="14"/>
                <w:color w:val="auto"/>
              </w:rPr>
              <w:t>Current portion of finance</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46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lease obligation</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Noncurrent</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4"/>
                <w:szCs w:val="14"/>
                <w:color w:val="auto"/>
              </w:rPr>
              <w:t>Finance</w:t>
            </w:r>
          </w:p>
        </w:tc>
        <w:tc>
          <w:tcPr>
            <w:tcW w:w="3460" w:type="dxa"/>
            <w:vAlign w:val="bottom"/>
          </w:tcPr>
          <w:p>
            <w:pPr>
              <w:ind w:left="1700"/>
              <w:spacing w:after="0"/>
              <w:rPr>
                <w:sz w:val="20"/>
                <w:szCs w:val="20"/>
                <w:color w:val="auto"/>
              </w:rPr>
            </w:pPr>
            <w:r>
              <w:rPr>
                <w:rFonts w:ascii="Arial" w:cs="Arial" w:eastAsia="Arial" w:hAnsi="Arial"/>
                <w:sz w:val="14"/>
                <w:szCs w:val="14"/>
                <w:color w:val="auto"/>
              </w:rPr>
              <w:t>Finance lease obligation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47,393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liabilities</w:t>
            </w:r>
          </w:p>
        </w:tc>
        <w:tc>
          <w:tcPr>
            <w:tcW w:w="3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52,175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52,671</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520" w:firstLine="8"/>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$48.7 million and include $0.7 million of prepaid financing costs as of March 31, 2021. Finance lease assets are recorded net of accumulated depreciation of $48.4 million and include $0.7 million of prepaid financing costs as of December 31, 2020.</w:t>
      </w:r>
    </w:p>
    <w:p>
      <w:pPr>
        <w:spacing w:after="0" w:line="1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All of our operating lease office locations support selling and servicing functions. Operating lease expense, and depreciation and interest expense relating to our finance lease obligation, are recognized within our consolidated statement of operations for the three months ended March 31, 2021 and 2020 as follows: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2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cost</w:t>
            </w: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3620" w:type="dxa"/>
            <w:vAlign w:val="bottom"/>
          </w:tcPr>
          <w:p>
            <w:pPr>
              <w:ind w:left="124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Operating lease cost</w:t>
            </w: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362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Cost of revenue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3620" w:type="dxa"/>
            <w:vAlign w:val="bottom"/>
          </w:tcPr>
          <w:p>
            <w:pPr>
              <w:ind w:left="12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362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3620" w:type="dxa"/>
            <w:vAlign w:val="bottom"/>
          </w:tcPr>
          <w:p>
            <w:pPr>
              <w:ind w:left="12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36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gridSpan w:val="2"/>
            <w:vMerge w:val="continue"/>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3620" w:type="dxa"/>
            <w:vAlign w:val="bottom"/>
            <w:shd w:val="clear" w:color="auto" w:fill="CCEEFF"/>
          </w:tcPr>
          <w:p>
            <w:pPr>
              <w:ind w:left="1240"/>
              <w:spacing w:after="0" w:line="130" w:lineRule="exact"/>
              <w:rPr>
                <w:sz w:val="20"/>
                <w:szCs w:val="20"/>
                <w:color w:val="auto"/>
              </w:rPr>
            </w:pPr>
            <w:r>
              <w:rPr>
                <w:rFonts w:ascii="Arial" w:cs="Arial" w:eastAsia="Arial" w:hAnsi="Arial"/>
                <w:sz w:val="14"/>
                <w:szCs w:val="14"/>
                <w:color w:val="auto"/>
              </w:rPr>
              <w:t>Cost of revenue, R&amp;D, Sales and</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362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marketing and G&amp;A</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3620" w:type="dxa"/>
            <w:vAlign w:val="bottom"/>
          </w:tcPr>
          <w:p>
            <w:pPr>
              <w:ind w:left="12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36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36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400" w:firstLine="8"/>
        <w:spacing w:after="0" w:line="25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marketing and general and administrative expense also includes short-term lease and variable lease costs of approximately $0.4 million and $0.2 million for the three months ended March 31, 2021 and 2020, respectively.</w:t>
      </w:r>
    </w:p>
    <w:p>
      <w:pPr>
        <w:spacing w:after="0" w:line="178"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 as of March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Finance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Leases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2"/>
        </w:trPr>
        <w:tc>
          <w:tcPr>
            <w:tcW w:w="5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73,868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102,393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gridSpan w:val="2"/>
          </w:tcPr>
          <w:p>
            <w:pPr>
              <w:spacing w:after="0"/>
              <w:rPr>
                <w:sz w:val="20"/>
                <w:szCs w:val="20"/>
                <w:color w:val="auto"/>
              </w:rPr>
            </w:pPr>
            <w:r>
              <w:rPr>
                <w:rFonts w:ascii="Arial" w:cs="Arial" w:eastAsia="Arial" w:hAnsi="Arial"/>
                <w:sz w:val="14"/>
                <w:szCs w:val="14"/>
                <w:color w:val="auto"/>
              </w:rPr>
              <w:t>Less interest portion*</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(54,417)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(482)</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(54,899)</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and operating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47,976</w:t>
            </w: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52,175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01"/>
        </w:trPr>
        <w:tc>
          <w:tcPr>
            <w:tcW w:w="7680" w:type="dxa"/>
            <w:vAlign w:val="bottom"/>
            <w:gridSpan w:val="3"/>
            <w:vMerge w:val="continue"/>
          </w:tcPr>
          <w:p>
            <w:pPr>
              <w:spacing w:after="0"/>
              <w:rPr>
                <w:sz w:val="17"/>
                <w:szCs w:val="17"/>
                <w:color w:val="auto"/>
              </w:rPr>
            </w:pP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gridSpan w:val="3"/>
          </w:tcPr>
          <w:p>
            <w:pPr>
              <w:spacing w:after="0"/>
              <w:rPr>
                <w:sz w:val="20"/>
                <w:szCs w:val="20"/>
                <w:color w:val="auto"/>
              </w:rPr>
            </w:pPr>
            <w:r>
              <w:rPr>
                <w:rFonts w:ascii="Arial" w:cs="Arial" w:eastAsia="Arial" w:hAnsi="Arial"/>
                <w:sz w:val="14"/>
                <w:szCs w:val="14"/>
                <w:color w:val="auto"/>
              </w:rPr>
              <w:t>Weighted-average remaining lease term (years):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2"/>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4"/>
                <w:szCs w:val="14"/>
                <w:color w:val="auto"/>
              </w:rPr>
              <w:t>Finance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5"/>
              </w:rPr>
              <w:t>15.8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4"/>
                <w:szCs w:val="14"/>
                <w:color w:val="auto"/>
              </w:rPr>
              <w:t>Operating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3"/>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5"/>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payment of principal component. The table below shows our cash outflows, by lease type and related section of our statement of cash flows, as well as the non-cash amount capitalized on our balance sheet in relation to our operating lease right-of-use assets for the three months ending March 31, 2021 and 2020,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201"/>
        </w:trPr>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w w:val="92"/>
              </w:rPr>
              <w:t>Three months ended</w:t>
            </w:r>
          </w:p>
        </w:tc>
        <w:tc>
          <w:tcPr>
            <w:tcW w:w="960" w:type="dxa"/>
            <w:vAlign w:val="bottom"/>
          </w:tcPr>
          <w:p>
            <w:pPr>
              <w:spacing w:after="0"/>
              <w:rPr>
                <w:sz w:val="16"/>
                <w:szCs w:val="16"/>
                <w:color w:val="auto"/>
              </w:rPr>
            </w:pPr>
          </w:p>
        </w:tc>
      </w:tr>
      <w:tr>
        <w:trPr>
          <w:trHeight w:val="201"/>
        </w:trPr>
        <w:tc>
          <w:tcPr>
            <w:tcW w:w="58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96"/>
        </w:trPr>
        <w:tc>
          <w:tcPr>
            <w:tcW w:w="5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03"/>
        </w:trPr>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80,991</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82,338</w:t>
            </w:r>
          </w:p>
        </w:tc>
      </w:tr>
      <w:tr>
        <w:trPr>
          <w:trHeight w:val="203"/>
        </w:trPr>
        <w:tc>
          <w:tcPr>
            <w:tcW w:w="5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51,785</w:t>
            </w:r>
          </w:p>
        </w:tc>
        <w:tc>
          <w:tcPr>
            <w:tcW w:w="2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36,653</w:t>
            </w:r>
          </w:p>
        </w:tc>
      </w:tr>
      <w:tr>
        <w:trPr>
          <w:trHeight w:val="196"/>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132,776</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118,991</w:t>
            </w:r>
          </w:p>
        </w:tc>
      </w:tr>
      <w:tr>
        <w:trPr>
          <w:trHeight w:val="20"/>
        </w:trPr>
        <w:tc>
          <w:tcPr>
            <w:tcW w:w="5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r>
      <w:tr>
        <w:trPr>
          <w:trHeight w:val="201"/>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4"/>
          </w:tcPr>
          <w:p>
            <w:pPr>
              <w:jc w:val="center"/>
              <w:ind w:left="564"/>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9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9,508</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30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10,661</w:t>
            </w:r>
          </w:p>
        </w:tc>
        <w:tc>
          <w:tcPr>
            <w:tcW w:w="160" w:type="dxa"/>
            <w:vAlign w:val="bottom"/>
            <w:shd w:val="clear" w:color="auto" w:fill="CCEEFF"/>
          </w:tcPr>
          <w:p>
            <w:pPr>
              <w:spacing w:after="0"/>
              <w:rPr>
                <w:sz w:val="18"/>
                <w:szCs w:val="18"/>
                <w:color w:val="auto"/>
              </w:rPr>
            </w:pPr>
          </w:p>
        </w:tc>
      </w:tr>
      <w:tr>
        <w:trPr>
          <w:trHeight w:val="213"/>
        </w:trPr>
        <w:tc>
          <w:tcPr>
            <w:tcW w:w="3700" w:type="dxa"/>
            <w:vAlign w:val="bottom"/>
            <w:gridSpan w:val="2"/>
          </w:tcPr>
          <w:p>
            <w:pPr>
              <w:spacing w:after="0"/>
              <w:rPr>
                <w:sz w:val="20"/>
                <w:szCs w:val="20"/>
                <w:color w:val="auto"/>
              </w:rPr>
            </w:pPr>
            <w:r>
              <w:rPr>
                <w:rFonts w:ascii="Arial" w:cs="Arial" w:eastAsia="Arial" w:hAnsi="Arial"/>
                <w:sz w:val="16"/>
                <w:szCs w:val="16"/>
                <w:color w:val="auto"/>
              </w:rPr>
              <w:t>Asia Pacific</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103,391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96,828</w:t>
            </w:r>
          </w:p>
        </w:tc>
        <w:tc>
          <w:tcPr>
            <w:tcW w:w="1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11,502</w:t>
            </w:r>
          </w:p>
        </w:tc>
        <w:tc>
          <w:tcPr>
            <w:tcW w:w="160" w:type="dxa"/>
            <w:vAlign w:val="bottom"/>
            <w:shd w:val="clear" w:color="auto" w:fill="CCEEFF"/>
          </w:tcPr>
          <w:p>
            <w:pPr>
              <w:spacing w:after="0"/>
              <w:rPr>
                <w:sz w:val="19"/>
                <w:szCs w:val="19"/>
                <w:color w:val="auto"/>
              </w:rPr>
            </w:pPr>
          </w:p>
        </w:tc>
      </w:tr>
      <w:tr>
        <w:trPr>
          <w:trHeight w:val="196"/>
        </w:trPr>
        <w:tc>
          <w:tcPr>
            <w:tcW w:w="370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720" w:type="dxa"/>
            <w:vAlign w:val="bottom"/>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132,776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ind w:right="30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118,991</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80" w:top="517" w:right="1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101"/>
              <w:spacing w:after="0"/>
              <w:rPr>
                <w:sz w:val="20"/>
                <w:szCs w:val="20"/>
                <w:color w:val="auto"/>
              </w:rPr>
            </w:pPr>
            <w:r>
              <w:rPr>
                <w:rFonts w:ascii="Arial" w:cs="Arial" w:eastAsia="Arial" w:hAnsi="Arial"/>
                <w:sz w:val="14"/>
                <w:szCs w:val="14"/>
                <w:b w:val="1"/>
                <w:bCs w:val="1"/>
                <w:color w:val="auto"/>
                <w:w w:val="91"/>
              </w:rPr>
              <w:t>Three months ended</w:t>
            </w: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left="364"/>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121"/>
              <w:spacing w:after="0"/>
              <w:rPr>
                <w:sz w:val="20"/>
                <w:szCs w:val="20"/>
                <w:color w:val="auto"/>
              </w:rPr>
            </w:pPr>
            <w:r>
              <w:rPr>
                <w:rFonts w:ascii="Arial" w:cs="Arial" w:eastAsia="Arial" w:hAnsi="Arial"/>
                <w:sz w:val="14"/>
                <w:szCs w:val="14"/>
                <w:b w:val="1"/>
                <w:bCs w:val="1"/>
                <w:color w:val="auto"/>
                <w:w w:val="91"/>
              </w:rPr>
              <w:t>(in thousands)</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26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r>
      <w:tr>
        <w:trPr>
          <w:trHeight w:val="203"/>
        </w:trPr>
        <w:tc>
          <w:tcPr>
            <w:tcW w:w="20" w:type="dxa"/>
            <w:vAlign w:val="bottom"/>
          </w:tcPr>
          <w:p>
            <w:pPr>
              <w:spacing w:after="0"/>
              <w:rPr>
                <w:sz w:val="17"/>
                <w:szCs w:val="17"/>
                <w:color w:val="auto"/>
              </w:rPr>
            </w:pPr>
          </w:p>
        </w:tc>
        <w:tc>
          <w:tcPr>
            <w:tcW w:w="4700" w:type="dxa"/>
            <w:vAlign w:val="bottom"/>
          </w:tcPr>
          <w:p>
            <w:pPr>
              <w:ind w:left="140"/>
              <w:spacing w:after="0"/>
              <w:rPr>
                <w:sz w:val="20"/>
                <w:szCs w:val="20"/>
                <w:color w:val="auto"/>
              </w:rPr>
            </w:pPr>
            <w:r>
              <w:rPr>
                <w:rFonts w:ascii="Arial" w:cs="Arial" w:eastAsia="Arial" w:hAnsi="Arial"/>
                <w:sz w:val="16"/>
                <w:szCs w:val="16"/>
                <w:color w:val="auto"/>
              </w:rPr>
              <w:t>Deferral of revenue</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11,264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9,799</w:t>
            </w: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deferred revenue</w:t>
            </w:r>
          </w:p>
        </w:tc>
        <w:tc>
          <w:tcPr>
            <w:tcW w:w="2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w:t>
            </w:r>
          </w:p>
        </w:tc>
      </w:tr>
      <w:tr>
        <w:trPr>
          <w:trHeight w:val="196"/>
        </w:trPr>
        <w:tc>
          <w:tcPr>
            <w:tcW w:w="4720" w:type="dxa"/>
            <w:vAlign w:val="bottom"/>
            <w:gridSpan w:val="2"/>
          </w:tcPr>
          <w:p>
            <w:pPr>
              <w:spacing w:after="0"/>
              <w:rPr>
                <w:sz w:val="20"/>
                <w:szCs w:val="20"/>
                <w:color w:val="auto"/>
              </w:rPr>
            </w:pPr>
            <w:r>
              <w:rPr>
                <w:rFonts w:ascii="Arial" w:cs="Arial" w:eastAsia="Arial" w:hAnsi="Arial"/>
                <w:sz w:val="16"/>
                <w:szCs w:val="16"/>
                <w:color w:val="auto"/>
              </w:rPr>
              <w:t>Balance, end of the period</w:t>
            </w:r>
          </w:p>
        </w:tc>
        <w:tc>
          <w:tcPr>
            <w:tcW w:w="244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22,142</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34,106</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of 90% due upon shipment of the tool and 10% due upon acceptance. Aftermarket transaction payment terms usually provide that payment is due either within 30 or 60 days after the service is provided or parts delivered.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Axcelis maintains an allowance for credit losses, which represent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bureau report, as well as the value of the underlying collateral.</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performs detailed reviews of Axcelis’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three months ended March 31, 2021 and 2020,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r>
      <w:tr>
        <w:trPr>
          <w:trHeight w:val="188"/>
        </w:trPr>
        <w:tc>
          <w:tcPr>
            <w:tcW w:w="67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7"/>
                <w:szCs w:val="17"/>
                <w:color w:val="auto"/>
              </w:rPr>
            </w:pPr>
          </w:p>
        </w:tc>
      </w:tr>
      <w:tr>
        <w:trPr>
          <w:trHeight w:val="183"/>
        </w:trPr>
        <w:tc>
          <w:tcPr>
            <w:tcW w:w="6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160"/>
              <w:spacing w:after="0"/>
              <w:rPr>
                <w:sz w:val="20"/>
                <w:szCs w:val="20"/>
                <w:color w:val="auto"/>
              </w:rPr>
            </w:pPr>
            <w:r>
              <w:rPr>
                <w:rFonts w:ascii="Arial" w:cs="Arial" w:eastAsia="Arial" w:hAnsi="Arial"/>
                <w:sz w:val="16"/>
                <w:szCs w:val="16"/>
                <w:color w:val="auto"/>
              </w:rPr>
              <w:t>Provision for credit losses</w:t>
            </w:r>
          </w:p>
        </w:tc>
        <w:tc>
          <w:tcPr>
            <w:tcW w:w="66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Charge-offs</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r>
      <w:tr>
        <w:trPr>
          <w:trHeight w:val="216"/>
        </w:trPr>
        <w:tc>
          <w:tcPr>
            <w:tcW w:w="6700" w:type="dxa"/>
            <w:vAlign w:val="bottom"/>
          </w:tcPr>
          <w:p>
            <w:pPr>
              <w:ind w:left="160"/>
              <w:spacing w:after="0"/>
              <w:rPr>
                <w:sz w:val="20"/>
                <w:szCs w:val="20"/>
                <w:color w:val="auto"/>
              </w:rPr>
            </w:pPr>
            <w:r>
              <w:rPr>
                <w:rFonts w:ascii="Arial" w:cs="Arial" w:eastAsia="Arial" w:hAnsi="Arial"/>
                <w:sz w:val="16"/>
                <w:szCs w:val="16"/>
                <w:color w:val="auto"/>
              </w:rPr>
              <w:t>Recoveries</w:t>
            </w:r>
          </w:p>
        </w:tc>
        <w:tc>
          <w:tcPr>
            <w:tcW w:w="66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end of period</w:t>
            </w: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30"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59"/>
        </w:trPr>
        <w:tc>
          <w:tcPr>
            <w:tcW w:w="7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16,480</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 used in computing basic income per share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33,715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32,872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Weighted average common shares used in computing diluted net income per share</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34,643</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per share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Diluted weighted average common shares outstanding does not include 1,429 and 1,675 common equivalent shares issuable with respect to outstanding equity awards for the three-month periods ended March 31, 2021 and 2020, respectively, as their effect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Accumulated Other Comprehensive Income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income, net of tax, by component, for the three months ended March 31,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Foreign</w:t>
            </w:r>
          </w:p>
        </w:tc>
        <w:tc>
          <w:tcPr>
            <w:tcW w:w="16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Defined benefit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87"/>
              </w:rPr>
              <w:t>pension plan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80" w:type="dxa"/>
            <w:vAlign w:val="bottom"/>
            <w:shd w:val="clear" w:color="auto" w:fill="CCEEFF"/>
          </w:tcPr>
          <w:p>
            <w:pPr>
              <w:spacing w:after="0"/>
              <w:rPr>
                <w:sz w:val="23"/>
                <w:szCs w:val="23"/>
                <w:color w:val="auto"/>
              </w:rPr>
            </w:pPr>
          </w:p>
        </w:tc>
      </w:tr>
      <w:tr>
        <w:trPr>
          <w:trHeight w:val="281"/>
        </w:trPr>
        <w:tc>
          <w:tcPr>
            <w:tcW w:w="20" w:type="dxa"/>
            <w:vAlign w:val="bottom"/>
          </w:tcPr>
          <w:p>
            <w:pPr>
              <w:spacing w:after="0"/>
              <w:rPr>
                <w:sz w:val="24"/>
                <w:szCs w:val="24"/>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loss and pension reclassification</w:t>
            </w: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(1,372)</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w:t>
            </w:r>
          </w:p>
        </w:tc>
        <w:tc>
          <w:tcPr>
            <w:tcW w:w="80" w:type="dxa"/>
            <w:vAlign w:val="bottom"/>
            <w:tcBorders>
              <w:bottom w:val="single" w:sz="8" w:color="CCEEFF"/>
            </w:tcBorders>
          </w:tcPr>
          <w:p>
            <w:pPr>
              <w:spacing w:after="0"/>
              <w:rPr>
                <w:sz w:val="24"/>
                <w:szCs w:val="24"/>
                <w:color w:val="auto"/>
              </w:rPr>
            </w:pPr>
          </w:p>
        </w:tc>
      </w:tr>
      <w:tr>
        <w:trPr>
          <w:trHeight w:val="253"/>
        </w:trPr>
        <w:tc>
          <w:tcPr>
            <w:tcW w:w="20" w:type="dxa"/>
            <w:vAlign w:val="bottom"/>
          </w:tcPr>
          <w:p>
            <w:pPr>
              <w:spacing w:after="0"/>
              <w:rPr>
                <w:sz w:val="22"/>
                <w:szCs w:val="22"/>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380" w:top="517" w:right="13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28"/>
        </w:trPr>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206,766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203,479</w:t>
            </w:r>
          </w:p>
        </w:tc>
        <w:tc>
          <w:tcPr>
            <w:tcW w:w="120" w:type="dxa"/>
            <w:vAlign w:val="bottom"/>
            <w:shd w:val="clear" w:color="auto" w:fill="CCEEFF"/>
          </w:tcPr>
          <w:p>
            <w:pPr>
              <w:spacing w:after="0"/>
              <w:rPr>
                <w:sz w:val="18"/>
                <w:szCs w:val="18"/>
                <w:color w:val="auto"/>
              </w:rPr>
            </w:pPr>
          </w:p>
        </w:tc>
      </w:tr>
      <w:tr>
        <w:trPr>
          <w:trHeight w:val="213"/>
        </w:trPr>
        <w:tc>
          <w:tcPr>
            <w:tcW w:w="5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8"/>
                <w:szCs w:val="18"/>
                <w:color w:val="auto"/>
              </w:rPr>
            </w:pPr>
          </w:p>
        </w:tc>
      </w:tr>
      <w:tr>
        <w:trPr>
          <w:trHeight w:val="199"/>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207,519</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204,232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we had $0.8 million in restricted cash representing the total of (i) cash collateral for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$0.7 million letter of credit relating to workers’ compensation insurance and (ii) a $0.1 million deposit relating to customs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ind w:left="46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100,634</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100,254</w:t>
            </w:r>
          </w:p>
        </w:tc>
        <w:tc>
          <w:tcPr>
            <w:tcW w:w="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Work in process</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34,283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33,867</w:t>
            </w: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2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26,955</w:t>
            </w:r>
          </w:p>
        </w:tc>
        <w:tc>
          <w:tcPr>
            <w:tcW w:w="2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2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174,381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161,076</w:t>
            </w:r>
          </w:p>
        </w:tc>
        <w:tc>
          <w:tcPr>
            <w:tcW w:w="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Three months ended</w:t>
      </w:r>
    </w:p>
    <w:p>
      <w:pPr>
        <w:jc w:val="center"/>
        <w:ind w:left="71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Warranties issued during the period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1,385</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Settlements made during the period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(end of period)</w:t>
            </w: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Amount classified as current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 classified as long-term</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Fair Value Hierarchy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23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Fair Value Measurements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left="304"/>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174,752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484"/>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174,752</w:t>
            </w:r>
          </w:p>
        </w:tc>
        <w:tc>
          <w:tcPr>
            <w:tcW w:w="80" w:type="dxa"/>
            <w:vAlign w:val="bottom"/>
            <w:shd w:val="clear" w:color="auto" w:fill="CCEEFF"/>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left="304"/>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172,119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484"/>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172,119</w:t>
            </w:r>
          </w:p>
        </w:tc>
        <w:tc>
          <w:tcPr>
            <w:tcW w:w="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$48.0 million as of March 31, 2021.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77"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March 31, 2021, we were in compliance with all covenant requirements of the Credit Agreement. As of such date, no borrowings had been made under the Credit Agreement, although a letter of credit for $5.9 million, previously issued by Silicon Valley Bank, had been rolled under the Credit Agreement, reducing the funds available for borrowing under the credit line.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Income tax expense was $1.7 million for the three months ended March 31, 2021, compared to $1.0 million for the three months ended March 31, 2020. The $0.7 million increase was primarily due to a $6.0 million increase in pretax income partially offset by a tax benefit of $0.2 million due to the expiration of a statute of limitations on an uncertain tax</w:t>
      </w:r>
    </w:p>
    <w:p>
      <w:pPr>
        <w:sectPr>
          <w:pgSz w:w="11900" w:h="16838" w:orient="portrait"/>
          <w:cols w:equalWidth="0" w:num="1">
            <w:col w:w="9120"/>
          </w:cols>
          <w:pgMar w:left="1380" w:top="517" w:right="13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9"/>
        <w:spacing w:after="0" w:line="263" w:lineRule="auto"/>
        <w:rPr>
          <w:sz w:val="20"/>
          <w:szCs w:val="20"/>
          <w:color w:val="auto"/>
        </w:rPr>
      </w:pPr>
      <w:r>
        <w:rPr>
          <w:rFonts w:ascii="Arial" w:cs="Arial" w:eastAsia="Arial" w:hAnsi="Arial"/>
          <w:sz w:val="18"/>
          <w:szCs w:val="18"/>
          <w:color w:val="auto"/>
        </w:rPr>
        <w:t>position. The effective tax rate for the three months ended March 31, 2021 and 2020, respectively, was less than the U.S. statutory rate of 21% due to favorable discrete items related to equity compensation in those periods and Federal research and development tax credits that reduce the annual tax rate.</w:t>
      </w:r>
    </w:p>
    <w:p>
      <w:pPr>
        <w:spacing w:after="0" w:line="184" w:lineRule="exact"/>
        <w:rPr>
          <w:sz w:val="20"/>
          <w:szCs w:val="20"/>
          <w:color w:val="auto"/>
        </w:rPr>
      </w:pPr>
    </w:p>
    <w:p>
      <w:pPr>
        <w:ind w:right="79" w:firstLine="648"/>
        <w:spacing w:after="0" w:line="291" w:lineRule="auto"/>
        <w:rPr>
          <w:sz w:val="20"/>
          <w:szCs w:val="20"/>
          <w:color w:val="auto"/>
        </w:rPr>
      </w:pPr>
      <w:r>
        <w:rPr>
          <w:rFonts w:ascii="Arial" w:cs="Arial" w:eastAsia="Arial" w:hAnsi="Arial"/>
          <w:sz w:val="16"/>
          <w:szCs w:val="16"/>
          <w:color w:val="auto"/>
        </w:rPr>
        <w:t>We had $54.9 million and $57.9 million of net deferred tax assets worldwide relating to net operating loss carryforwards, tax credit carryforwards and other temporary differences, as of March 31, 2021 and December 31, 2020, respectively. These deferred tax assets are available to reduce income taxes in future years. We have a $9.1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229" w:lineRule="exact"/>
        <w:rPr>
          <w:sz w:val="20"/>
          <w:szCs w:val="20"/>
          <w:color w:val="auto"/>
        </w:rPr>
      </w:pPr>
    </w:p>
    <w:p>
      <w:pPr>
        <w:jc w:val="both"/>
        <w:ind w:right="79" w:firstLine="648"/>
        <w:spacing w:after="0" w:line="342" w:lineRule="auto"/>
        <w:rPr>
          <w:sz w:val="20"/>
          <w:szCs w:val="20"/>
          <w:color w:val="auto"/>
        </w:rPr>
      </w:pPr>
      <w:r>
        <w:rPr>
          <w:rFonts w:ascii="Arial" w:cs="Arial" w:eastAsia="Arial" w:hAnsi="Arial"/>
          <w:sz w:val="16"/>
          <w:szCs w:val="16"/>
          <w:color w:val="auto"/>
        </w:rPr>
        <w:t>For the three months ended March 31, 2021, one customer accounted for 29.6% of total revenue. For the three months ended March 31, 2020, four customers accounted for 20.9%, 16.9%, 14.6% and 10.7% of total revenue, respectively.</w:t>
      </w:r>
    </w:p>
    <w:p>
      <w:pPr>
        <w:spacing w:after="0" w:line="124" w:lineRule="exact"/>
        <w:rPr>
          <w:sz w:val="20"/>
          <w:szCs w:val="20"/>
          <w:color w:val="auto"/>
        </w:rPr>
      </w:pPr>
    </w:p>
    <w:p>
      <w:pPr>
        <w:ind w:right="719" w:firstLine="648"/>
        <w:spacing w:after="0" w:line="277" w:lineRule="auto"/>
        <w:rPr>
          <w:sz w:val="20"/>
          <w:szCs w:val="20"/>
          <w:color w:val="auto"/>
        </w:rPr>
      </w:pPr>
      <w:r>
        <w:rPr>
          <w:rFonts w:ascii="Arial" w:cs="Arial" w:eastAsia="Arial" w:hAnsi="Arial"/>
          <w:sz w:val="18"/>
          <w:szCs w:val="18"/>
          <w:color w:val="auto"/>
        </w:rPr>
        <w:t>At March 31, 2021, one customer accounted for 19.8% of accounts receivable. At December 31, 2020, two customers accounted for 23.8% and 11.9% of accounts receivable,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229" w:lineRule="exact"/>
        <w:rPr>
          <w:sz w:val="20"/>
          <w:szCs w:val="20"/>
          <w:color w:val="auto"/>
        </w:rPr>
      </w:pPr>
    </w:p>
    <w:p>
      <w:pPr>
        <w:jc w:val="both"/>
        <w:ind w:right="99" w:firstLine="648"/>
        <w:spacing w:after="0" w:line="301" w:lineRule="auto"/>
        <w:rPr>
          <w:sz w:val="20"/>
          <w:szCs w:val="20"/>
          <w:color w:val="auto"/>
        </w:rPr>
      </w:pPr>
      <w:r>
        <w:rPr>
          <w:rFonts w:ascii="Arial" w:cs="Arial" w:eastAsia="Arial" w:hAnsi="Arial"/>
          <w:sz w:val="16"/>
          <w:szCs w:val="16"/>
          <w:color w:val="auto"/>
        </w:rPr>
        <w:t>In December 2020, our Board of Directors approved stock repurchases of up to $100 million of our common stock through the end of 2021. During the three months ended March 31, 2021, we purchased 0.3 million shares at an average cost of $38.41 per share. The timing and actual number of shares repurchased under this program will depend on various factors including price, corporate and regulatory requirements, alternative investment opportunities and other market conditions.</w:t>
      </w:r>
    </w:p>
    <w:p>
      <w:pPr>
        <w:spacing w:after="0" w:line="157" w:lineRule="exact"/>
        <w:rPr>
          <w:sz w:val="20"/>
          <w:szCs w:val="20"/>
          <w:color w:val="auto"/>
        </w:rPr>
      </w:pPr>
    </w:p>
    <w:p>
      <w:pPr>
        <w:ind w:right="59" w:firstLine="648"/>
        <w:spacing w:after="0" w:line="257" w:lineRule="auto"/>
        <w:rPr>
          <w:sz w:val="20"/>
          <w:szCs w:val="20"/>
          <w:color w:val="auto"/>
        </w:rPr>
      </w:pPr>
      <w:r>
        <w:rPr>
          <w:rFonts w:ascii="Arial" w:cs="Arial" w:eastAsia="Arial" w:hAnsi="Arial"/>
          <w:sz w:val="18"/>
          <w:szCs w:val="18"/>
          <w:color w:val="auto"/>
        </w:rPr>
        <w:t>Shares repurchased by us are accounted for when the transaction is settled. There were 22,160 unsettled share repurchases totaling approximately $0.9 million at March 31, 2021. Shares repurchased and retired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62" w:lineRule="exact"/>
        <w:rPr>
          <w:sz w:val="20"/>
          <w:szCs w:val="20"/>
          <w:color w:val="auto"/>
        </w:rPr>
      </w:pPr>
    </w:p>
    <w:p>
      <w:pPr>
        <w:ind w:right="119"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Guidance</w:t>
      </w:r>
    </w:p>
    <w:p>
      <w:pPr>
        <w:spacing w:after="0" w:line="198" w:lineRule="exact"/>
        <w:rPr>
          <w:sz w:val="20"/>
          <w:szCs w:val="20"/>
          <w:color w:val="auto"/>
        </w:rPr>
      </w:pPr>
    </w:p>
    <w:p>
      <w:pPr>
        <w:ind w:left="660" w:hanging="42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 2019-12 Income Taxes (Topic 740)</w:t>
      </w:r>
    </w:p>
    <w:p>
      <w:pPr>
        <w:spacing w:after="0" w:line="229" w:lineRule="exact"/>
        <w:rPr>
          <w:sz w:val="20"/>
          <w:szCs w:val="20"/>
          <w:color w:val="auto"/>
        </w:rPr>
      </w:pPr>
    </w:p>
    <w:p>
      <w:pPr>
        <w:ind w:right="99" w:firstLine="648"/>
        <w:spacing w:after="0" w:line="254" w:lineRule="auto"/>
        <w:rPr>
          <w:sz w:val="20"/>
          <w:szCs w:val="20"/>
          <w:color w:val="auto"/>
        </w:rPr>
      </w:pPr>
      <w:r>
        <w:rPr>
          <w:rFonts w:ascii="Arial" w:cs="Arial" w:eastAsia="Arial" w:hAnsi="Arial"/>
          <w:sz w:val="18"/>
          <w:szCs w:val="18"/>
          <w:color w:val="auto"/>
        </w:rPr>
        <w:t>We adopted Financial Accounting Standards Board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as of January 1, 2021 on a prospective basis. The amendments in this ASU simplify the accounting for income taxes by removing certain exceptions from the previous standard as well as requiring entities to include franchise tax partially based on income as an income based tax and to account for an enacted change in tax laws or rates in the annual effective tax rate computation in the interim period that includes the enactment date. The guidance in ASU 2019-12 is required for annual reporting periods beginning after December 15, 2020. Adoption of ASU 2019-12 had no material effect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29">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29">
        <w:r>
          <w:rPr>
            <w:rFonts w:ascii="Arial" w:cs="Arial" w:eastAsia="Arial" w:hAnsi="Arial"/>
            <w:sz w:val="17"/>
            <w:szCs w:val="17"/>
            <w:i w:val="1"/>
            <w:iCs w:val="1"/>
            <w:u w:val="single" w:color="auto"/>
            <w:color w:val="0000EE"/>
          </w:rPr>
          <w:t>December 31, 2020</w:t>
        </w:r>
        <w:r>
          <w:rPr>
            <w:rFonts w:ascii="Arial" w:cs="Arial" w:eastAsia="Arial" w:hAnsi="Arial"/>
            <w:sz w:val="17"/>
            <w:szCs w:val="17"/>
            <w:i w:val="1"/>
            <w:iCs w:val="1"/>
            <w:color w:val="000000"/>
          </w:rPr>
          <w:t xml:space="preserve">, which discussion is incorporated herein by reference. Readers are cautioned not to place undue </w:t>
        </w:r>
      </w:hyperlink>
      <w:r>
        <w:rPr>
          <w:rFonts w:ascii="Arial" w:cs="Arial" w:eastAsia="Arial" w:hAnsi="Arial"/>
          <w:sz w:val="17"/>
          <w:szCs w:val="17"/>
          <w:i w:val="1"/>
          <w:iCs w:val="1"/>
          <w:color w:val="0000EE"/>
        </w:rPr>
        <w:t xml:space="preserve">reliance </w:t>
      </w:r>
      <w:r>
        <w:rPr>
          <w:rFonts w:ascii="Arial" w:cs="Arial" w:eastAsia="Arial" w:hAnsi="Arial"/>
          <w:sz w:val="17"/>
          <w:szCs w:val="17"/>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occur primarily in the United States.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79.8% of total revenue for the three months ended March 31, 2021.</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first three months of 2021, we delivered strong financial performance driven by demand for our Purion products and gross margins of 42.5% despite the many difficult logistical challenges brought on by trade tensions between the United States and China and the COVID-19 pandemic. We are continuing to work closely with our customers across market segments, even during this difficult time, to provide them with the best ion implant solutions for their specific manufacturing challenges.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December 2020, the United States Commerce Department placed one of our major Chinese customers, Semiconductor Manufacturing International Corporation (“SMIC”), on the U.S. export controls Entity List. This same customer was identified by the Commerce Department in September 2020 as subject to a military end use rule that required us to obtain export controls licenses from the Commerce Department to ship high energy systems, but not our high current systems, ordered by this customer. As a result of the Entity List classification, we are required to obtain export controls licenses for all U.S. shipments to this customer. We did not receive any export controls licenses for this customer in the quarter ended March 31, 2021. This situation is currently delaying shipments to this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2020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Conditions and Results of Operations included in our Annual Report on Form 10-K for the year ended December 31, 2020.</w:t>
      </w:r>
    </w:p>
    <w:p>
      <w:pPr>
        <w:sectPr>
          <w:pgSz w:w="11900" w:h="16838" w:orient="portrait"/>
          <w:cols w:equalWidth="0" w:num="1">
            <w:col w:w="9100"/>
          </w:cols>
          <w:pgMar w:left="1380" w:top="517" w:right="14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29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Three months ended</w:t>
      </w:r>
    </w:p>
    <w:p>
      <w:pPr>
        <w:jc w:val="center"/>
        <w:ind w:left="60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Product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95.4 %</w:t>
            </w:r>
          </w:p>
        </w:tc>
        <w:tc>
          <w:tcPr>
            <w:tcW w:w="1380" w:type="dxa"/>
            <w:vAlign w:val="bottom"/>
            <w:gridSpan w:val="2"/>
          </w:tcPr>
          <w:p>
            <w:pPr>
              <w:jc w:val="right"/>
              <w:ind w:right="259"/>
              <w:spacing w:after="0"/>
              <w:rPr>
                <w:sz w:val="20"/>
                <w:szCs w:val="20"/>
                <w:color w:val="auto"/>
              </w:rPr>
            </w:pPr>
            <w:r>
              <w:rPr>
                <w:rFonts w:ascii="Arial" w:cs="Arial" w:eastAsia="Arial" w:hAnsi="Arial"/>
                <w:sz w:val="16"/>
                <w:szCs w:val="16"/>
                <w:color w:val="auto"/>
              </w:rPr>
              <w:t>94.2 %</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80" w:type="dxa"/>
            <w:vAlign w:val="bottom"/>
            <w:shd w:val="clear" w:color="auto" w:fill="CCEEFF"/>
          </w:tcPr>
          <w:p>
            <w:pPr>
              <w:spacing w:after="0"/>
              <w:rPr>
                <w:sz w:val="19"/>
                <w:szCs w:val="19"/>
                <w:color w:val="auto"/>
              </w:rPr>
            </w:pPr>
          </w:p>
        </w:tc>
      </w:tr>
      <w:tr>
        <w:trPr>
          <w:trHeight w:val="196"/>
        </w:trPr>
        <w:tc>
          <w:tcPr>
            <w:tcW w:w="654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c>
          <w:tcPr>
            <w:tcW w:w="480" w:type="dxa"/>
            <w:vAlign w:val="bottom"/>
          </w:tcPr>
          <w:p>
            <w:pPr>
              <w:spacing w:after="0"/>
              <w:rPr>
                <w:sz w:val="17"/>
                <w:szCs w:val="17"/>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Product</w:t>
            </w:r>
          </w:p>
        </w:tc>
        <w:tc>
          <w:tcPr>
            <w:tcW w:w="900" w:type="dxa"/>
            <w:vAlign w:val="bottom"/>
          </w:tcPr>
          <w:p>
            <w:pPr>
              <w:jc w:val="right"/>
              <w:spacing w:after="0"/>
              <w:rPr>
                <w:sz w:val="20"/>
                <w:szCs w:val="20"/>
                <w:color w:val="auto"/>
              </w:rPr>
            </w:pPr>
            <w:r>
              <w:rPr>
                <w:rFonts w:ascii="Arial" w:cs="Arial" w:eastAsia="Arial" w:hAnsi="Arial"/>
                <w:sz w:val="16"/>
                <w:szCs w:val="16"/>
                <w:color w:val="auto"/>
              </w:rPr>
              <w:t>53.0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56.5</w:t>
            </w:r>
          </w:p>
        </w:tc>
        <w:tc>
          <w:tcPr>
            <w:tcW w:w="480" w:type="dxa"/>
            <w:vAlign w:val="bottom"/>
          </w:tcPr>
          <w:p>
            <w:pPr>
              <w:spacing w:after="0"/>
              <w:rPr>
                <w:sz w:val="18"/>
                <w:szCs w:val="18"/>
                <w:color w:val="auto"/>
              </w:rPr>
            </w:pP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80" w:type="dxa"/>
            <w:vAlign w:val="bottom"/>
            <w:shd w:val="clear" w:color="auto" w:fill="CCEEFF"/>
          </w:tcPr>
          <w:p>
            <w:pPr>
              <w:spacing w:after="0"/>
              <w:rPr>
                <w:sz w:val="19"/>
                <w:szCs w:val="19"/>
                <w:color w:val="auto"/>
              </w:rPr>
            </w:pPr>
          </w:p>
        </w:tc>
      </w:tr>
      <w:tr>
        <w:trPr>
          <w:trHeight w:val="196"/>
        </w:trPr>
        <w:tc>
          <w:tcPr>
            <w:tcW w:w="654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57.5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w:t>
            </w:r>
          </w:p>
        </w:tc>
        <w:tc>
          <w:tcPr>
            <w:tcW w:w="480" w:type="dxa"/>
            <w:vAlign w:val="bottom"/>
          </w:tcPr>
          <w:p>
            <w:pPr>
              <w:spacing w:after="0"/>
              <w:rPr>
                <w:sz w:val="17"/>
                <w:szCs w:val="17"/>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480" w:type="dxa"/>
            <w:vAlign w:val="bottom"/>
            <w:shd w:val="clear" w:color="auto" w:fill="CCEEFF"/>
          </w:tcPr>
          <w:p>
            <w:pPr>
              <w:spacing w:after="0"/>
              <w:rPr>
                <w:sz w:val="18"/>
                <w:szCs w:val="18"/>
                <w:color w:val="auto"/>
              </w:rPr>
            </w:pPr>
          </w:p>
        </w:tc>
      </w:tr>
      <w:tr>
        <w:trPr>
          <w:trHeight w:val="213"/>
        </w:trPr>
        <w:tc>
          <w:tcPr>
            <w:tcW w:w="6540" w:type="dxa"/>
            <w:vAlign w:val="bottom"/>
          </w:tcPr>
          <w:p>
            <w:pPr>
              <w:spacing w:after="0"/>
              <w:rPr>
                <w:sz w:val="20"/>
                <w:szCs w:val="20"/>
                <w:color w:val="auto"/>
              </w:rPr>
            </w:pPr>
            <w:r>
              <w:rPr>
                <w:rFonts w:ascii="Arial" w:cs="Arial" w:eastAsia="Arial" w:hAnsi="Arial"/>
                <w:sz w:val="16"/>
                <w:szCs w:val="16"/>
                <w:color w:val="auto"/>
              </w:rPr>
              <w:t>Operating expenses: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80" w:type="dxa"/>
            <w:vAlign w:val="bottom"/>
            <w:shd w:val="clear" w:color="auto" w:fill="CCEEFF"/>
          </w:tcPr>
          <w:p>
            <w:pPr>
              <w:spacing w:after="0"/>
              <w:rPr>
                <w:sz w:val="19"/>
                <w:szCs w:val="19"/>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480" w:type="dxa"/>
            <w:vAlign w:val="bottom"/>
          </w:tcPr>
          <w:p>
            <w:pPr>
              <w:spacing w:after="0"/>
              <w:rPr>
                <w:sz w:val="18"/>
                <w:szCs w:val="18"/>
                <w:color w:val="auto"/>
              </w:rPr>
            </w:pP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480" w:type="dxa"/>
            <w:vAlign w:val="bottom"/>
            <w:shd w:val="clear" w:color="auto" w:fill="CCEEFF"/>
          </w:tcPr>
          <w:p>
            <w:pPr>
              <w:spacing w:after="0"/>
              <w:rPr>
                <w:sz w:val="19"/>
                <w:szCs w:val="19"/>
                <w:color w:val="auto"/>
              </w:rPr>
            </w:pPr>
          </w:p>
        </w:tc>
      </w:tr>
      <w:tr>
        <w:trPr>
          <w:trHeight w:val="196"/>
        </w:trPr>
        <w:tc>
          <w:tcPr>
            <w:tcW w:w="65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3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48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480" w:type="dxa"/>
            <w:vAlign w:val="bottom"/>
            <w:shd w:val="clear" w:color="auto" w:fill="CCEEFF"/>
          </w:tcPr>
          <w:p>
            <w:pPr>
              <w:spacing w:after="0"/>
              <w:rPr>
                <w:sz w:val="17"/>
                <w:szCs w:val="17"/>
                <w:color w:val="auto"/>
              </w:rPr>
            </w:pPr>
          </w:p>
        </w:tc>
      </w:tr>
      <w:tr>
        <w:trPr>
          <w:trHeight w:val="213"/>
        </w:trPr>
        <w:tc>
          <w:tcPr>
            <w:tcW w:w="6540" w:type="dxa"/>
            <w:vAlign w:val="bottom"/>
          </w:tcPr>
          <w:p>
            <w:pPr>
              <w:spacing w:after="0"/>
              <w:rPr>
                <w:sz w:val="20"/>
                <w:szCs w:val="20"/>
                <w:color w:val="auto"/>
              </w:rPr>
            </w:pPr>
            <w:r>
              <w:rPr>
                <w:rFonts w:ascii="Arial" w:cs="Arial" w:eastAsia="Arial" w:hAnsi="Arial"/>
                <w:sz w:val="16"/>
                <w:szCs w:val="16"/>
                <w:color w:val="auto"/>
              </w:rPr>
              <w:t>Other (expense) income: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20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80" w:type="dxa"/>
            <w:vAlign w:val="bottom"/>
            <w:shd w:val="clear" w:color="auto" w:fill="CCEEFF"/>
          </w:tcPr>
          <w:p>
            <w:pPr>
              <w:spacing w:after="0"/>
              <w:rPr>
                <w:sz w:val="19"/>
                <w:szCs w:val="19"/>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(0.8)</w:t>
            </w:r>
          </w:p>
        </w:tc>
        <w:tc>
          <w:tcPr>
            <w:tcW w:w="1380" w:type="dxa"/>
            <w:vAlign w:val="bottom"/>
            <w:gridSpan w:val="2"/>
          </w:tcPr>
          <w:p>
            <w:pPr>
              <w:jc w:val="right"/>
              <w:ind w:right="399"/>
              <w:spacing w:after="0"/>
              <w:rPr>
                <w:sz w:val="20"/>
                <w:szCs w:val="20"/>
                <w:color w:val="auto"/>
              </w:rPr>
            </w:pPr>
            <w:r>
              <w:rPr>
                <w:rFonts w:ascii="Arial" w:cs="Arial" w:eastAsia="Arial" w:hAnsi="Arial"/>
                <w:sz w:val="16"/>
                <w:szCs w:val="16"/>
                <w:color w:val="auto"/>
              </w:rPr>
              <w:t>(1.1)</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(0.9)</w:t>
            </w:r>
          </w:p>
        </w:tc>
        <w:tc>
          <w:tcPr>
            <w:tcW w:w="138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(0.5)</w:t>
            </w:r>
          </w:p>
        </w:tc>
      </w:tr>
      <w:tr>
        <w:trPr>
          <w:trHeight w:val="196"/>
        </w:trPr>
        <w:tc>
          <w:tcPr>
            <w:tcW w:w="65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expense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8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80" w:type="dxa"/>
            <w:vAlign w:val="bottom"/>
            <w:shd w:val="clear" w:color="auto" w:fill="CCEEFF"/>
          </w:tcPr>
          <w:p>
            <w:pPr>
              <w:spacing w:after="0"/>
              <w:rPr>
                <w:sz w:val="17"/>
                <w:szCs w:val="17"/>
                <w:color w:val="auto"/>
              </w:rPr>
            </w:pPr>
          </w:p>
        </w:tc>
      </w:tr>
      <w:tr>
        <w:trPr>
          <w:trHeight w:val="213"/>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480" w:type="dxa"/>
            <w:vAlign w:val="bottom"/>
            <w:tcBorders>
              <w:bottom w:val="single" w:sz="8" w:color="CCEEFF"/>
            </w:tcBorders>
          </w:tcPr>
          <w:p>
            <w:pPr>
              <w:spacing w:after="0"/>
              <w:rPr>
                <w:sz w:val="18"/>
                <w:szCs w:val="18"/>
                <w:color w:val="auto"/>
              </w:rPr>
            </w:pPr>
          </w:p>
        </w:tc>
      </w:tr>
      <w:tr>
        <w:trPr>
          <w:trHeight w:val="199"/>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4"/>
              </w:rPr>
              <w:t>%</w:t>
            </w:r>
          </w:p>
        </w:tc>
      </w:tr>
      <w:tr>
        <w:trPr>
          <w:trHeight w:val="20"/>
        </w:trPr>
        <w:tc>
          <w:tcPr>
            <w:tcW w:w="6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Period-to-Period</w:t>
            </w: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6"/>
                <w:szCs w:val="16"/>
                <w:color w:val="auto"/>
              </w:rPr>
              <w:t>Product</w:t>
            </w:r>
          </w:p>
        </w:tc>
        <w:tc>
          <w:tcPr>
            <w:tcW w:w="2700" w:type="dxa"/>
            <w:vAlign w:val="bottom"/>
            <w:gridSpan w:val="2"/>
          </w:tcPr>
          <w:p>
            <w:pPr>
              <w:jc w:val="right"/>
              <w:spacing w:after="0"/>
              <w:rPr>
                <w:sz w:val="20"/>
                <w:szCs w:val="20"/>
                <w:color w:val="auto"/>
              </w:rPr>
            </w:pPr>
            <w:r>
              <w:rPr>
                <w:rFonts w:ascii="Arial" w:cs="Arial" w:eastAsia="Arial" w:hAnsi="Arial"/>
                <w:sz w:val="16"/>
                <w:szCs w:val="16"/>
                <w:color w:val="auto"/>
              </w:rPr>
              <w:t>$ 126,609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$ 112,133</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89"/>
              </w:rPr>
              <w:t>$ 14,476</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i w:val="1"/>
                <w:iCs w:val="1"/>
                <w:color w:val="auto"/>
              </w:rPr>
              <w:t>12.9 %</w:t>
            </w:r>
          </w:p>
        </w:tc>
      </w:tr>
      <w:tr>
        <w:trPr>
          <w:trHeight w:val="219"/>
        </w:trPr>
        <w:tc>
          <w:tcPr>
            <w:tcW w:w="2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2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95.4 %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94.2 %</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6"/>
                <w:szCs w:val="16"/>
                <w:color w:val="auto"/>
              </w:rPr>
              <w:t>Services</w:t>
            </w:r>
          </w:p>
        </w:tc>
        <w:tc>
          <w:tcPr>
            <w:tcW w:w="2700" w:type="dxa"/>
            <w:vAlign w:val="bottom"/>
            <w:gridSpan w:val="2"/>
          </w:tcPr>
          <w:p>
            <w:pPr>
              <w:jc w:val="right"/>
              <w:spacing w:after="0"/>
              <w:rPr>
                <w:sz w:val="20"/>
                <w:szCs w:val="20"/>
                <w:color w:val="auto"/>
              </w:rPr>
            </w:pPr>
            <w:r>
              <w:rPr>
                <w:rFonts w:ascii="Arial" w:cs="Arial" w:eastAsia="Arial" w:hAnsi="Arial"/>
                <w:sz w:val="16"/>
                <w:szCs w:val="16"/>
                <w:color w:val="auto"/>
              </w:rPr>
              <w:t>6,167</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6,858</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(691)</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i w:val="1"/>
                <w:iCs w:val="1"/>
                <w:color w:val="auto"/>
              </w:rPr>
              <w:t>(10.1)%</w:t>
            </w:r>
          </w:p>
        </w:tc>
      </w:tr>
      <w:tr>
        <w:trPr>
          <w:trHeight w:val="219"/>
        </w:trPr>
        <w:tc>
          <w:tcPr>
            <w:tcW w:w="2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2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4.6 %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5.8 %</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20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$ 132,776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$ 118,991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$ 13,785</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i w:val="1"/>
                <w:iCs w:val="1"/>
                <w:color w:val="auto"/>
              </w:rPr>
              <w:t xml:space="preserve">11.6 </w:t>
            </w: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with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Product revenue, which includes systems sales, sales of spare parts, product upgrades and used systems was</w:t>
      </w:r>
    </w:p>
    <w:p>
      <w:pPr>
        <w:spacing w:after="0" w:line="2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$126.6 million, or 95.4% of revenue during the three months ended March 31, 2021, compared with $112.1 million, or 94.2% of revenue for the three months ended March 31, 2020. The $14.5 million increase in product revenue for the three</w:t>
      </w:r>
    </w:p>
    <w:p>
      <w:pPr>
        <w:sectPr>
          <w:pgSz w:w="11900" w:h="16838" w:orient="portrait"/>
          <w:cols w:equalWidth="0" w:num="1">
            <w:col w:w="9120"/>
          </w:cols>
          <w:pgMar w:left="1380" w:top="517" w:right="139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month period ending March 31, 2021, in comparison to the same period in 2020, was primarily driven by an increase in sales of spare parts, product upgrades and used systems.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portion of our revenue from systems sales is deferred until installation and other services related to future performance obligations are performed. The total amount of deferred revenue at March 31, 2021 and December 31, 2020 was $22.1 million and $23.1 million, respectively. The net decrease in deferred revenue was primarily due to the recognition of revenue on tool acceptances.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Services revenue, which includes the labor component of maintenance and service contracts and fees for service hours provided by on-site service personnel, was $6.2 million, or 4.6% of revenue for the three months ended March 31, 2021, compared with $6.9 million, or 5.8% of revenue for the three months ended March 31, 2020.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20" w:right="540" w:hanging="316"/>
        <w:spacing w:after="0" w:line="308" w:lineRule="auto"/>
        <w:tabs>
          <w:tab w:leader="none" w:pos="1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Ion implant revenue separate from revenue from legacy non-ion implant product lines, given that ion implantation systems are the primary driver of our growth and strategic objectives;</w:t>
      </w:r>
    </w:p>
    <w:p>
      <w:pPr>
        <w:spacing w:after="0" w:line="146" w:lineRule="exact"/>
        <w:rPr>
          <w:rFonts w:ascii="Arial" w:cs="Arial" w:eastAsia="Arial" w:hAnsi="Arial"/>
          <w:sz w:val="17"/>
          <w:szCs w:val="17"/>
          <w:color w:val="auto"/>
        </w:rPr>
      </w:pPr>
    </w:p>
    <w:p>
      <w:pPr>
        <w:ind w:left="1320" w:hanging="31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80" w:right="520" w:hanging="328"/>
        <w:spacing w:after="0" w:line="250" w:lineRule="auto"/>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20" w:right="40" w:hanging="31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20" w:right="320" w:hanging="316"/>
        <w:spacing w:after="0" w:line="279"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ion implant and Aftermarket revenue categories for recent periods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with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Ion Implant</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Included in total revenue of $132.8 million during the three months ended March 31, 2021 is revenue from sales of ion implant products and services of $128.8 million, or 97.0% of total revenue, compared with $115.0 million, or 96.7%, of total revenue for the three months ended March 31, 2020. The remaining $4.0 million of revenue for the three months ended March 31, 2021 was non-ion implant parts and services.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Included in total revenue of $132.8 million during the three months ended March 31, 2021 is revenue from our Aftermarket business of $51.8 million, compared to $36.7 million for the three months ended March 31, 2020. The remaining $81.0 million of revenue for the three months ended March 31, 2021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520"/>
              <w:spacing w:after="0"/>
              <w:rPr>
                <w:sz w:val="20"/>
                <w:szCs w:val="20"/>
                <w:color w:val="auto"/>
              </w:rPr>
            </w:pPr>
            <w:r>
              <w:rPr>
                <w:rFonts w:ascii="Arial" w:cs="Arial" w:eastAsia="Arial" w:hAnsi="Arial"/>
                <w:sz w:val="14"/>
                <w:szCs w:val="14"/>
                <w:b w:val="1"/>
                <w:bCs w:val="1"/>
                <w:color w:val="auto"/>
                <w:w w:val="92"/>
              </w:rPr>
              <w:t>Three months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2"/>
              </w:rPr>
              <w:t>Period-to-Period</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Product</w:t>
            </w:r>
          </w:p>
        </w:tc>
        <w:tc>
          <w:tcPr>
            <w:tcW w:w="9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56,275</w:t>
            </w:r>
          </w:p>
        </w:tc>
        <w:tc>
          <w:tcPr>
            <w:tcW w:w="180" w:type="dxa"/>
            <w:vAlign w:val="bottom"/>
          </w:tcPr>
          <w:p>
            <w:pPr>
              <w:spacing w:after="0"/>
              <w:rPr>
                <w:sz w:val="18"/>
                <w:szCs w:val="18"/>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44,961</w:t>
            </w:r>
          </w:p>
        </w:tc>
        <w:tc>
          <w:tcPr>
            <w:tcW w:w="200" w:type="dxa"/>
            <w:vAlign w:val="bottom"/>
          </w:tcPr>
          <w:p>
            <w:pPr>
              <w:spacing w:after="0"/>
              <w:rPr>
                <w:sz w:val="18"/>
                <w:szCs w:val="18"/>
                <w:color w:val="auto"/>
              </w:rPr>
            </w:pPr>
          </w:p>
        </w:tc>
        <w:tc>
          <w:tcPr>
            <w:tcW w:w="38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i w:val="1"/>
                <w:iCs w:val="1"/>
                <w:color w:val="auto"/>
              </w:rPr>
              <w:t xml:space="preserve">25.2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Product gross margin</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44.4 %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i w:val="1"/>
                <w:iCs w:val="1"/>
                <w:color w:val="auto"/>
              </w:rPr>
              <w:t>40.1 %</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i w:val="1"/>
                <w:iCs w:val="1"/>
                <w:color w:val="auto"/>
              </w:rPr>
              <w:t>(72.8)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320"/>
              <w:spacing w:after="0"/>
              <w:rPr>
                <w:sz w:val="20"/>
                <w:szCs w:val="20"/>
                <w:color w:val="auto"/>
              </w:rPr>
            </w:pPr>
            <w:r>
              <w:rPr>
                <w:rFonts w:ascii="Arial" w:cs="Arial" w:eastAsia="Arial" w:hAnsi="Arial"/>
                <w:sz w:val="16"/>
                <w:szCs w:val="16"/>
                <w:i w:val="1"/>
                <w:iCs w:val="1"/>
                <w:color w:val="auto"/>
              </w:rPr>
              <w:t>Services gross margin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i w:val="1"/>
                <w:iCs w:val="1"/>
                <w:color w:val="auto"/>
              </w:rPr>
              <w:t>2.6 %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
              <w:spacing w:after="0"/>
              <w:rPr>
                <w:sz w:val="20"/>
                <w:szCs w:val="20"/>
                <w:color w:val="auto"/>
              </w:rPr>
            </w:pPr>
            <w:r>
              <w:rPr>
                <w:rFonts w:ascii="Arial" w:cs="Arial" w:eastAsia="Arial" w:hAnsi="Arial"/>
                <w:sz w:val="16"/>
                <w:szCs w:val="16"/>
                <w:i w:val="1"/>
                <w:iCs w:val="1"/>
                <w:color w:val="auto"/>
              </w:rPr>
              <w:t>8.6 %</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56,435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i w:val="1"/>
                <w:iCs w:val="1"/>
                <w:color w:val="auto"/>
              </w:rPr>
              <w:t xml:space="preserve">23.9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4"/>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42.5</w:t>
            </w: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38.3</w:t>
            </w:r>
          </w:p>
        </w:tc>
        <w:tc>
          <w:tcPr>
            <w:tcW w:w="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with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Gross margin from product revenue was 44.4% for the three months ended March 31, 2021, compared to 40.1% for the three months ended March 31, 2020. The increase in gross margin resulted from improved margins on Purion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Gross margin from services revenue was 2.6% for the three-month periods ended March 31, 2021, compared to 8.6% for the three months ended March 31, 2020. The decrease in gross margin is attributable to changes in the mix of service contracts.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92"/>
              </w:rPr>
              <w:t>Period-to-Period</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4"/>
                <w:szCs w:val="14"/>
                <w:b w:val="1"/>
                <w:bCs w:val="1"/>
                <w:color w:val="auto"/>
                <w:w w:val="89"/>
              </w:rPr>
              <w:t>Change</w:t>
            </w:r>
          </w:p>
        </w:tc>
        <w:tc>
          <w:tcPr>
            <w:tcW w:w="6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i w:val="1"/>
                <w:iCs w:val="1"/>
                <w:color w:val="auto"/>
              </w:rPr>
              <w:t xml:space="preserve">7.4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220" w:type="dxa"/>
            <w:vAlign w:val="bottom"/>
          </w:tcPr>
          <w:p>
            <w:pPr>
              <w:spacing w:after="0"/>
              <w:rPr>
                <w:sz w:val="12"/>
                <w:szCs w:val="12"/>
                <w:color w:val="auto"/>
              </w:rPr>
            </w:pPr>
          </w:p>
        </w:tc>
        <w:tc>
          <w:tcPr>
            <w:tcW w:w="110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11.8 %</w:t>
            </w:r>
          </w:p>
        </w:tc>
        <w:tc>
          <w:tcPr>
            <w:tcW w:w="520" w:type="dxa"/>
            <w:vAlign w:val="bottom"/>
          </w:tcPr>
          <w:p>
            <w:pPr>
              <w:spacing w:after="0"/>
              <w:rPr>
                <w:sz w:val="12"/>
                <w:szCs w:val="12"/>
                <w:color w:val="auto"/>
              </w:rPr>
            </w:pPr>
          </w:p>
        </w:tc>
        <w:tc>
          <w:tcPr>
            <w:tcW w:w="78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12.3 %</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10,387</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8,204</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i w:val="1"/>
                <w:iCs w:val="1"/>
                <w:color w:val="auto"/>
              </w:rPr>
              <w:t xml:space="preserve">26.6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220" w:type="dxa"/>
            <w:vAlign w:val="bottom"/>
          </w:tcPr>
          <w:p>
            <w:pPr>
              <w:spacing w:after="0"/>
              <w:rPr>
                <w:sz w:val="12"/>
                <w:szCs w:val="12"/>
                <w:color w:val="auto"/>
              </w:rPr>
            </w:pPr>
          </w:p>
        </w:tc>
        <w:tc>
          <w:tcPr>
            <w:tcW w:w="110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7.8 %</w:t>
            </w:r>
          </w:p>
        </w:tc>
        <w:tc>
          <w:tcPr>
            <w:tcW w:w="520" w:type="dxa"/>
            <w:vAlign w:val="bottom"/>
          </w:tcPr>
          <w:p>
            <w:pPr>
              <w:spacing w:after="0"/>
              <w:rPr>
                <w:sz w:val="12"/>
                <w:szCs w:val="12"/>
                <w:color w:val="auto"/>
              </w:rPr>
            </w:pPr>
          </w:p>
        </w:tc>
        <w:tc>
          <w:tcPr>
            <w:tcW w:w="78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6.9 %</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10,013</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i w:val="1"/>
                <w:iCs w:val="1"/>
                <w:color w:val="auto"/>
              </w:rPr>
              <w:t xml:space="preserve">10.8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220" w:type="dxa"/>
            <w:vAlign w:val="bottom"/>
          </w:tcPr>
          <w:p>
            <w:pPr>
              <w:spacing w:after="0"/>
              <w:rPr>
                <w:sz w:val="12"/>
                <w:szCs w:val="12"/>
                <w:color w:val="auto"/>
              </w:rPr>
            </w:pPr>
          </w:p>
        </w:tc>
        <w:tc>
          <w:tcPr>
            <w:tcW w:w="110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7.5 %</w:t>
            </w:r>
          </w:p>
        </w:tc>
        <w:tc>
          <w:tcPr>
            <w:tcW w:w="520" w:type="dxa"/>
            <w:vAlign w:val="bottom"/>
          </w:tcPr>
          <w:p>
            <w:pPr>
              <w:spacing w:after="0"/>
              <w:rPr>
                <w:sz w:val="12"/>
                <w:szCs w:val="12"/>
                <w:color w:val="auto"/>
              </w:rPr>
            </w:pPr>
          </w:p>
        </w:tc>
        <w:tc>
          <w:tcPr>
            <w:tcW w:w="780" w:type="dxa"/>
            <w:vAlign w:val="bottom"/>
            <w:gridSpan w:val="2"/>
          </w:tcPr>
          <w:p>
            <w:pPr>
              <w:jc w:val="right"/>
              <w:ind w:right="88"/>
              <w:spacing w:after="0" w:line="149" w:lineRule="exact"/>
              <w:rPr>
                <w:sz w:val="20"/>
                <w:szCs w:val="20"/>
                <w:color w:val="auto"/>
              </w:rPr>
            </w:pPr>
            <w:r>
              <w:rPr>
                <w:rFonts w:ascii="Arial" w:cs="Arial" w:eastAsia="Arial" w:hAnsi="Arial"/>
                <w:sz w:val="14"/>
                <w:szCs w:val="14"/>
                <w:i w:val="1"/>
                <w:iCs w:val="1"/>
                <w:color w:val="auto"/>
              </w:rPr>
              <w:t>7.6 %</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36,085</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31,846</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4,239</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i w:val="1"/>
                <w:iCs w:val="1"/>
                <w:color w:val="auto"/>
              </w:rPr>
              <w:t xml:space="preserve">13.3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i w:val="1"/>
                <w:iCs w:val="1"/>
                <w:color w:val="auto"/>
                <w:w w:val="79"/>
              </w:rPr>
              <w:t>%</w:t>
            </w: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i w:val="1"/>
                <w:iCs w:val="1"/>
                <w:color w:val="auto"/>
                <w:w w:val="79"/>
              </w:rPr>
              <w:t>%</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27.1</w:t>
            </w: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i w:val="1"/>
                <w:iCs w:val="1"/>
                <w:color w:val="auto"/>
              </w:rPr>
              <w:t>26.8</w:t>
            </w:r>
          </w:p>
        </w:tc>
        <w:tc>
          <w:tcPr>
            <w:tcW w:w="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incentive 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Personnel costs are our largest expense, representing $22.0 million or 61.1% of our total operating expenses for the three months ended March 31, 2021, compared to $19.9 million or 62.6% of our total operating expenses for the three months ended March 31, 2020. The higher personnel costs for the three months ended March 31, 2021 is primarily due to an increase in personnel to support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Period-to-Period</w:t>
            </w:r>
          </w:p>
        </w:tc>
      </w:tr>
      <w:tr>
        <w:trPr>
          <w:trHeight w:val="171"/>
        </w:trPr>
        <w:tc>
          <w:tcPr>
            <w:tcW w:w="3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i w:val="1"/>
                <w:iCs w:val="1"/>
                <w:color w:val="auto"/>
              </w:rPr>
              <w:t xml:space="preserve">7.4 </w:t>
            </w:r>
            <w:r>
              <w:rPr>
                <w:rFonts w:ascii="Arial" w:cs="Arial" w:eastAsia="Arial" w:hAnsi="Arial"/>
                <w:sz w:val="16"/>
                <w:szCs w:val="16"/>
                <w:color w:val="auto"/>
              </w:rPr>
              <w:t>%</w:t>
            </w:r>
          </w:p>
        </w:tc>
      </w:tr>
      <w:tr>
        <w:trPr>
          <w:trHeight w:val="210"/>
        </w:trPr>
        <w:tc>
          <w:tcPr>
            <w:tcW w:w="38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11.8 %</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12.3 %</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with Three months ended March 31, 2020</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Research and development expense was $15.7 million during the three months ended March 31, 2021, an increase of $1.1 million, or 7.4%, compared with $14.6 million during the three months ended March 31, 2020. The increase is primarily due to higher supplies and materials costs for ongoing projects, increased depreciation associated with capital additions and an increase in personnel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4"/>
                <w:szCs w:val="14"/>
                <w:color w:val="auto"/>
              </w:rPr>
            </w:pPr>
          </w:p>
        </w:tc>
        <w:tc>
          <w:tcPr>
            <w:tcW w:w="222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2"/>
              </w:rPr>
              <w:t>Period-to-Period</w:t>
            </w:r>
          </w:p>
        </w:tc>
      </w:tr>
      <w:tr>
        <w:trPr>
          <w:trHeight w:val="171"/>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4"/>
                <w:szCs w:val="14"/>
                <w:b w:val="1"/>
                <w:bCs w:val="1"/>
                <w:color w:val="auto"/>
                <w:w w:val="89"/>
              </w:rPr>
              <w:t>Change</w:t>
            </w:r>
          </w:p>
        </w:tc>
        <w:tc>
          <w:tcPr>
            <w:tcW w:w="6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i w:val="1"/>
                <w:iCs w:val="1"/>
                <w:color w:val="auto"/>
              </w:rPr>
              <w:t xml:space="preserve">26.6 </w:t>
            </w:r>
            <w:r>
              <w:rPr>
                <w:rFonts w:ascii="Arial" w:cs="Arial" w:eastAsia="Arial" w:hAnsi="Arial"/>
                <w:sz w:val="16"/>
                <w:szCs w:val="16"/>
                <w:color w:val="auto"/>
              </w:rPr>
              <w:t>%</w:t>
            </w:r>
          </w:p>
        </w:tc>
      </w:tr>
      <w:tr>
        <w:trPr>
          <w:trHeight w:val="210"/>
        </w:trPr>
        <w:tc>
          <w:tcPr>
            <w:tcW w:w="446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7.8 %</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6.9 %</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with Three months ended March 31, 2020</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Sales and marketing expense was $10.4 million during the three months ended March 31, 2021, an increase of $2.2 million, or 26.6%, compared with $8.2 million during the three months ended March 31, 2020. The increase is primarily due to higher freight expense and project material costs as well as higher personnel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8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4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306"/>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i w:val="1"/>
                <w:iCs w:val="1"/>
                <w:color w:val="auto"/>
              </w:rPr>
              <w:t xml:space="preserve">10.8 </w:t>
            </w:r>
            <w:r>
              <w:rPr>
                <w:rFonts w:ascii="Arial" w:cs="Arial" w:eastAsia="Arial" w:hAnsi="Arial"/>
                <w:sz w:val="16"/>
                <w:szCs w:val="16"/>
                <w:color w:val="auto"/>
              </w:rPr>
              <w:t>%</w:t>
            </w:r>
          </w:p>
        </w:tc>
      </w:tr>
      <w:tr>
        <w:trPr>
          <w:trHeight w:val="210"/>
        </w:trPr>
        <w:tc>
          <w:tcPr>
            <w:tcW w:w="434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7.5 %</w:t>
            </w: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7.6 %</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8" w:lineRule="exact"/>
        <w:rPr>
          <w:sz w:val="20"/>
          <w:szCs w:val="20"/>
          <w:color w:val="auto"/>
        </w:rPr>
      </w:pPr>
    </w:p>
    <w:p>
      <w:pPr>
        <w:jc w:val="both"/>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2021 Compared with Three months ended March 31, 2020</w:t>
      </w:r>
    </w:p>
    <w:p>
      <w:pPr>
        <w:spacing w:after="0" w:line="14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General and administrative expense was $10.0 million during the three months ended March 31, 2021, an increase of $1.0 million, or 10.8%, compared with $9.0 million during the three months ended March 31, 2020. The increase is primarily due to an increase in personnel expenses and incentive based pay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4"/>
                <w:szCs w:val="14"/>
                <w:color w:val="auto"/>
              </w:rPr>
            </w:pPr>
          </w:p>
        </w:tc>
        <w:tc>
          <w:tcPr>
            <w:tcW w:w="1300" w:type="dxa"/>
            <w:vAlign w:val="bottom"/>
            <w:gridSpan w:val="3"/>
          </w:tcPr>
          <w:p>
            <w:pPr>
              <w:jc w:val="center"/>
              <w:ind w:left="186"/>
              <w:spacing w:after="0"/>
              <w:rPr>
                <w:sz w:val="20"/>
                <w:szCs w:val="20"/>
                <w:color w:val="auto"/>
              </w:rPr>
            </w:pPr>
            <w:r>
              <w:rPr>
                <w:rFonts w:ascii="Arial" w:cs="Arial" w:eastAsia="Arial" w:hAnsi="Arial"/>
                <w:sz w:val="14"/>
                <w:szCs w:val="14"/>
                <w:b w:val="1"/>
                <w:bCs w:val="1"/>
                <w:color w:val="auto"/>
                <w:w w:val="95"/>
              </w:rPr>
              <w:t>Period-to-period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186"/>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(2,149)</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(1,441)</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i w:val="1"/>
                <w:iCs w:val="1"/>
                <w:color w:val="auto"/>
              </w:rPr>
              <w:t xml:space="preserve">49.1 </w:t>
            </w:r>
            <w:r>
              <w:rPr>
                <w:rFonts w:ascii="Arial" w:cs="Arial" w:eastAsia="Arial" w:hAnsi="Arial"/>
                <w:sz w:val="16"/>
                <w:szCs w:val="16"/>
                <w:color w:val="auto"/>
              </w:rPr>
              <w:t>%</w:t>
            </w:r>
          </w:p>
        </w:tc>
      </w:tr>
      <w:tr>
        <w:trPr>
          <w:trHeight w:val="210"/>
        </w:trPr>
        <w:tc>
          <w:tcPr>
            <w:tcW w:w="410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(1.7)%</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expense was $2.1 million for the three months ended March 31, 2021, compared with $1.4 million for the three months ended March 31, 2020. This increase was primarily due to an increase in foreign currency exchange losses of $0.5 million as well as a reduction of $0.4 million in interest income when compared to the three month period ended March 31, 2020.</w:t>
      </w:r>
    </w:p>
    <w:p>
      <w:pPr>
        <w:spacing w:after="0" w:line="10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three-month periods ended March 31, 2021 and 2020, we had no significant off-balance-sheet risk such as exchange contracts, option contracts or other hedging arrangements.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ind w:left="144"/>
              <w:spacing w:after="0"/>
              <w:rPr>
                <w:sz w:val="20"/>
                <w:szCs w:val="20"/>
                <w:color w:val="auto"/>
              </w:rPr>
            </w:pPr>
            <w:r>
              <w:rPr>
                <w:rFonts w:ascii="Arial" w:cs="Arial" w:eastAsia="Arial" w:hAnsi="Arial"/>
                <w:sz w:val="14"/>
                <w:szCs w:val="14"/>
                <w:b w:val="1"/>
                <w:bCs w:val="1"/>
                <w:color w:val="auto"/>
                <w:w w:val="91"/>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Period-to-period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124"/>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1,041</w:t>
            </w:r>
          </w:p>
        </w:tc>
        <w:tc>
          <w:tcPr>
            <w:tcW w:w="700" w:type="dxa"/>
            <w:vAlign w:val="bottom"/>
            <w:gridSpan w:val="2"/>
            <w:shd w:val="clear" w:color="auto" w:fill="CCEEFF"/>
          </w:tcPr>
          <w:p>
            <w:pPr>
              <w:jc w:val="right"/>
              <w:ind w:right="40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i w:val="1"/>
                <w:iCs w:val="1"/>
                <w:color w:val="auto"/>
              </w:rPr>
              <w:t xml:space="preserve">65.3 </w:t>
            </w:r>
            <w:r>
              <w:rPr>
                <w:rFonts w:ascii="Arial" w:cs="Arial" w:eastAsia="Arial" w:hAnsi="Arial"/>
                <w:sz w:val="16"/>
                <w:szCs w:val="16"/>
                <w:color w:val="auto"/>
              </w:rPr>
              <w:t>%</w:t>
            </w:r>
          </w:p>
        </w:tc>
      </w:tr>
      <w:tr>
        <w:trPr>
          <w:trHeight w:val="210"/>
        </w:trPr>
        <w:tc>
          <w:tcPr>
            <w:tcW w:w="398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w w:val="84"/>
              </w:rPr>
              <w:t>%</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0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Income tax expense was $1.7 million for the three months ended March 31, 2021, compared to $1.0 million for the three months ended March 31, 2020. The $0.7 million increase was primarily due to a $6.0 million increase in pretax income partially offset by a tax benefit of $0.2 million due to the expiration of a statute of limitations on an uncertain tax position. The effective tax rate for the three months ended March 31, 2021 and 2020, respectively, was less than the U.S. statutory rate of 21% due to favorable discrete items related to equity compensation in those periods as well as Federal research and development tax credits that reduce the annual tax rate.</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had $54.9 million and $57.9 million of net deferred tax assets worldwide relating to net operating loss carryforwards, tax credit carryforwards and other temporary differences, as of March 31, 2021 and December 31, 2020, respectively. These deferred tax assets are available to reduce income taxes in future years. We have a $9.1 million valuation allowance in the U.S. against certain tax credits and state net operating losses due to the uncertainty of their realization based on long-term Company forecasts and the expiration dates on these tax assets. If future operating results of the Company within the U.S. or these foreign jurisdictions are significantly less than our expectations, it is reasonably possible that we would be required to record an additional valuation allowance on our deferred tax assets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had $206.8 million in unrestricted cash and cash equivalents at March 31, 2021, in addition to $0.7 million in restricted cash. Management believes that maintaining a strong cash balance is necessary to provide funding for potential ramps in our business which can require significant cash investment to meet sudden demand. Additionally, we are considering both organic and inorganic opportunities to drive future growth, for which cash resources will be necessary.</w:t>
      </w:r>
    </w:p>
    <w:p>
      <w:pPr>
        <w:spacing w:after="0" w:line="63"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We may also engage in stock repurchases, as discussed below.</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2021, we generated $15.1 million of cash related to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we generated $39.7 million of cash related to operating activities.</w:t>
      </w:r>
    </w:p>
    <w:p>
      <w:pPr>
        <w:spacing w:after="0" w:line="1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Investing activities for both three months ended March 31, 2021 and 2020 resulted in cash outflows of $1.3 million, respectively, used for capital expenditures.</w:t>
      </w:r>
    </w:p>
    <w:p>
      <w:pPr>
        <w:spacing w:after="0" w:line="7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Financing activities for the three months ended March 31, 2021 resulted in a cash usage of $11.7 million. During the first three months of 2021, $11.6 million in cash was used to repurchase our common stock and $2.4 million was used for payments to government tax authorities for income tax withholding on employee compensation arising from the vesting of RSUs, where shares are withheld by the Company, as well as $0.2 million relating to the reduction of the liability under the finance lease of our corporate headquarters. These amounts were partially offset by $2.5 million of proceeds from the exercise of stock options during the first three months of 2021. In comparison, financing activities for the three months ended March 31, 2020 resulted in cash usage of $4.1 million, $7.5 million of which related to the repurchase of our common stock and $1.2 million related to payments made to government tax authorities for income tax withholding on employee compensation arising from the vesting of RSUs. These amounts were partially offset by $4.5 million of proceeds related to the exercise of stock options and purchase of shares under our prior employee stock purchase plan during the first three months of 2020.</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March 31, 2021, we were in compliance with all covenant requirements of the Credit Agreement. As of such date, no borrowings had been made under the Credit Agreement, although a letter of credit for $5.9 million, previously issued by Silicon Valley Bank, had been rolled under the Credit Agreement, reducing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7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Significant commitments and contingencies at March 31, 2021 are consistent with those discussed in Item 7, “Management’s Discussion and Analysis of Financial Condition and Results of Operations,” and Note 16 to the consolidated financial statements in our Annual Report on Form 10-K for the fiscal year ended December 31, 2020.</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As of March 31, 2021, there have been no material changes to the quantitative information about market risk disclosed in Item 7A to our Annual Report on Form 10-K for the year ended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2021, there have been no material changes to the risk factors described in Item 1A to our Annual Report on Form 10-K for the year ended December 31, 2020.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December 2020, our Board of Directors authorized a share repurchase program covering 2021 for up to $100 million of the Company's common stock.</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summarizes the stock repurchase activity, based upon settlement date, for the three months ended March 31, 2021 as well as the approximate dollar value of shares that may yet be purchased pursuant to our stock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w:t>
            </w: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Shares Purchased</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Paid per Share</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0"/>
                <w:szCs w:val="10"/>
                <w:b w:val="1"/>
                <w:bCs w:val="1"/>
                <w:color w:val="auto"/>
                <w:w w:val="94"/>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January 1, 2021 through January 31,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N/A</w:t>
            </w:r>
          </w:p>
        </w:tc>
        <w:tc>
          <w:tcPr>
            <w:tcW w:w="14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100,000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February 1, 2021 through February 28,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N/A</w:t>
            </w: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0"/>
              </w:rPr>
              <w:t>100,000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March 1, 2021 through March 31, 2021</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2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88"/>
              </w:rPr>
              <w:t>$38.41</w:t>
            </w:r>
          </w:p>
        </w:tc>
        <w:tc>
          <w:tcPr>
            <w:tcW w:w="18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88,365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1260"/>
              <w:spacing w:after="0" w:line="149" w:lineRule="exact"/>
              <w:rPr>
                <w:sz w:val="20"/>
                <w:szCs w:val="20"/>
                <w:color w:val="auto"/>
              </w:rPr>
            </w:pPr>
            <w:r>
              <w:rPr>
                <w:rFonts w:ascii="Arial" w:cs="Arial" w:eastAsia="Arial" w:hAnsi="Arial"/>
                <w:sz w:val="14"/>
                <w:szCs w:val="14"/>
                <w:b w:val="1"/>
                <w:bCs w:val="1"/>
                <w:color w:val="auto"/>
              </w:rPr>
              <w:t>Total</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-3810</wp:posOffset>
            </wp:positionV>
            <wp:extent cx="8401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-3810</wp:posOffset>
            </wp:positionV>
            <wp:extent cx="840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There were $0.9 million stock repurchases that were pending settlement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-88900</wp:posOffset>
            </wp:positionV>
            <wp:extent cx="840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-88900</wp:posOffset>
            </wp:positionV>
            <wp:extent cx="8401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15"/>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5"/>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940" w:type="dxa"/>
            <w:vAlign w:val="bottom"/>
            <w:tcBorders>
              <w:bottom w:val="single" w:sz="8" w:color="auto"/>
            </w:tcBorders>
            <w:gridSpan w:val="13"/>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Restated Certificate of Incorporation of the Company filed November 2, 2017. Incorporated by reference to</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Exhibit 3.1 of the Company’s Form 10-Q filed with the Commission on November 3, 2017.</w:t>
              </w:r>
            </w:hyperlink>
          </w:p>
        </w:tc>
        <w:tc>
          <w:tcPr>
            <w:tcW w:w="1140" w:type="dxa"/>
            <w:vAlign w:val="bottom"/>
            <w:tcBorders>
              <w:top w:val="single" w:sz="8" w:color="0000EE"/>
            </w:tcBorders>
            <w:gridSpan w:val="6"/>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Bylaws of the Company, as amended as of May 13, 2014. Incorporated by reference to Exhibit 3.2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Company’s Form 8-K filed with the Commission on May 19, 2014.</w:t>
              </w:r>
            </w:hyperlink>
          </w:p>
        </w:tc>
        <w:tc>
          <w:tcPr>
            <w:tcW w:w="2680" w:type="dxa"/>
            <w:vAlign w:val="bottom"/>
            <w:tcBorders>
              <w:top w:val="single" w:sz="8" w:color="0000EE"/>
            </w:tcBorders>
            <w:gridSpan w:val="7"/>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First Amendment to Credit Agreement effective as of March 25, 2021, amending the Senior Secured Credit</w:t>
              </w:r>
            </w:hyperlink>
          </w:p>
        </w:tc>
        <w:tc>
          <w:tcPr>
            <w:tcW w:w="200" w:type="dxa"/>
            <w:vAlign w:val="bottom"/>
            <w:gridSpan w:val="2"/>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Facilities Credit Agreement dated as of July 31, 2020 among the Company, the several banks and other</w:t>
              </w:r>
            </w:hyperlink>
          </w:p>
        </w:tc>
        <w:tc>
          <w:tcPr>
            <w:tcW w:w="500" w:type="dxa"/>
            <w:vAlign w:val="bottom"/>
            <w:gridSpan w:val="5"/>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financial institutions or entities party thereto, and Silicon Valley Bank. Filed herewith.</w:t>
              </w:r>
            </w:hyperlink>
          </w:p>
        </w:tc>
        <w:tc>
          <w:tcPr>
            <w:tcW w:w="1680" w:type="dxa"/>
            <w:vAlign w:val="bottom"/>
            <w:gridSpan w:val="9"/>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Certification of the Principal Executive Officer under Exchange Act Rule 13a-14(a)/15d-14(a) (Section 302</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of the Sarbanes-Oxley Act), dated May 6, 2021. Filed herewith.</w:t>
              </w:r>
            </w:hyperlink>
          </w:p>
        </w:tc>
        <w:tc>
          <w:tcPr>
            <w:tcW w:w="3140" w:type="dxa"/>
            <w:vAlign w:val="bottom"/>
            <w:tcBorders>
              <w:top w:val="single" w:sz="8" w:color="0000EE"/>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the Principal Financial Officer under Exchange Act Rule 13a-14(a)/15d-14(a) (Section 302 of</w:t>
              </w:r>
            </w:hyperlink>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the Sarbanes-Oxley Act), dated May 6, 2021. Filed herewith.</w:t>
              </w:r>
            </w:hyperlink>
          </w:p>
        </w:tc>
        <w:tc>
          <w:tcPr>
            <w:tcW w:w="3540" w:type="dxa"/>
            <w:vAlign w:val="bottom"/>
            <w:gridSpan w:val="12"/>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3"/>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Certification of the Principal Executive Officer pursuant to Section 1350 of Chapter 63 of title 18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tcBorders>
            <w:gridSpan w:val="9"/>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United States Code (Section 906 of the Sarbanes-Oxley Act), dated May 6, 2021. Filed herewith.</w:t>
              </w:r>
            </w:hyperlink>
          </w:p>
        </w:tc>
        <w:tc>
          <w:tcPr>
            <w:tcW w:w="480" w:type="dxa"/>
            <w:vAlign w:val="bottom"/>
            <w:gridSpan w:val="4"/>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of the Principal Financial Officer pursuant to Section 1350 of Chapter 63 of title 18 of the</w:t>
              </w:r>
            </w:hyperlink>
          </w:p>
        </w:tc>
        <w:tc>
          <w:tcPr>
            <w:tcW w:w="520" w:type="dxa"/>
            <w:vAlign w:val="bottom"/>
            <w:gridSpan w:val="6"/>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United States Code (Section 906 of the Sarbanes-Oxley Act), dated May 6, 2021. Filed herewith.</w:t>
              </w:r>
            </w:hyperlink>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80" w:right="120" w:hanging="858"/>
        <w:spacing w:after="0" w:line="291"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the Company’s Form 10-Q for the quarter ended March 31, 2021, formatted in inline eXtensible Business Reporting Language (iXBRL): (i) Consolidated Statements of Operations,</w:t>
      </w:r>
    </w:p>
    <w:p>
      <w:pPr>
        <w:ind w:left="1180" w:right="100"/>
        <w:spacing w:after="0" w:line="323" w:lineRule="auto"/>
        <w:rPr>
          <w:rFonts w:ascii="Arial" w:cs="Arial" w:eastAsia="Arial" w:hAnsi="Arial"/>
          <w:sz w:val="16"/>
          <w:szCs w:val="16"/>
          <w:color w:val="auto"/>
        </w:rPr>
      </w:pPr>
      <w:r>
        <w:rPr>
          <w:rFonts w:ascii="Arial" w:cs="Arial" w:eastAsia="Arial" w:hAnsi="Arial"/>
          <w:sz w:val="16"/>
          <w:szCs w:val="16"/>
          <w:color w:val="auto"/>
        </w:rPr>
        <w:t>(ii) 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1180" w:hanging="85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7"/>
          <w:szCs w:val="17"/>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2640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J. Brewer</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0" w:name="page31"/>
    <w:bookmarkEnd w:id="30"/>
    <w:p>
      <w:pPr>
        <w:ind w:left="8320"/>
        <w:spacing w:after="0"/>
        <w:rPr>
          <w:sz w:val="20"/>
          <w:szCs w:val="20"/>
          <w:color w:val="auto"/>
        </w:rPr>
      </w:pPr>
      <w:r>
        <w:rPr>
          <w:rFonts w:ascii="Arial" w:cs="Arial" w:eastAsia="Arial" w:hAnsi="Arial"/>
          <w:sz w:val="19"/>
          <w:szCs w:val="19"/>
          <w:color w:val="auto"/>
        </w:rPr>
        <w:t>Exhibit 10.1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AMENDMENT TO CREDIT AGREEMENT</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First Amendment to Credit Agreement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dated and effective as of March 25, 2021 (the “</w:t>
      </w:r>
      <w:r>
        <w:rPr>
          <w:rFonts w:ascii="Arial" w:cs="Arial" w:eastAsia="Arial" w:hAnsi="Arial"/>
          <w:sz w:val="22"/>
          <w:szCs w:val="22"/>
          <w:b w:val="1"/>
          <w:bCs w:val="1"/>
          <w:i w:val="1"/>
          <w:iCs w:val="1"/>
          <w:color w:val="auto"/>
        </w:rPr>
        <w:t>First Amendment Effective Date</w:t>
      </w:r>
      <w:r>
        <w:rPr>
          <w:rFonts w:ascii="Arial" w:cs="Arial" w:eastAsia="Arial" w:hAnsi="Arial"/>
          <w:sz w:val="22"/>
          <w:szCs w:val="22"/>
          <w:color w:val="auto"/>
        </w:rPr>
        <w:t xml:space="preserve">”) by and among </w:t>
      </w:r>
      <w:r>
        <w:rPr>
          <w:rFonts w:ascii="Arial" w:cs="Arial" w:eastAsia="Arial" w:hAnsi="Arial"/>
          <w:sz w:val="22"/>
          <w:szCs w:val="22"/>
          <w:b w:val="1"/>
          <w:bCs w:val="1"/>
          <w:color w:val="auto"/>
        </w:rPr>
        <w:t>AXCELIS TECHNOLOGIES, INC.</w:t>
      </w:r>
      <w:r>
        <w:rPr>
          <w:rFonts w:ascii="Arial" w:cs="Arial" w:eastAsia="Arial" w:hAnsi="Arial"/>
          <w:sz w:val="22"/>
          <w:szCs w:val="22"/>
          <w:color w:val="auto"/>
        </w:rPr>
        <w:t>, a Delaware corporation (the “</w:t>
      </w:r>
      <w:r>
        <w:rPr>
          <w:rFonts w:ascii="Arial" w:cs="Arial" w:eastAsia="Arial" w:hAnsi="Arial"/>
          <w:sz w:val="22"/>
          <w:szCs w:val="22"/>
          <w:b w:val="1"/>
          <w:bCs w:val="1"/>
          <w:i w:val="1"/>
          <w:iCs w:val="1"/>
          <w:color w:val="auto"/>
        </w:rPr>
        <w:t>Borrower</w:t>
      </w:r>
      <w:r>
        <w:rPr>
          <w:rFonts w:ascii="Arial" w:cs="Arial" w:eastAsia="Arial" w:hAnsi="Arial"/>
          <w:sz w:val="22"/>
          <w:szCs w:val="22"/>
          <w:color w:val="auto"/>
        </w:rPr>
        <w:t>”), the several banks and other financial institutions or entities party hereto (the “</w:t>
      </w:r>
      <w:r>
        <w:rPr>
          <w:rFonts w:ascii="Arial" w:cs="Arial" w:eastAsia="Arial" w:hAnsi="Arial"/>
          <w:sz w:val="22"/>
          <w:szCs w:val="22"/>
          <w:b w:val="1"/>
          <w:bCs w:val="1"/>
          <w:i w:val="1"/>
          <w:iCs w:val="1"/>
          <w:color w:val="auto"/>
        </w:rPr>
        <w:t>Lenders</w:t>
      </w:r>
      <w:r>
        <w:rPr>
          <w:rFonts w:ascii="Arial" w:cs="Arial" w:eastAsia="Arial" w:hAnsi="Arial"/>
          <w:sz w:val="22"/>
          <w:szCs w:val="22"/>
          <w:color w:val="auto"/>
        </w:rPr>
        <w:t xml:space="preserve">”) and </w:t>
      </w:r>
      <w:r>
        <w:rPr>
          <w:rFonts w:ascii="Arial" w:cs="Arial" w:eastAsia="Arial" w:hAnsi="Arial"/>
          <w:sz w:val="22"/>
          <w:szCs w:val="22"/>
          <w:b w:val="1"/>
          <w:bCs w:val="1"/>
          <w:color w:val="auto"/>
        </w:rPr>
        <w:t>SILICON VALLEY BANK</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SVB</w:t>
      </w:r>
      <w:r>
        <w:rPr>
          <w:rFonts w:ascii="Arial" w:cs="Arial" w:eastAsia="Arial" w:hAnsi="Arial"/>
          <w:sz w:val="22"/>
          <w:szCs w:val="22"/>
          <w:color w:val="auto"/>
        </w:rPr>
        <w:t>”), as the administrative agent and collateral agent (SVB, in such capacities, the “</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 and as the Issuing Lender and the Swingline Lender.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WHEREAS, the Borrower, the Administrative Agent, the Issuing Lender and the Swingline Lender are parties to that certain Credit Agreement dated as of July 31, 2020 (as amended, modified, supplemented or restated and in effect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and</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Borrower has requested that the Lenders and the Administrative Agent agree to modify and amend certain terms and conditions of the Credit Agreement, subject to the terms and conditions contained herein.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hereto agree as follows:</w:t>
      </w:r>
    </w:p>
    <w:p>
      <w:pPr>
        <w:spacing w:after="0" w:line="175" w:lineRule="exact"/>
        <w:rPr>
          <w:sz w:val="20"/>
          <w:szCs w:val="20"/>
          <w:color w:val="auto"/>
        </w:rPr>
      </w:pPr>
    </w:p>
    <w:p>
      <w:pPr>
        <w:ind w:firstLine="649"/>
        <w:spacing w:after="0" w:line="328" w:lineRule="auto"/>
        <w:tabs>
          <w:tab w:leader="none" w:pos="129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Capitalized Terms</w:t>
      </w:r>
      <w:r>
        <w:rPr>
          <w:rFonts w:ascii="Arial" w:cs="Arial" w:eastAsia="Arial" w:hAnsi="Arial"/>
          <w:sz w:val="19"/>
          <w:szCs w:val="19"/>
          <w:color w:val="auto"/>
        </w:rPr>
        <w:t>. All capitalized terms used herein and not otherwise defined shall have the same meaning herein as in the Credit Agreement or in the other Loan Documents, as applicable.</w:t>
      </w:r>
    </w:p>
    <w:p>
      <w:pPr>
        <w:spacing w:after="0" w:line="104" w:lineRule="exact"/>
        <w:rPr>
          <w:rFonts w:ascii="Arial" w:cs="Arial" w:eastAsia="Arial" w:hAnsi="Arial"/>
          <w:sz w:val="19"/>
          <w:szCs w:val="19"/>
          <w:color w:val="auto"/>
        </w:rPr>
      </w:pPr>
    </w:p>
    <w:p>
      <w:pPr>
        <w:ind w:left="1300" w:hanging="651"/>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Amendments to the Credit Agreement</w:t>
      </w:r>
      <w:r>
        <w:rPr>
          <w:rFonts w:ascii="Arial" w:cs="Arial" w:eastAsia="Arial" w:hAnsi="Arial"/>
          <w:sz w:val="22"/>
          <w:szCs w:val="22"/>
          <w:color w:val="auto"/>
        </w:rPr>
        <w:t>.</w:t>
      </w:r>
    </w:p>
    <w:p>
      <w:pPr>
        <w:spacing w:after="0" w:line="206" w:lineRule="exact"/>
        <w:rPr>
          <w:sz w:val="20"/>
          <w:szCs w:val="20"/>
          <w:color w:val="auto"/>
        </w:rPr>
      </w:pPr>
    </w:p>
    <w:p>
      <w:pPr>
        <w:ind w:left="1300" w:right="20" w:hanging="651"/>
        <w:spacing w:after="0" w:line="250"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Section 1.1 of the Credit Agreement is hereby amended by adding in the following new definitions in the appropriate alphabetical order:</w:t>
      </w:r>
    </w:p>
    <w:p>
      <w:pPr>
        <w:spacing w:after="0" w:line="174" w:lineRule="exact"/>
        <w:rPr>
          <w:rFonts w:ascii="Arial" w:cs="Arial" w:eastAsia="Arial" w:hAnsi="Arial"/>
          <w:sz w:val="22"/>
          <w:szCs w:val="22"/>
          <w:color w:val="auto"/>
        </w:rPr>
      </w:pPr>
    </w:p>
    <w:p>
      <w:pPr>
        <w:jc w:val="both"/>
        <w:ind w:left="1300"/>
        <w:spacing w:after="0" w:line="279"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Tenor</w:t>
      </w:r>
      <w:r>
        <w:rPr>
          <w:rFonts w:ascii="Arial" w:cs="Arial" w:eastAsia="Arial" w:hAnsi="Arial"/>
          <w:sz w:val="19"/>
          <w:szCs w:val="19"/>
          <w:color w:val="auto"/>
        </w:rPr>
        <w:t>”: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Section 2.17(b)(iv).”</w:t>
      </w:r>
    </w:p>
    <w:p>
      <w:pPr>
        <w:spacing w:after="0" w:line="150" w:lineRule="exact"/>
        <w:rPr>
          <w:rFonts w:ascii="Arial" w:cs="Arial" w:eastAsia="Arial" w:hAnsi="Arial"/>
          <w:sz w:val="22"/>
          <w:szCs w:val="22"/>
          <w:color w:val="auto"/>
        </w:rPr>
      </w:pPr>
    </w:p>
    <w:p>
      <w:pPr>
        <w:jc w:val="both"/>
        <w:ind w:left="1300"/>
        <w:spacing w:after="0" w:line="248"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w:t>
      </w:r>
      <w:r>
        <w:rPr>
          <w:rFonts w:ascii="Arial" w:cs="Arial" w:eastAsia="Arial" w:hAnsi="Arial"/>
          <w:sz w:val="21"/>
          <w:szCs w:val="21"/>
          <w:color w:val="auto"/>
        </w:rPr>
        <w:t>”: initially, the Eurodollar Rate; provided that if a Benchmark Transition Event, a Term SOFR Transition Event, or an Early Opt-in Election, as applicable, and its related Benchmark Replacement Date have occurred with respect to the Eurodollar Rate or the then-current Benchmark, then “Benchmark” means the applicable Benchmark Replacement to the extent that such Benchmark Replacement has replaced such prior benchmark rate pursuant to Section 2.17(b)(i).”</w:t>
      </w:r>
    </w:p>
    <w:p>
      <w:pPr>
        <w:spacing w:after="0" w:line="176" w:lineRule="exact"/>
        <w:rPr>
          <w:rFonts w:ascii="Arial" w:cs="Arial" w:eastAsia="Arial" w:hAnsi="Arial"/>
          <w:sz w:val="22"/>
          <w:szCs w:val="22"/>
          <w:color w:val="auto"/>
        </w:rPr>
      </w:pPr>
    </w:p>
    <w:p>
      <w:pPr>
        <w:jc w:val="both"/>
        <w:ind w:left="130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Replacement</w:t>
      </w:r>
      <w:r>
        <w:rPr>
          <w:rFonts w:ascii="Arial" w:cs="Arial" w:eastAsia="Arial" w:hAnsi="Arial"/>
          <w:sz w:val="22"/>
          <w:szCs w:val="22"/>
          <w:color w:val="auto"/>
        </w:rPr>
        <w:t>”: (a) for any Available Tenor, the first alternative set forth in the order below that can be determined by the Administrative Agent for the applicable Benchmark Replacement Date:</w:t>
      </w:r>
    </w:p>
    <w:p>
      <w:pPr>
        <w:spacing w:after="0" w:line="186" w:lineRule="exact"/>
        <w:rPr>
          <w:rFonts w:ascii="Arial" w:cs="Arial" w:eastAsia="Arial" w:hAnsi="Arial"/>
          <w:sz w:val="22"/>
          <w:szCs w:val="22"/>
          <w:color w:val="auto"/>
        </w:rPr>
      </w:pPr>
    </w:p>
    <w:p>
      <w:pPr>
        <w:ind w:left="1940" w:firstLine="5"/>
        <w:spacing w:after="0" w:line="250" w:lineRule="auto"/>
        <w:tabs>
          <w:tab w:leader="none" w:pos="2269"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349885</wp:posOffset>
            </wp:positionV>
            <wp:extent cx="595757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120" w:top="118" w:right="1399" w:bottom="1440" w:gutter="0" w:footer="0" w:header="0"/>
        </w:sectPr>
      </w:pPr>
    </w:p>
    <w:bookmarkStart w:id="31" w:name="page32"/>
    <w:bookmarkEnd w:id="31"/>
    <w:p>
      <w:pPr>
        <w:ind w:left="1620" w:firstLine="5"/>
        <w:spacing w:after="0" w:line="251" w:lineRule="auto"/>
        <w:tabs>
          <w:tab w:leader="none" w:pos="194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173" w:lineRule="exact"/>
        <w:rPr>
          <w:rFonts w:ascii="Arial" w:cs="Arial" w:eastAsia="Arial" w:hAnsi="Arial"/>
          <w:sz w:val="22"/>
          <w:szCs w:val="22"/>
          <w:color w:val="auto"/>
        </w:rPr>
      </w:pPr>
    </w:p>
    <w:p>
      <w:pPr>
        <w:jc w:val="both"/>
        <w:ind w:left="1620" w:firstLine="5"/>
        <w:spacing w:after="0" w:line="275" w:lineRule="auto"/>
        <w:tabs>
          <w:tab w:leader="none" w:pos="2048"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 (x) any selection or recommendation of a replacement benchmark rate or the mechanism for determining such a rate by the Relevant Governmental Body or (y)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57" w:lineRule="exact"/>
        <w:rPr>
          <w:sz w:val="20"/>
          <w:szCs w:val="20"/>
          <w:color w:val="auto"/>
        </w:rPr>
      </w:pPr>
    </w:p>
    <w:p>
      <w:pPr>
        <w:jc w:val="both"/>
        <w:ind w:left="1620"/>
        <w:spacing w:after="0" w:line="297" w:lineRule="auto"/>
        <w:rPr>
          <w:sz w:val="20"/>
          <w:szCs w:val="20"/>
          <w:color w:val="auto"/>
        </w:rPr>
      </w:pPr>
      <w:r>
        <w:rPr>
          <w:rFonts w:ascii="Arial" w:cs="Arial" w:eastAsia="Arial" w:hAnsi="Arial"/>
          <w:sz w:val="19"/>
          <w:szCs w:val="19"/>
          <w:color w:val="auto"/>
        </w:rPr>
        <w:t>provided that, in the case of clause (i), such Unadjusted Benchmark Replacement is displayed on a screen or other information service that publishes such rate from time to time as selected by the Administrative Agent in its reasonable discretion.</w:t>
      </w:r>
    </w:p>
    <w:p>
      <w:pPr>
        <w:spacing w:after="0" w:line="134" w:lineRule="exact"/>
        <w:rPr>
          <w:sz w:val="20"/>
          <w:szCs w:val="20"/>
          <w:color w:val="auto"/>
        </w:rPr>
      </w:pPr>
    </w:p>
    <w:p>
      <w:pPr>
        <w:ind w:left="1940" w:hanging="315"/>
        <w:spacing w:after="0"/>
        <w:tabs>
          <w:tab w:leader="none" w:pos="19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With respect to any Term SOFR Transition Event, the sum of: (i) Term SOFR and</w:t>
      </w:r>
    </w:p>
    <w:p>
      <w:pPr>
        <w:spacing w:after="0" w:line="42" w:lineRule="exact"/>
        <w:rPr>
          <w:rFonts w:ascii="Arial" w:cs="Arial" w:eastAsia="Arial" w:hAnsi="Arial"/>
          <w:sz w:val="19"/>
          <w:szCs w:val="19"/>
          <w:color w:val="auto"/>
        </w:rPr>
      </w:pPr>
    </w:p>
    <w:p>
      <w:pPr>
        <w:jc w:val="both"/>
        <w:ind w:left="1620" w:firstLine="5"/>
        <w:spacing w:after="0" w:line="233" w:lineRule="auto"/>
        <w:tabs>
          <w:tab w:leader="none" w:pos="195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related Benchmark Replacement Adjustment. If the Benchmark Replacement as determined pursuant to clause (a) or (b) above would be less than the Floor, the Benchmark Replacement will be deemed to be the Floor for the purposes of this Agreement and the other Loan Documents.”</w:t>
      </w:r>
    </w:p>
    <w:p>
      <w:pPr>
        <w:spacing w:after="0" w:line="188" w:lineRule="exact"/>
        <w:rPr>
          <w:sz w:val="20"/>
          <w:szCs w:val="20"/>
          <w:color w:val="auto"/>
        </w:rPr>
      </w:pPr>
    </w:p>
    <w:p>
      <w:pPr>
        <w:jc w:val="both"/>
        <w:ind w:left="98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Adjustment</w:t>
      </w:r>
      <w:r>
        <w:rPr>
          <w:rFonts w:ascii="Arial" w:cs="Arial" w:eastAsia="Arial" w:hAnsi="Arial"/>
          <w:sz w:val="19"/>
          <w:szCs w:val="19"/>
          <w:color w:val="auto"/>
        </w:rPr>
        <w:t>”: with respect to any replacement of the then current Benchmark with an Unadjusted Benchmark Replacement for any applicable Interest Period and Available Tenor for any setting of such Unadjusted Benchmark Replacement:</w:t>
      </w:r>
    </w:p>
    <w:p>
      <w:pPr>
        <w:spacing w:after="0" w:line="134" w:lineRule="exact"/>
        <w:rPr>
          <w:sz w:val="20"/>
          <w:szCs w:val="20"/>
          <w:color w:val="auto"/>
        </w:rPr>
      </w:pPr>
    </w:p>
    <w:p>
      <w:pPr>
        <w:jc w:val="both"/>
        <w:ind w:left="1620" w:firstLine="5"/>
        <w:spacing w:after="0"/>
        <w:tabs>
          <w:tab w:leader="none" w:pos="1957" w:val="left"/>
        </w:tabs>
        <w:numPr>
          <w:ilvl w:val="0"/>
          <w:numId w:val="15"/>
        </w:numPr>
        <w:rPr>
          <w:rFonts w:ascii="Arial" w:cs="Arial" w:eastAsia="Arial" w:hAnsi="Arial"/>
          <w:sz w:val="22"/>
          <w:szCs w:val="22"/>
          <w:color w:val="auto"/>
        </w:rPr>
      </w:pPr>
      <w:r>
        <w:rPr>
          <w:rFonts w:ascii="Arial" w:cs="Arial" w:eastAsia="Arial" w:hAnsi="Arial"/>
          <w:sz w:val="22"/>
          <w:szCs w:val="22"/>
          <w:color w:val="auto"/>
        </w:rPr>
        <w:t>for purposes of clauses (a)(i) and (ii) or (b) of the definition of “Benchmark Replacement,” the first alternative set forth in the order below that can be determined by the Administrative Agent:</w:t>
      </w:r>
    </w:p>
    <w:p>
      <w:pPr>
        <w:spacing w:after="0" w:line="186" w:lineRule="exact"/>
        <w:rPr>
          <w:rFonts w:ascii="Arial" w:cs="Arial" w:eastAsia="Arial" w:hAnsi="Arial"/>
          <w:sz w:val="22"/>
          <w:szCs w:val="22"/>
          <w:color w:val="auto"/>
        </w:rPr>
      </w:pPr>
    </w:p>
    <w:p>
      <w:pPr>
        <w:jc w:val="both"/>
        <w:ind w:left="2280" w:hanging="7"/>
        <w:spacing w:after="0" w:line="279" w:lineRule="auto"/>
        <w:tabs>
          <w:tab w:leader="none" w:pos="2594"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50" w:lineRule="exact"/>
        <w:rPr>
          <w:rFonts w:ascii="Arial" w:cs="Arial" w:eastAsia="Arial" w:hAnsi="Arial"/>
          <w:sz w:val="19"/>
          <w:szCs w:val="19"/>
          <w:color w:val="auto"/>
        </w:rPr>
      </w:pPr>
    </w:p>
    <w:p>
      <w:pPr>
        <w:jc w:val="both"/>
        <w:ind w:left="2280" w:hanging="7"/>
        <w:spacing w:after="0" w:line="235" w:lineRule="auto"/>
        <w:tabs>
          <w:tab w:leader="none" w:pos="2604"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7" w:lineRule="exact"/>
        <w:rPr>
          <w:rFonts w:ascii="Arial" w:cs="Arial" w:eastAsia="Arial" w:hAnsi="Arial"/>
          <w:sz w:val="22"/>
          <w:szCs w:val="22"/>
          <w:color w:val="auto"/>
        </w:rPr>
      </w:pPr>
    </w:p>
    <w:p>
      <w:pPr>
        <w:jc w:val="both"/>
        <w:ind w:left="1620" w:firstLine="5"/>
        <w:spacing w:after="0" w:line="282" w:lineRule="auto"/>
        <w:tabs>
          <w:tab w:leader="none" w:pos="1937"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for purposes of clause (a)(iii)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2" w:name="page33"/>
    <w:bookmarkEnd w:id="32"/>
    <w:p>
      <w:pPr>
        <w:jc w:val="both"/>
        <w:ind w:left="1620"/>
        <w:spacing w:after="0" w:line="234" w:lineRule="auto"/>
        <w:rPr>
          <w:sz w:val="20"/>
          <w:szCs w:val="20"/>
          <w:color w:val="auto"/>
        </w:rPr>
      </w:pPr>
      <w:r>
        <w:rPr>
          <w:rFonts w:ascii="Arial" w:cs="Arial" w:eastAsia="Arial" w:hAnsi="Arial"/>
          <w:sz w:val="22"/>
          <w:szCs w:val="22"/>
          <w:color w:val="auto"/>
        </w:rPr>
        <w:t>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 denominated syndicated credit facilities;</w:t>
      </w:r>
    </w:p>
    <w:p>
      <w:pPr>
        <w:spacing w:after="0" w:line="187" w:lineRule="exact"/>
        <w:rPr>
          <w:sz w:val="20"/>
          <w:szCs w:val="20"/>
          <w:color w:val="auto"/>
        </w:rPr>
      </w:pPr>
    </w:p>
    <w:p>
      <w:pPr>
        <w:jc w:val="both"/>
        <w:ind w:left="1620"/>
        <w:spacing w:after="0" w:line="238" w:lineRule="auto"/>
        <w:rPr>
          <w:sz w:val="20"/>
          <w:szCs w:val="20"/>
          <w:color w:val="auto"/>
        </w:rPr>
      </w:pPr>
      <w:r>
        <w:rPr>
          <w:rFonts w:ascii="Arial" w:cs="Arial" w:eastAsia="Arial" w:hAnsi="Arial"/>
          <w:sz w:val="22"/>
          <w:szCs w:val="22"/>
          <w:color w:val="auto"/>
        </w:rPr>
        <w:t>provided that, in the case of clause (a) above, such adjustment is displayed on a screen or other information service that publishes such Benchmark Replacement Adjustment from time to time as selected by the Administrative Agent in its reasonable discretion.”</w:t>
      </w:r>
    </w:p>
    <w:p>
      <w:pPr>
        <w:spacing w:after="0" w:line="185" w:lineRule="exact"/>
        <w:rPr>
          <w:sz w:val="20"/>
          <w:szCs w:val="20"/>
          <w:color w:val="auto"/>
        </w:rPr>
      </w:pPr>
    </w:p>
    <w:p>
      <w:pPr>
        <w:jc w:val="both"/>
        <w:ind w:left="98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Replacement Conforming Changes</w:t>
      </w:r>
      <w:r>
        <w:rPr>
          <w:rFonts w:ascii="Arial" w:cs="Arial" w:eastAsia="Arial" w:hAnsi="Arial"/>
          <w:sz w:val="21"/>
          <w:szCs w:val="21"/>
          <w:color w:val="auto"/>
        </w:rPr>
        <w:t>”: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Replacement Date</w:t>
      </w:r>
      <w:r>
        <w:rPr>
          <w:rFonts w:ascii="Arial" w:cs="Arial" w:eastAsia="Arial" w:hAnsi="Arial"/>
          <w:sz w:val="22"/>
          <w:szCs w:val="22"/>
          <w:color w:val="auto"/>
        </w:rPr>
        <w:t>”: the earliest to occur of the following events with respect to the then-current Benchmark:</w:t>
      </w:r>
    </w:p>
    <w:p>
      <w:pPr>
        <w:spacing w:after="0" w:line="175" w:lineRule="exact"/>
        <w:rPr>
          <w:sz w:val="20"/>
          <w:szCs w:val="20"/>
          <w:color w:val="auto"/>
        </w:rPr>
      </w:pPr>
    </w:p>
    <w:p>
      <w:pPr>
        <w:jc w:val="both"/>
        <w:ind w:left="1620" w:firstLine="5"/>
        <w:spacing w:after="0" w:line="235" w:lineRule="auto"/>
        <w:tabs>
          <w:tab w:leader="none" w:pos="19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87" w:lineRule="exact"/>
        <w:rPr>
          <w:rFonts w:ascii="Arial" w:cs="Arial" w:eastAsia="Arial" w:hAnsi="Arial"/>
          <w:sz w:val="22"/>
          <w:szCs w:val="22"/>
          <w:color w:val="auto"/>
        </w:rPr>
      </w:pPr>
    </w:p>
    <w:p>
      <w:pPr>
        <w:ind w:left="1620" w:firstLine="5"/>
        <w:spacing w:after="0" w:line="274" w:lineRule="auto"/>
        <w:tabs>
          <w:tab w:leader="none" w:pos="1948" w:val="left"/>
        </w:tabs>
        <w:numPr>
          <w:ilvl w:val="0"/>
          <w:numId w:val="16"/>
        </w:numPr>
        <w:rPr>
          <w:rFonts w:ascii="Arial" w:cs="Arial" w:eastAsia="Arial" w:hAnsi="Arial"/>
          <w:sz w:val="21"/>
          <w:szCs w:val="21"/>
          <w:color w:val="auto"/>
        </w:rPr>
      </w:pPr>
      <w:r>
        <w:rPr>
          <w:rFonts w:ascii="Arial" w:cs="Arial" w:eastAsia="Arial" w:hAnsi="Arial"/>
          <w:sz w:val="21"/>
          <w:szCs w:val="21"/>
          <w:color w:val="auto"/>
        </w:rPr>
        <w:t>in the case of clause (c) of the definition of “Benchmark Transition Event,” the date of the public statement or publication of information referenced therein;</w:t>
      </w:r>
    </w:p>
    <w:p>
      <w:pPr>
        <w:spacing w:after="0" w:line="150" w:lineRule="exact"/>
        <w:rPr>
          <w:rFonts w:ascii="Arial" w:cs="Arial" w:eastAsia="Arial" w:hAnsi="Arial"/>
          <w:sz w:val="21"/>
          <w:szCs w:val="21"/>
          <w:color w:val="auto"/>
        </w:rPr>
      </w:pPr>
    </w:p>
    <w:p>
      <w:pPr>
        <w:jc w:val="both"/>
        <w:ind w:left="1620" w:firstLine="5"/>
        <w:spacing w:after="0"/>
        <w:tabs>
          <w:tab w:leader="none" w:pos="1917"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the case of a Term SOFR Transition Event, the date that is thirty (30) days after the Administrative Agent has provided the Term SOFR Notice to the Lenders and the Borrower pursuant to Section 2.17(b)(i)(B); or</w:t>
      </w:r>
    </w:p>
    <w:p>
      <w:pPr>
        <w:spacing w:after="0" w:line="186" w:lineRule="exact"/>
        <w:rPr>
          <w:rFonts w:ascii="Arial" w:cs="Arial" w:eastAsia="Arial" w:hAnsi="Arial"/>
          <w:sz w:val="22"/>
          <w:szCs w:val="22"/>
          <w:color w:val="auto"/>
        </w:rPr>
      </w:pPr>
    </w:p>
    <w:p>
      <w:pPr>
        <w:jc w:val="both"/>
        <w:ind w:left="1620" w:firstLine="5"/>
        <w:spacing w:after="0" w:line="296" w:lineRule="auto"/>
        <w:tabs>
          <w:tab w:leader="none" w:pos="193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the case of an Early Opt-in Election, the sixth (6th) Business Day after the date notice of such Early Opt-in Election is provided to the Lenders, so long as the Administrative Agent has not received, by 5:00 p.m. (New York City time) on the</w:t>
      </w:r>
    </w:p>
    <w:p>
      <w:pPr>
        <w:spacing w:after="0" w:line="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3" w:name="page34"/>
    <w:bookmarkEnd w:id="33"/>
    <w:p>
      <w:pPr>
        <w:jc w:val="both"/>
        <w:ind w:left="1620"/>
        <w:spacing w:after="0"/>
        <w:rPr>
          <w:sz w:val="20"/>
          <w:szCs w:val="20"/>
          <w:color w:val="auto"/>
        </w:rPr>
      </w:pPr>
      <w:r>
        <w:rPr>
          <w:rFonts w:ascii="Arial" w:cs="Arial" w:eastAsia="Arial" w:hAnsi="Arial"/>
          <w:sz w:val="22"/>
          <w:szCs w:val="22"/>
          <w:color w:val="auto"/>
        </w:rPr>
        <w:t>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jc w:val="both"/>
        <w:ind w:left="1620"/>
        <w:spacing w:after="0" w:line="275"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57"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Benchmark Transition Event</w:t>
      </w:r>
      <w:r>
        <w:rPr>
          <w:rFonts w:ascii="Arial" w:cs="Arial" w:eastAsia="Arial" w:hAnsi="Arial"/>
          <w:sz w:val="22"/>
          <w:szCs w:val="22"/>
          <w:color w:val="auto"/>
        </w:rPr>
        <w:t>”: the occurrence of one or more of the following events with respect to the then-current Benchmark:</w:t>
      </w:r>
    </w:p>
    <w:p>
      <w:pPr>
        <w:spacing w:after="0" w:line="175" w:lineRule="exact"/>
        <w:rPr>
          <w:sz w:val="20"/>
          <w:szCs w:val="20"/>
          <w:color w:val="auto"/>
        </w:rPr>
      </w:pPr>
    </w:p>
    <w:p>
      <w:pPr>
        <w:jc w:val="both"/>
        <w:ind w:left="1620" w:firstLine="5"/>
        <w:spacing w:after="0" w:line="246" w:lineRule="auto"/>
        <w:tabs>
          <w:tab w:leader="none" w:pos="1997" w:val="left"/>
        </w:tabs>
        <w:numPr>
          <w:ilvl w:val="0"/>
          <w:numId w:val="17"/>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4" w:lineRule="exact"/>
        <w:rPr>
          <w:rFonts w:ascii="Arial" w:cs="Arial" w:eastAsia="Arial" w:hAnsi="Arial"/>
          <w:sz w:val="21"/>
          <w:szCs w:val="21"/>
          <w:color w:val="auto"/>
        </w:rPr>
      </w:pPr>
    </w:p>
    <w:p>
      <w:pPr>
        <w:jc w:val="both"/>
        <w:ind w:left="1620" w:firstLine="5"/>
        <w:spacing w:after="0" w:line="272" w:lineRule="auto"/>
        <w:tabs>
          <w:tab w:leader="none" w:pos="1943"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620" w:firstLine="5"/>
        <w:spacing w:after="0" w:line="252" w:lineRule="auto"/>
        <w:tabs>
          <w:tab w:leader="none" w:pos="1932" w:val="left"/>
        </w:tabs>
        <w:numPr>
          <w:ilvl w:val="0"/>
          <w:numId w:val="17"/>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4" w:lineRule="exact"/>
        <w:rPr>
          <w:sz w:val="20"/>
          <w:szCs w:val="20"/>
          <w:color w:val="auto"/>
        </w:rPr>
      </w:pPr>
    </w:p>
    <w:p>
      <w:pPr>
        <w:jc w:val="both"/>
        <w:ind w:left="1620"/>
        <w:spacing w:after="0" w:line="236"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4" w:name="page35"/>
    <w:bookmarkEnd w:id="34"/>
    <w:p>
      <w:pPr>
        <w:jc w:val="both"/>
        <w:ind w:left="98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Unavailability Period</w:t>
      </w:r>
      <w:r>
        <w:rPr>
          <w:rFonts w:ascii="Arial" w:cs="Arial" w:eastAsia="Arial" w:hAnsi="Arial"/>
          <w:sz w:val="19"/>
          <w:szCs w:val="19"/>
          <w:color w:val="auto"/>
        </w:rPr>
        <w:t>”: the period (if any) (x) beginning at the time that a Benchmark Replacement Date pursuant to clauses (a) or (b)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Section 2.17(b).”</w:t>
      </w:r>
    </w:p>
    <w:p>
      <w:pPr>
        <w:spacing w:after="0" w:line="152" w:lineRule="exact"/>
        <w:rPr>
          <w:sz w:val="20"/>
          <w:szCs w:val="20"/>
          <w:color w:val="auto"/>
        </w:rPr>
      </w:pPr>
    </w:p>
    <w:p>
      <w:pPr>
        <w:jc w:val="both"/>
        <w:ind w:left="9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Corresponding Tenor</w:t>
      </w:r>
      <w:r>
        <w:rPr>
          <w:rFonts w:ascii="Arial" w:cs="Arial" w:eastAsia="Arial" w:hAnsi="Arial"/>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9" w:lineRule="exact"/>
        <w:rPr>
          <w:sz w:val="20"/>
          <w:szCs w:val="20"/>
          <w:color w:val="auto"/>
        </w:rPr>
      </w:pPr>
    </w:p>
    <w:p>
      <w:pPr>
        <w:jc w:val="both"/>
        <w:ind w:left="980"/>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Daily Simple SOFR</w:t>
      </w:r>
      <w:r>
        <w:rPr>
          <w:rFonts w:ascii="Arial" w:cs="Arial" w:eastAsia="Arial" w:hAnsi="Arial"/>
          <w:sz w:val="21"/>
          <w:szCs w:val="21"/>
          <w:color w:val="auto"/>
        </w:rPr>
        <w:t>”: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4"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Early Opt-in Election</w:t>
      </w:r>
      <w:r>
        <w:rPr>
          <w:rFonts w:ascii="Arial" w:cs="Arial" w:eastAsia="Arial" w:hAnsi="Arial"/>
          <w:sz w:val="22"/>
          <w:szCs w:val="22"/>
          <w:color w:val="auto"/>
        </w:rPr>
        <w:t>”: if the then-current Benchmark is the Eurodollar Rate, the occurrence of:</w:t>
      </w:r>
    </w:p>
    <w:p>
      <w:pPr>
        <w:spacing w:after="0" w:line="175" w:lineRule="exact"/>
        <w:rPr>
          <w:sz w:val="20"/>
          <w:szCs w:val="20"/>
          <w:color w:val="auto"/>
        </w:rPr>
      </w:pPr>
    </w:p>
    <w:p>
      <w:pPr>
        <w:jc w:val="both"/>
        <w:ind w:left="1620" w:firstLine="5"/>
        <w:spacing w:after="0" w:line="246" w:lineRule="auto"/>
        <w:tabs>
          <w:tab w:leader="none" w:pos="1932" w:val="left"/>
        </w:tabs>
        <w:numPr>
          <w:ilvl w:val="0"/>
          <w:numId w:val="18"/>
        </w:numPr>
        <w:rPr>
          <w:rFonts w:ascii="Arial" w:cs="Arial" w:eastAsia="Arial" w:hAnsi="Arial"/>
          <w:sz w:val="21"/>
          <w:szCs w:val="21"/>
          <w:color w:val="auto"/>
        </w:rPr>
      </w:pPr>
      <w:r>
        <w:rPr>
          <w:rFonts w:ascii="Arial" w:cs="Arial" w:eastAsia="Arial" w:hAnsi="Arial"/>
          <w:sz w:val="21"/>
          <w:szCs w:val="21"/>
          <w:color w:val="auto"/>
        </w:rPr>
        <w:t>a notification by the Administrative Agent to (or the request by the Borrower to the Administrative Agent to notify) each of the other parties hereto that at least five currently outstanding Dollar denominated syndicated credit facilities at such time contain (as a result of amendment or as originally executed) a SOFR-based rate (including SOFR, Term SOFR or any other rate based upon SOFR) as a benchmark rate (and such syndicated credit facilities are identified in such notice and are publicly available for review), and</w:t>
      </w:r>
    </w:p>
    <w:p>
      <w:pPr>
        <w:spacing w:after="0" w:line="184" w:lineRule="exact"/>
        <w:rPr>
          <w:rFonts w:ascii="Arial" w:cs="Arial" w:eastAsia="Arial" w:hAnsi="Arial"/>
          <w:sz w:val="21"/>
          <w:szCs w:val="21"/>
          <w:color w:val="auto"/>
        </w:rPr>
      </w:pPr>
    </w:p>
    <w:p>
      <w:pPr>
        <w:jc w:val="both"/>
        <w:ind w:left="1620" w:firstLine="5"/>
        <w:spacing w:after="0"/>
        <w:tabs>
          <w:tab w:leader="none" w:pos="1971"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 to trigger a fallback from the Eurodollar Rate and the provision by the Administrative Agent of written notice of such election to the Lenders.”</w:t>
      </w:r>
    </w:p>
    <w:p>
      <w:pPr>
        <w:spacing w:after="0" w:line="186"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First Amendment Fee Letter</w:t>
      </w:r>
      <w:r>
        <w:rPr>
          <w:rFonts w:ascii="Arial" w:cs="Arial" w:eastAsia="Arial" w:hAnsi="Arial"/>
          <w:sz w:val="22"/>
          <w:szCs w:val="22"/>
          <w:color w:val="auto"/>
        </w:rPr>
        <w:t>”: the fee letter agreement dated as of the First Amendment Effective Date, between the Borrower and the Administrative Agent.”</w:t>
      </w:r>
    </w:p>
    <w:p>
      <w:pPr>
        <w:spacing w:after="0" w:line="175"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Floor</w:t>
      </w:r>
      <w:r>
        <w:rPr>
          <w:rFonts w:ascii="Arial" w:cs="Arial" w:eastAsia="Arial" w:hAnsi="Arial"/>
          <w:sz w:val="22"/>
          <w:szCs w:val="22"/>
          <w:color w:val="auto"/>
        </w:rPr>
        <w:t>”: the benchmark rate floor, if any, provided in this Agreement initially (as of the execution of this Agreement, the modification, amendment or renewal of this Agreement or otherwise) with respect to the Eurodollar Rate.”</w:t>
      </w:r>
    </w:p>
    <w:p>
      <w:pPr>
        <w:spacing w:after="0" w:line="186" w:lineRule="exact"/>
        <w:rPr>
          <w:sz w:val="20"/>
          <w:szCs w:val="20"/>
          <w:color w:val="auto"/>
        </w:rPr>
      </w:pPr>
    </w:p>
    <w:p>
      <w:pPr>
        <w:jc w:val="both"/>
        <w:ind w:left="98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ISDA Definitions</w:t>
      </w:r>
      <w:r>
        <w:rPr>
          <w:rFonts w:ascii="Arial" w:cs="Arial" w:eastAsia="Arial" w:hAnsi="Arial"/>
          <w:sz w:val="22"/>
          <w:szCs w:val="22"/>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5" w:name="page36"/>
    <w:bookmarkEnd w:id="35"/>
    <w:p>
      <w:pPr>
        <w:jc w:val="both"/>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Liquidity</w:t>
      </w:r>
      <w:r>
        <w:rPr>
          <w:rFonts w:ascii="Arial" w:cs="Arial" w:eastAsia="Arial" w:hAnsi="Arial"/>
          <w:sz w:val="22"/>
          <w:szCs w:val="22"/>
          <w:color w:val="auto"/>
        </w:rPr>
        <w:t>”: at any date of determination, the sum of the unrestricted cash and Cash Equivalents of the Loan Parties subject to a perfected first priority Lien in favor of the Administrative Agent.”</w:t>
      </w:r>
    </w:p>
    <w:p>
      <w:pPr>
        <w:spacing w:after="0" w:line="187" w:lineRule="exact"/>
        <w:rPr>
          <w:sz w:val="20"/>
          <w:szCs w:val="20"/>
          <w:color w:val="auto"/>
        </w:rPr>
      </w:pPr>
    </w:p>
    <w:p>
      <w:pPr>
        <w:jc w:val="both"/>
        <w:ind w:left="98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Reference Time</w:t>
      </w:r>
      <w:r>
        <w:rPr>
          <w:rFonts w:ascii="Arial" w:cs="Arial" w:eastAsia="Arial" w:hAnsi="Arial"/>
          <w:sz w:val="22"/>
          <w:szCs w:val="22"/>
          <w:color w:val="auto"/>
        </w:rPr>
        <w:t>”: with respect to any setting of the then-current Benchmark means (i) if such Benchmark is the Eurodollar Rate, 11:00 a.m. (London time) on the day that is two London banking days preceding the date of such setting, and (ii) if such Benchmark is not the Eurodollar Rate, the time determined by the Administrative Agent in its reasonable discretion.”</w:t>
      </w:r>
    </w:p>
    <w:p>
      <w:pPr>
        <w:spacing w:after="0" w:line="187" w:lineRule="exact"/>
        <w:rPr>
          <w:sz w:val="20"/>
          <w:szCs w:val="20"/>
          <w:color w:val="auto"/>
        </w:rPr>
      </w:pPr>
    </w:p>
    <w:p>
      <w:pPr>
        <w:jc w:val="both"/>
        <w:ind w:left="98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Governmental Body</w:t>
      </w:r>
      <w:r>
        <w:rPr>
          <w:rFonts w:ascii="Arial" w:cs="Arial" w:eastAsia="Arial" w:hAnsi="Arial"/>
          <w:sz w:val="22"/>
          <w:szCs w:val="22"/>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5" w:lineRule="exact"/>
        <w:rPr>
          <w:sz w:val="20"/>
          <w:szCs w:val="20"/>
          <w:color w:val="auto"/>
        </w:rPr>
      </w:pPr>
    </w:p>
    <w:p>
      <w:pPr>
        <w:jc w:val="both"/>
        <w:ind w:left="98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SOFR</w:t>
      </w:r>
      <w:r>
        <w:rPr>
          <w:rFonts w:ascii="Arial" w:cs="Arial" w:eastAsia="Arial" w:hAnsi="Arial"/>
          <w:sz w:val="21"/>
          <w:szCs w:val="21"/>
          <w:color w:val="auto"/>
        </w:rPr>
        <w:t>”: with respect to any Business Day, a rate per annum equal to the secured overnight financing rate for such Business Day published by the SOFR Administrator on the SOFR Administrator’s Website on the immediately succeeding Business Day.”</w:t>
      </w:r>
    </w:p>
    <w:p>
      <w:pPr>
        <w:spacing w:after="0" w:line="169"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SOFR Administrator</w:t>
      </w:r>
      <w:r>
        <w:rPr>
          <w:rFonts w:ascii="Arial" w:cs="Arial" w:eastAsia="Arial" w:hAnsi="Arial"/>
          <w:sz w:val="22"/>
          <w:szCs w:val="22"/>
          <w:color w:val="auto"/>
        </w:rPr>
        <w:t>”: the Federal Reserve Bank of New York (or a successor administrator of the secured overnight financing rate).”</w:t>
      </w:r>
    </w:p>
    <w:p>
      <w:pPr>
        <w:spacing w:after="0" w:line="175" w:lineRule="exact"/>
        <w:rPr>
          <w:sz w:val="20"/>
          <w:szCs w:val="20"/>
          <w:color w:val="auto"/>
        </w:rPr>
      </w:pPr>
    </w:p>
    <w:p>
      <w:pPr>
        <w:jc w:val="both"/>
        <w:ind w:left="98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 Administrator’s Website</w:t>
      </w:r>
      <w:r>
        <w:rPr>
          <w:rFonts w:ascii="Arial" w:cs="Arial" w:eastAsia="Arial" w:hAnsi="Arial"/>
          <w:sz w:val="19"/>
          <w:szCs w:val="19"/>
          <w:color w:val="auto"/>
        </w:rPr>
        <w:t>”: the website of the Federal Reserve Bank of New York, currently at http://www.newyorkfed.org, or any successor source for the secured overnight financing rate identified as such by the SOFR Administrator from time to time.”</w:t>
      </w:r>
    </w:p>
    <w:p>
      <w:pPr>
        <w:spacing w:after="0" w:line="134"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w:t>
      </w:r>
      <w:r>
        <w:rPr>
          <w:rFonts w:ascii="Arial" w:cs="Arial" w:eastAsia="Arial" w:hAnsi="Arial"/>
          <w:sz w:val="22"/>
          <w:szCs w:val="22"/>
          <w:color w:val="auto"/>
        </w:rPr>
        <w:t>”: for the applicable Corresponding Tenor as of the applicable Reference Time, the forward-looking term rate based on SOFR that has been selected or recommended by the Relevant Governmental Body.”</w:t>
      </w:r>
    </w:p>
    <w:p>
      <w:pPr>
        <w:spacing w:after="0" w:line="186"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SOFR Notice</w:t>
      </w:r>
      <w:r>
        <w:rPr>
          <w:rFonts w:ascii="Arial" w:cs="Arial" w:eastAsia="Arial" w:hAnsi="Arial"/>
          <w:sz w:val="22"/>
          <w:szCs w:val="22"/>
          <w:color w:val="auto"/>
        </w:rPr>
        <w:t>”: a notification by the Administrative Agent to the Lenders and the Borrower of the occurrence of a Term SOFR Transition Event.”</w:t>
      </w:r>
    </w:p>
    <w:p>
      <w:pPr>
        <w:spacing w:after="0" w:line="175" w:lineRule="exact"/>
        <w:rPr>
          <w:sz w:val="20"/>
          <w:szCs w:val="20"/>
          <w:color w:val="auto"/>
        </w:rPr>
      </w:pPr>
    </w:p>
    <w:p>
      <w:pPr>
        <w:jc w:val="both"/>
        <w:ind w:left="98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SOFR Transition Event</w:t>
      </w:r>
      <w:r>
        <w:rPr>
          <w:rFonts w:ascii="Arial" w:cs="Arial" w:eastAsia="Arial" w:hAnsi="Arial"/>
          <w:sz w:val="21"/>
          <w:szCs w:val="21"/>
          <w:color w:val="auto"/>
        </w:rPr>
        <w:t>”: the determination by the Administrative Agent that (a) Term SOFR has been recommended for use by the Relevant Governmental Body, and is determinable for each Available Tenor, (b) the administration of Term SOFR is administratively feasible for the Administrative Agent and (c) a Benchmark Transition Event or an Early Opt-in Election, as applicable, has previously occurred resulting in a Benchmark Replacement that is not Term SOFR.”</w:t>
      </w:r>
    </w:p>
    <w:p>
      <w:pPr>
        <w:spacing w:after="0" w:line="177"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Unadjusted Benchmark Replacement</w:t>
      </w:r>
      <w:r>
        <w:rPr>
          <w:rFonts w:ascii="Arial" w:cs="Arial" w:eastAsia="Arial" w:hAnsi="Arial"/>
          <w:sz w:val="22"/>
          <w:szCs w:val="22"/>
          <w:color w:val="auto"/>
        </w:rPr>
        <w:t>”: the applicable Benchmark Replacement excluding the related Benchmark Replacement Adjustment.”</w:t>
      </w:r>
    </w:p>
    <w:p>
      <w:pPr>
        <w:spacing w:after="0" w:line="175" w:lineRule="exact"/>
        <w:rPr>
          <w:sz w:val="20"/>
          <w:szCs w:val="20"/>
          <w:color w:val="auto"/>
        </w:rPr>
      </w:pPr>
    </w:p>
    <w:p>
      <w:pPr>
        <w:ind w:left="980" w:right="20" w:hanging="651"/>
        <w:spacing w:after="0" w:line="250" w:lineRule="auto"/>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Section 2.17(b) of the Credit Agreement is hereby amended and restated in its entirety as follows:</w:t>
      </w:r>
    </w:p>
    <w:p>
      <w:pPr>
        <w:spacing w:after="0" w:line="175"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Benchmark Replacement Setting</w:t>
      </w:r>
      <w:r>
        <w:rPr>
          <w:rFonts w:ascii="Arial" w:cs="Arial" w:eastAsia="Arial" w:hAnsi="Arial"/>
          <w:sz w:val="22"/>
          <w:szCs w:val="22"/>
          <w:color w:val="auto"/>
        </w:rPr>
        <w:t>.</w:t>
      </w:r>
    </w:p>
    <w:p>
      <w:pPr>
        <w:spacing w:after="0" w:line="206" w:lineRule="exact"/>
        <w:rPr>
          <w:sz w:val="20"/>
          <w:szCs w:val="20"/>
          <w:color w:val="auto"/>
        </w:rPr>
      </w:pPr>
    </w:p>
    <w:p>
      <w:pPr>
        <w:ind w:left="1880" w:hanging="255"/>
        <w:spacing w:after="0"/>
        <w:tabs>
          <w:tab w:leader="none" w:pos="18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w:t>
      </w:r>
    </w:p>
    <w:p>
      <w:pPr>
        <w:spacing w:after="0" w:line="28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6" w:name="page37"/>
    <w:bookmarkEnd w:id="36"/>
    <w:p>
      <w:pPr>
        <w:jc w:val="both"/>
        <w:ind w:left="2280" w:hanging="7"/>
        <w:spacing w:after="0" w:line="269" w:lineRule="auto"/>
        <w:tabs>
          <w:tab w:leader="none" w:pos="2941" w:val="left"/>
        </w:tabs>
        <w:numPr>
          <w:ilvl w:val="1"/>
          <w:numId w:val="21"/>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any Swap Agreement shall be deemed not to be a “Loan Document” for purposes of this Section titled “Benchmark Replacement Setting”), if a Benchmark Transition Event or an Early Opt-in Election, as applicable, and its related Benchmark Replacement Date have occurred prior to the Reference Time in respect of any setting of the then-current Benchmark, then (1) if a Benchmark Replacement is determined in accordance with clause (a)(i) or (a)(ii)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(2) if a Benchmark Replacement is determined in accordance with clause (a)(iii)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2280" w:hanging="7"/>
        <w:spacing w:after="0" w:line="271" w:lineRule="auto"/>
        <w:tabs>
          <w:tab w:leader="none" w:pos="2941" w:val="left"/>
        </w:tabs>
        <w:numPr>
          <w:ilvl w:val="1"/>
          <w:numId w:val="21"/>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1620" w:firstLine="5"/>
        <w:spacing w:after="0" w:line="246" w:lineRule="auto"/>
        <w:tabs>
          <w:tab w:leader="none" w:pos="2349"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6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7" w:name="page38"/>
    <w:bookmarkEnd w:id="37"/>
    <w:p>
      <w:pPr>
        <w:jc w:val="both"/>
        <w:ind w:left="1620" w:firstLine="5"/>
        <w:spacing w:after="0" w:line="271" w:lineRule="auto"/>
        <w:tabs>
          <w:tab w:leader="none" w:pos="230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(A) any occurrence of a Benchmark Transition Event, a Term SOFR Transition Event, or an Early Opt-in Election, as applicable, and its related Benchmark Replacement Date, (B) the implementation of any Benchmark Replacement, (C) the effectiveness of any Benchmark Replacement Conforming Changes, (D) the removal or reinstatement of any tenor of a Benchmark pursuant to clause (iv) below, and (E) the commencement or conclusion of any Benchmark Unavailability Period. Any determination, decision or election that may be made by the Administrative Agent or, if applicable, any Lender (or group of Lenders) pursuant to this Section 2.17(b)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2.17(b)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620" w:firstLine="5"/>
        <w:spacing w:after="0" w:line="271" w:lineRule="auto"/>
        <w:tabs>
          <w:tab w:leader="none" w:pos="232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(A) if the then-current Benchmark is a term rate (including Term SOFR or the Eurodollar Rate) and either</w:t>
      </w:r>
    </w:p>
    <w:p>
      <w:pPr>
        <w:spacing w:after="0" w:line="3" w:lineRule="exact"/>
        <w:rPr>
          <w:rFonts w:ascii="Arial" w:cs="Arial" w:eastAsia="Arial" w:hAnsi="Arial"/>
          <w:sz w:val="19"/>
          <w:szCs w:val="19"/>
          <w:color w:val="auto"/>
        </w:rPr>
      </w:pPr>
    </w:p>
    <w:p>
      <w:pPr>
        <w:jc w:val="both"/>
        <w:ind w:left="1620"/>
        <w:spacing w:after="0" w:line="270" w:lineRule="auto"/>
        <w:rPr>
          <w:rFonts w:ascii="Arial" w:cs="Arial" w:eastAsia="Arial" w:hAnsi="Arial"/>
          <w:sz w:val="19"/>
          <w:szCs w:val="19"/>
          <w:color w:val="auto"/>
        </w:rPr>
      </w:pPr>
      <w:r>
        <w:rPr>
          <w:rFonts w:ascii="Arial" w:cs="Arial" w:eastAsia="Arial" w:hAnsi="Arial"/>
          <w:sz w:val="19"/>
          <w:szCs w:val="19"/>
          <w:color w:val="auto"/>
        </w:rPr>
        <w:t>(1)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8" w:lineRule="exact"/>
        <w:rPr>
          <w:rFonts w:ascii="Arial" w:cs="Arial" w:eastAsia="Arial" w:hAnsi="Arial"/>
          <w:sz w:val="19"/>
          <w:szCs w:val="19"/>
          <w:color w:val="auto"/>
        </w:rPr>
      </w:pPr>
    </w:p>
    <w:p>
      <w:pPr>
        <w:jc w:val="both"/>
        <w:ind w:left="1620" w:firstLine="5"/>
        <w:spacing w:after="0" w:line="279" w:lineRule="auto"/>
        <w:tabs>
          <w:tab w:leader="none" w:pos="2281"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request for a Eurodollar Loan of, conversion to or continuation of Eurodollar Loans to be made, converted or continued during any Benchmark Unavailability Period and, failing that, the Borrower will be deemed to have converted any such request into a request for a borrowing of or conversion to ABR Loans.”</w:t>
      </w:r>
    </w:p>
    <w:p>
      <w:pPr>
        <w:spacing w:after="0" w:line="150" w:lineRule="exact"/>
        <w:rPr>
          <w:sz w:val="20"/>
          <w:szCs w:val="20"/>
          <w:color w:val="auto"/>
        </w:rPr>
      </w:pPr>
    </w:p>
    <w:p>
      <w:pPr>
        <w:ind w:left="980" w:right="20" w:hanging="651"/>
        <w:spacing w:after="0" w:line="250"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Section 6.2(a) of the Credit Agreement is hereby amended and restated in its entirety as follows:</w:t>
      </w:r>
    </w:p>
    <w:p>
      <w:pPr>
        <w:spacing w:after="0" w:line="175" w:lineRule="exact"/>
        <w:rPr>
          <w:sz w:val="20"/>
          <w:szCs w:val="20"/>
          <w:color w:val="auto"/>
        </w:rPr>
      </w:pPr>
    </w:p>
    <w:p>
      <w:pPr>
        <w:jc w:val="both"/>
        <w:ind w:left="980"/>
        <w:spacing w:after="0" w:line="287" w:lineRule="auto"/>
        <w:rPr>
          <w:sz w:val="20"/>
          <w:szCs w:val="20"/>
          <w:color w:val="auto"/>
        </w:rPr>
      </w:pPr>
      <w:r>
        <w:rPr>
          <w:rFonts w:ascii="Arial" w:cs="Arial" w:eastAsia="Arial" w:hAnsi="Arial"/>
          <w:sz w:val="19"/>
          <w:szCs w:val="19"/>
          <w:color w:val="auto"/>
        </w:rPr>
        <w:t>“(a) within 45 days after the end of each fiscal quarter of the Borrower, a certificate (which certification may be included in the Compliance Certificate for the fiscal quarters ending March 31, June 30 and September 30 of any fiscal year) of a Responsible Officer of the Borrower stating that all Restricted Payments made during such fiscal quarter pursuant</w:t>
      </w:r>
    </w:p>
    <w:p>
      <w:pPr>
        <w:spacing w:after="0" w:line="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8" w:name="page39"/>
    <w:bookmarkEnd w:id="38"/>
    <w:p>
      <w:pPr>
        <w:jc w:val="both"/>
        <w:ind w:left="980"/>
        <w:spacing w:after="0" w:line="241" w:lineRule="auto"/>
        <w:rPr>
          <w:sz w:val="20"/>
          <w:szCs w:val="20"/>
          <w:color w:val="auto"/>
        </w:rPr>
      </w:pPr>
      <w:r>
        <w:rPr>
          <w:rFonts w:ascii="Arial" w:cs="Arial" w:eastAsia="Arial" w:hAnsi="Arial"/>
          <w:sz w:val="22"/>
          <w:szCs w:val="22"/>
          <w:color w:val="auto"/>
        </w:rPr>
        <w:t>to Section 7.6(c) satisfied the conditions set forth in Section 7.6(c) herein with respect to each such Restricted Payments and listing the amount and settlement date of each such Restricted Payment;”</w:t>
      </w:r>
    </w:p>
    <w:p>
      <w:pPr>
        <w:spacing w:after="0" w:line="184" w:lineRule="exact"/>
        <w:rPr>
          <w:sz w:val="20"/>
          <w:szCs w:val="20"/>
          <w:color w:val="auto"/>
        </w:rPr>
      </w:pPr>
    </w:p>
    <w:p>
      <w:pPr>
        <w:ind w:left="980" w:right="20" w:hanging="651"/>
        <w:spacing w:after="0" w:line="250"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Section 6.2(b) of the Credit Agreement is hereby amended by deleting “(including for the avoidance of doubt compliance with Section 7.6(c) for the prior period).”</w:t>
      </w:r>
    </w:p>
    <w:p>
      <w:pPr>
        <w:spacing w:after="0" w:line="174" w:lineRule="exact"/>
        <w:rPr>
          <w:rFonts w:ascii="Arial" w:cs="Arial" w:eastAsia="Arial" w:hAnsi="Arial"/>
          <w:sz w:val="22"/>
          <w:szCs w:val="22"/>
          <w:color w:val="auto"/>
        </w:rPr>
      </w:pPr>
    </w:p>
    <w:p>
      <w:pPr>
        <w:ind w:left="980" w:right="20" w:hanging="651"/>
        <w:spacing w:after="0" w:line="250"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Section 7.6(c) of the Credit Agreement is hereby amended and restated in its entirety as follows:</w:t>
      </w:r>
    </w:p>
    <w:p>
      <w:pPr>
        <w:spacing w:after="0" w:line="175" w:lineRule="exact"/>
        <w:rPr>
          <w:sz w:val="20"/>
          <w:szCs w:val="20"/>
          <w:color w:val="auto"/>
        </w:rPr>
      </w:pPr>
    </w:p>
    <w:p>
      <w:pPr>
        <w:jc w:val="both"/>
        <w:ind w:left="980"/>
        <w:spacing w:after="0" w:line="270" w:lineRule="auto"/>
        <w:rPr>
          <w:sz w:val="20"/>
          <w:szCs w:val="20"/>
          <w:color w:val="auto"/>
        </w:rPr>
      </w:pPr>
      <w:r>
        <w:rPr>
          <w:rFonts w:ascii="Arial" w:cs="Arial" w:eastAsia="Arial" w:hAnsi="Arial"/>
          <w:sz w:val="19"/>
          <w:szCs w:val="19"/>
          <w:color w:val="auto"/>
        </w:rPr>
        <w:t>“(c) any Group Member may make Restricted Payments so long as (i) the aggregate amount of (A) all such Restricted Payments made in any fiscal year of the Group Members plus (B) the aggregate consideration (excluding Capital Stock of the Borrower that is not Disqualified Stock, but including earn-out payments, seller debt payments or deferred purchase price payments unless repayable with Capital Stock of the Borrower that is not Disqualified Stock) paid for all Permitted Acquisitions in any fiscal year of the Group Members, shall not exceed (X) $25,000,000 if the Consolidated Senior Leverage is greater than or equal to 2.00:1.00, (Y) $50,000,000 if the Consolidated Senior Leverage is less than 2.00:1.00 and Liquidity immediately after giving effect to such Restricted Payment is less than or equal to $75,000,000 and (Z) $100,000,000 if the Consolidated Senior Leverage is less than 2.00:1.00 and Liquidity immediately after giving effect to such Restricted Payment is greater than $75,000,000, with the Consolidated Senior Leverage Ratio in each case of the foregoing items (X), (Y) and (Z), calculated on a pro forma basis after giving effect to such Permitted Acquisition or Restricted Payment, as applicable, as for the most recent determination period for which financial statements are internally available and have been delivered to the Administrative Agent and (ii) the Borrower is in pro forma compliance with the financial covenants set forth in Section 7.1 as for the most recent determination period for which financial statements are internally available and have been delivered to the Administrative Agent after giving effect to such payment;”</w:t>
      </w:r>
    </w:p>
    <w:p>
      <w:pPr>
        <w:spacing w:after="0" w:line="200" w:lineRule="exact"/>
        <w:rPr>
          <w:sz w:val="20"/>
          <w:szCs w:val="20"/>
          <w:color w:val="auto"/>
        </w:rPr>
      </w:pPr>
    </w:p>
    <w:p>
      <w:pPr>
        <w:spacing w:after="0" w:line="209" w:lineRule="exact"/>
        <w:rPr>
          <w:sz w:val="20"/>
          <w:szCs w:val="20"/>
          <w:color w:val="auto"/>
        </w:rPr>
      </w:pPr>
    </w:p>
    <w:p>
      <w:pPr>
        <w:ind w:left="980" w:right="20" w:hanging="651"/>
        <w:spacing w:after="0" w:line="250" w:lineRule="auto"/>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7.8(n)(x) of the Credit Agreement is hereby amended and restated in its entirety as follows:</w:t>
      </w:r>
    </w:p>
    <w:p>
      <w:pPr>
        <w:spacing w:after="0" w:line="175" w:lineRule="exact"/>
        <w:rPr>
          <w:sz w:val="20"/>
          <w:szCs w:val="20"/>
          <w:color w:val="auto"/>
        </w:rPr>
      </w:pPr>
    </w:p>
    <w:p>
      <w:pPr>
        <w:jc w:val="both"/>
        <w:ind w:left="980"/>
        <w:spacing w:after="0" w:line="268" w:lineRule="auto"/>
        <w:rPr>
          <w:sz w:val="20"/>
          <w:szCs w:val="20"/>
          <w:color w:val="auto"/>
        </w:rPr>
      </w:pPr>
      <w:r>
        <w:rPr>
          <w:rFonts w:ascii="Arial" w:cs="Arial" w:eastAsia="Arial" w:hAnsi="Arial"/>
          <w:sz w:val="19"/>
          <w:szCs w:val="19"/>
          <w:color w:val="auto"/>
        </w:rPr>
        <w:t xml:space="preserve">“(x) (A) the aggregate amount of the consideration (excluding Capital Stock of the Borrower that is not Disqualified Stock, but including earn-out payments, seller debt payments or deferred purchase price payments unless repayable with Capital Stock of the Borrower that is not Disqualified Stock) paid by such Group Member in connection with (x) all Permitted Acquisitions consummated from and after the Closing Date plus (y) all Restricted Payments permitted to be made pursuant to </w:t>
      </w:r>
      <w:r>
        <w:rPr>
          <w:rFonts w:ascii="Arial" w:cs="Arial" w:eastAsia="Arial" w:hAnsi="Arial"/>
          <w:sz w:val="19"/>
          <w:szCs w:val="19"/>
          <w:u w:val="single" w:color="auto"/>
          <w:color w:val="auto"/>
        </w:rPr>
        <w:t>Section 7.6(c)</w:t>
      </w:r>
      <w:r>
        <w:rPr>
          <w:rFonts w:ascii="Arial" w:cs="Arial" w:eastAsia="Arial" w:hAnsi="Arial"/>
          <w:sz w:val="19"/>
          <w:szCs w:val="19"/>
          <w:color w:val="auto"/>
        </w:rPr>
        <w:t xml:space="preserve"> from and after the Closing Date, shall not exceed (1) $25,000,000 in any fiscal year of the Group Members if the Consolidated Senior Leverage Ratio is greater than or equal to 2.00:1.00, (2) $50,000,000 in any fiscal year of the Group Members if the Consolidated Senior Leverage Ratio is less than or equal to 2.00:1.00 and Liquidity immediately after giving effect such purchase or acquisition is less than or equal to $75,000,000, and (3) $100,0000,000 in any fiscal year if the Consolidated Senior Leverage is less than or equal to 2.00:1.00 and Liquidity immediately after giving effect such purchase or acquisition is greater than $75,000,000, with the Consolidated Senior Leverage Ratio in each case of the foregoing items (1), (2) and</w:t>
      </w:r>
    </w:p>
    <w:p>
      <w:pPr>
        <w:spacing w:after="0" w:line="4" w:lineRule="exact"/>
        <w:rPr>
          <w:sz w:val="20"/>
          <w:szCs w:val="20"/>
          <w:color w:val="auto"/>
        </w:rPr>
      </w:pPr>
    </w:p>
    <w:p>
      <w:pPr>
        <w:jc w:val="both"/>
        <w:ind w:left="980"/>
        <w:spacing w:after="0" w:line="234" w:lineRule="auto"/>
        <w:rPr>
          <w:sz w:val="20"/>
          <w:szCs w:val="20"/>
          <w:color w:val="auto"/>
        </w:rPr>
      </w:pPr>
      <w:r>
        <w:rPr>
          <w:rFonts w:ascii="Arial" w:cs="Arial" w:eastAsia="Arial" w:hAnsi="Arial"/>
          <w:sz w:val="22"/>
          <w:szCs w:val="22"/>
          <w:color w:val="auto"/>
        </w:rPr>
        <w:t xml:space="preserve">(3), subject to </w:t>
      </w:r>
      <w:r>
        <w:rPr>
          <w:rFonts w:ascii="Arial" w:cs="Arial" w:eastAsia="Arial" w:hAnsi="Arial"/>
          <w:sz w:val="22"/>
          <w:szCs w:val="22"/>
          <w:u w:val="single" w:color="auto"/>
          <w:color w:val="auto"/>
        </w:rPr>
        <w:t>Section 1.4</w:t>
      </w:r>
      <w:r>
        <w:rPr>
          <w:rFonts w:ascii="Arial" w:cs="Arial" w:eastAsia="Arial" w:hAnsi="Arial"/>
          <w:sz w:val="22"/>
          <w:szCs w:val="22"/>
          <w:color w:val="auto"/>
        </w:rPr>
        <w:t>, calculated on a pro forma basis after giving effect to such purchase or acquisition or Restricted Payment, as applicable, as for the most recent determination</w:t>
      </w:r>
    </w:p>
    <w:p>
      <w:pPr>
        <w:spacing w:after="0" w:line="52"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349885</wp:posOffset>
            </wp:positionV>
            <wp:extent cx="59575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060"/>
          </w:cols>
          <w:pgMar w:left="1440" w:top="118" w:right="1399" w:bottom="1440" w:gutter="0" w:footer="0" w:header="0"/>
        </w:sectPr>
      </w:pPr>
    </w:p>
    <w:bookmarkStart w:id="39" w:name="page40"/>
    <w:bookmarkEnd w:id="39"/>
    <w:p>
      <w:pPr>
        <w:ind w:left="1300"/>
        <w:spacing w:after="0" w:line="251" w:lineRule="auto"/>
        <w:rPr>
          <w:sz w:val="20"/>
          <w:szCs w:val="20"/>
          <w:color w:val="auto"/>
        </w:rPr>
      </w:pPr>
      <w:r>
        <w:rPr>
          <w:rFonts w:ascii="Arial" w:cs="Arial" w:eastAsia="Arial" w:hAnsi="Arial"/>
          <w:sz w:val="22"/>
          <w:szCs w:val="22"/>
          <w:color w:val="auto"/>
        </w:rPr>
        <w:t>period for which financial statements are internally available and have been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-193040</wp:posOffset>
            </wp:positionV>
            <wp:extent cx="431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3" w:lineRule="exact"/>
        <w:rPr>
          <w:sz w:val="20"/>
          <w:szCs w:val="20"/>
          <w:color w:val="auto"/>
        </w:rPr>
      </w:pPr>
    </w:p>
    <w:p>
      <w:pPr>
        <w:ind w:firstLine="649"/>
        <w:spacing w:after="0" w:line="328"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Conditions Precedent to Effectiveness</w:t>
      </w:r>
      <w:r>
        <w:rPr>
          <w:rFonts w:ascii="Arial" w:cs="Arial" w:eastAsia="Arial" w:hAnsi="Arial"/>
          <w:sz w:val="19"/>
          <w:szCs w:val="19"/>
          <w:color w:val="auto"/>
        </w:rPr>
        <w:t>. This Amendment shall not be effective until each of the following conditions precedent have been fulfilled to the satisfaction of the Administrative Agent:</w:t>
      </w:r>
    </w:p>
    <w:p>
      <w:pPr>
        <w:spacing w:after="0" w:line="105" w:lineRule="exact"/>
        <w:rPr>
          <w:sz w:val="20"/>
          <w:szCs w:val="20"/>
          <w:color w:val="auto"/>
        </w:rPr>
      </w:pPr>
    </w:p>
    <w:p>
      <w:pPr>
        <w:jc w:val="both"/>
        <w:ind w:left="1300" w:right="20" w:hanging="651"/>
        <w:spacing w:after="0" w:line="297" w:lineRule="auto"/>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This Amendment and the First Amendment Fee Letter shall have been duly executed and delivered by the respective parties hereto. The Administrative Agent shall have received a fully executed copy of this Amendment and the First Amendment Fee Letter.</w:t>
      </w:r>
    </w:p>
    <w:p>
      <w:pPr>
        <w:spacing w:after="0" w:line="133" w:lineRule="exact"/>
        <w:rPr>
          <w:rFonts w:ascii="Arial" w:cs="Arial" w:eastAsia="Arial" w:hAnsi="Arial"/>
          <w:sz w:val="19"/>
          <w:szCs w:val="19"/>
          <w:color w:val="auto"/>
        </w:rPr>
      </w:pPr>
    </w:p>
    <w:p>
      <w:pPr>
        <w:ind w:left="1300" w:hanging="651"/>
        <w:spacing w:after="0"/>
        <w:tabs>
          <w:tab w:leader="none" w:pos="13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All necessary consents and approvals to this Amendment shall have been obtained.</w:t>
      </w:r>
    </w:p>
    <w:p>
      <w:pPr>
        <w:spacing w:after="0" w:line="217" w:lineRule="exact"/>
        <w:rPr>
          <w:rFonts w:ascii="Arial" w:cs="Arial" w:eastAsia="Arial" w:hAnsi="Arial"/>
          <w:sz w:val="21"/>
          <w:szCs w:val="21"/>
          <w:color w:val="auto"/>
        </w:rPr>
      </w:pPr>
    </w:p>
    <w:p>
      <w:pPr>
        <w:ind w:left="1300" w:right="20" w:hanging="651"/>
        <w:spacing w:after="0" w:line="250"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Immediately, after giving effect to this Amendment, no Default or Event of Default shall have occurred and be continuing.</w:t>
      </w:r>
    </w:p>
    <w:p>
      <w:pPr>
        <w:spacing w:after="0" w:line="174" w:lineRule="exact"/>
        <w:rPr>
          <w:rFonts w:ascii="Arial" w:cs="Arial" w:eastAsia="Arial" w:hAnsi="Arial"/>
          <w:sz w:val="22"/>
          <w:szCs w:val="22"/>
          <w:color w:val="auto"/>
        </w:rPr>
      </w:pPr>
    </w:p>
    <w:p>
      <w:pPr>
        <w:jc w:val="both"/>
        <w:ind w:left="1300" w:right="20" w:hanging="651"/>
        <w:spacing w:after="0" w:line="275" w:lineRule="auto"/>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Immediately after giving effect to this Amendment, the representations and warranties set forth in this Amendment, the Credit Agreement and the other Loan Documents, as amended by this Amendment,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57" w:lineRule="exact"/>
        <w:rPr>
          <w:rFonts w:ascii="Arial" w:cs="Arial" w:eastAsia="Arial" w:hAnsi="Arial"/>
          <w:sz w:val="19"/>
          <w:szCs w:val="19"/>
          <w:color w:val="auto"/>
        </w:rPr>
      </w:pPr>
    </w:p>
    <w:p>
      <w:pPr>
        <w:jc w:val="both"/>
        <w:ind w:left="1300" w:hanging="651"/>
        <w:spacing w:after="0" w:line="249" w:lineRule="auto"/>
        <w:tabs>
          <w:tab w:leader="none" w:pos="13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Lenders and the Administrative Agent shall have received all fees required to be paid (including for the avoidance of doubt the fees specified in the First Amendment Fee Letter), and all expenses for which invoices have been presented (including the reasonable fees and expenses of legal counsel required to be paid hereunder or under any other Loan Document), on or before the First Amendment Effective Date.</w:t>
      </w:r>
    </w:p>
    <w:p>
      <w:pPr>
        <w:spacing w:after="0" w:line="178" w:lineRule="exact"/>
        <w:rPr>
          <w:sz w:val="20"/>
          <w:szCs w:val="20"/>
          <w:color w:val="auto"/>
        </w:rPr>
      </w:pPr>
    </w:p>
    <w:p>
      <w:pPr>
        <w:ind w:firstLine="649"/>
        <w:spacing w:after="0" w:line="250" w:lineRule="auto"/>
        <w:tabs>
          <w:tab w:leader="none" w:pos="129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Loan Party hereby represents and warrants to the Administrative Agent and the Lenders as follows:</w:t>
      </w:r>
    </w:p>
    <w:p>
      <w:pPr>
        <w:spacing w:after="0" w:line="175" w:lineRule="exact"/>
        <w:rPr>
          <w:sz w:val="20"/>
          <w:szCs w:val="20"/>
          <w:color w:val="auto"/>
        </w:rPr>
      </w:pPr>
    </w:p>
    <w:p>
      <w:pPr>
        <w:jc w:val="both"/>
        <w:ind w:left="1300" w:right="20" w:hanging="651"/>
        <w:spacing w:after="0" w:line="248" w:lineRule="auto"/>
        <w:tabs>
          <w:tab w:leader="none" w:pos="13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76" w:lineRule="exact"/>
        <w:rPr>
          <w:rFonts w:ascii="Arial" w:cs="Arial" w:eastAsia="Arial" w:hAnsi="Arial"/>
          <w:sz w:val="21"/>
          <w:szCs w:val="21"/>
          <w:color w:val="auto"/>
        </w:rPr>
      </w:pPr>
    </w:p>
    <w:p>
      <w:pPr>
        <w:jc w:val="both"/>
        <w:ind w:left="1300" w:right="20" w:hanging="651"/>
        <w:spacing w:after="0" w:line="275" w:lineRule="auto"/>
        <w:tabs>
          <w:tab w:leader="none" w:pos="1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Immediately after giving effect to this Amendment, the representations and warranties set forth in this Amendment, the Credit Agreement and the other Loan Documents, as amended by this Amendment,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349885</wp:posOffset>
            </wp:positionV>
            <wp:extent cx="595757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120" w:top="118" w:right="1399" w:bottom="1440" w:gutter="0" w:footer="0" w:header="0"/>
        </w:sectPr>
      </w:pPr>
    </w:p>
    <w:bookmarkStart w:id="40" w:name="page41"/>
    <w:bookmarkEnd w:id="40"/>
    <w:p>
      <w:pPr>
        <w:jc w:val="both"/>
        <w:ind w:firstLine="649"/>
        <w:spacing w:after="0" w:line="277"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Payment of Costs and Fees</w:t>
      </w:r>
      <w:r>
        <w:rPr>
          <w:rFonts w:ascii="Arial" w:cs="Arial" w:eastAsia="Arial" w:hAnsi="Arial"/>
          <w:sz w:val="19"/>
          <w:szCs w:val="19"/>
          <w:color w:val="auto"/>
        </w:rPr>
        <w:t>. The Borrower shall pay to the Administrative Agent for the benefit of the Administrative Agent, all reasonable costs, out-of-pocket expenses, and fees and charges of every kind in connection with the preparation, negotiation, execution and delivery of this Amendment and any documents and instruments relating hereto (which costs include, without limitation, the reasonable fees and expenses of any attorneys retained by the Administrative Agent) to the extent provided in Section 10.5 of the Credit Agreement. All fees payable hereunder will be paid in immediately available funds and shall not be subject to reduction by way of setoff or counterclaim.</w:t>
      </w:r>
    </w:p>
    <w:p>
      <w:pPr>
        <w:spacing w:after="0" w:line="152" w:lineRule="exact"/>
        <w:rPr>
          <w:rFonts w:ascii="Arial" w:cs="Arial" w:eastAsia="Arial" w:hAnsi="Arial"/>
          <w:sz w:val="19"/>
          <w:szCs w:val="19"/>
          <w:color w:val="auto"/>
        </w:rPr>
      </w:pPr>
    </w:p>
    <w:p>
      <w:pPr>
        <w:jc w:val="both"/>
        <w:ind w:firstLine="649"/>
        <w:spacing w:after="0"/>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Amendment and the rights of the parties hereunder, shall be determined under, governed by, and construed in accordance with the laws of the New York. Section 10.14 of the Credit Agreement is hereby incorporated by reference.</w:t>
      </w:r>
    </w:p>
    <w:p>
      <w:pPr>
        <w:spacing w:after="0" w:line="186" w:lineRule="exact"/>
        <w:rPr>
          <w:rFonts w:ascii="Arial" w:cs="Arial" w:eastAsia="Arial" w:hAnsi="Arial"/>
          <w:sz w:val="22"/>
          <w:szCs w:val="22"/>
          <w:color w:val="auto"/>
        </w:rPr>
      </w:pPr>
    </w:p>
    <w:p>
      <w:pPr>
        <w:jc w:val="both"/>
        <w:ind w:firstLine="649"/>
        <w:spacing w:after="0" w:line="249" w:lineRule="auto"/>
        <w:tabs>
          <w:tab w:leader="none" w:pos="129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Counterpart Execution</w:t>
      </w:r>
      <w:r>
        <w:rPr>
          <w:rFonts w:ascii="Arial" w:cs="Arial" w:eastAsia="Arial" w:hAnsi="Arial"/>
          <w:sz w:val="21"/>
          <w:szCs w:val="21"/>
          <w:color w:val="auto"/>
        </w:rPr>
        <w:t>.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178" w:lineRule="exact"/>
        <w:rPr>
          <w:rFonts w:ascii="Arial" w:cs="Arial" w:eastAsia="Arial" w:hAnsi="Arial"/>
          <w:sz w:val="21"/>
          <w:szCs w:val="21"/>
          <w:color w:val="auto"/>
        </w:rPr>
      </w:pPr>
    </w:p>
    <w:p>
      <w:pPr>
        <w:ind w:left="1300" w:hanging="651"/>
        <w:spacing w:after="0"/>
        <w:tabs>
          <w:tab w:leader="none" w:pos="13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Effect on Loan Documents</w:t>
      </w:r>
      <w:r>
        <w:rPr>
          <w:rFonts w:ascii="Arial" w:cs="Arial" w:eastAsia="Arial" w:hAnsi="Arial"/>
          <w:sz w:val="22"/>
          <w:szCs w:val="22"/>
          <w:color w:val="auto"/>
        </w:rPr>
        <w:t>.</w:t>
      </w:r>
    </w:p>
    <w:p>
      <w:pPr>
        <w:spacing w:after="0" w:line="206" w:lineRule="exact"/>
        <w:rPr>
          <w:sz w:val="20"/>
          <w:szCs w:val="20"/>
          <w:color w:val="auto"/>
        </w:rPr>
      </w:pPr>
    </w:p>
    <w:p>
      <w:pPr>
        <w:jc w:val="both"/>
        <w:ind w:left="1300" w:right="20" w:hanging="651"/>
        <w:spacing w:after="0" w:line="272" w:lineRule="auto"/>
        <w:tabs>
          <w:tab w:leader="none" w:pos="13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Credit Agreement, as amended hereby, and each of the other Loan Documents, as amended hereby, shall be and remain in full force and effect in accordance with their respective terms and hereby are ratified and confirmed in all respects. The execution, delivery, and performance of this Amendment shall not operate as a modification or waiver of any right, power, or remedy of the Administrative Agent or any Lender under the Credit Agreement or any other Loan Document except as expressly set forth herein. The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To the extent any terms or provisions of this Amendment conflict with those of the Credit Agreement or other Loan Documents, the terms and provisions of this Amendment shall control.</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300" w:right="20" w:hanging="651"/>
        <w:spacing w:after="0" w:line="236" w:lineRule="auto"/>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87" w:lineRule="exact"/>
        <w:rPr>
          <w:rFonts w:ascii="Arial" w:cs="Arial" w:eastAsia="Arial" w:hAnsi="Arial"/>
          <w:sz w:val="22"/>
          <w:szCs w:val="22"/>
          <w:color w:val="auto"/>
        </w:rPr>
      </w:pPr>
    </w:p>
    <w:p>
      <w:pPr>
        <w:ind w:left="1300" w:hanging="651"/>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This Amendment is a Loan Document.</w:t>
      </w:r>
    </w:p>
    <w:p>
      <w:pPr>
        <w:spacing w:after="0" w:line="206" w:lineRule="exact"/>
        <w:rPr>
          <w:sz w:val="20"/>
          <w:szCs w:val="20"/>
          <w:color w:val="auto"/>
        </w:rPr>
      </w:pPr>
    </w:p>
    <w:p>
      <w:pPr>
        <w:jc w:val="both"/>
        <w:ind w:firstLine="649"/>
        <w:spacing w:after="0" w:line="287" w:lineRule="auto"/>
        <w:tabs>
          <w:tab w:leader="none" w:pos="129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349885</wp:posOffset>
            </wp:positionV>
            <wp:extent cx="59575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80"/>
          </w:cols>
          <w:pgMar w:left="1120" w:top="118" w:right="1399" w:bottom="1440" w:gutter="0" w:footer="0" w:header="0"/>
        </w:sectPr>
      </w:pPr>
    </w:p>
    <w:bookmarkStart w:id="41" w:name="page42"/>
    <w:bookmarkEnd w:id="41"/>
    <w:p>
      <w:pPr>
        <w:jc w:val="both"/>
        <w:ind w:firstLine="649"/>
        <w:spacing w:after="0" w:line="297"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349885</wp:posOffset>
            </wp:positionV>
            <wp:extent cx="595757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120" w:top="118" w:right="1399" w:bottom="1440" w:gutter="0" w:footer="0" w:header="0"/>
        </w:sectPr>
      </w:pPr>
    </w:p>
    <w:bookmarkStart w:id="42" w:name="page43"/>
    <w:bookmarkEnd w:id="42"/>
    <w:p>
      <w:pPr>
        <w:jc w:val="both"/>
        <w:ind w:left="200" w:right="219" w:firstLine="648"/>
        <w:spacing w:after="0" w:line="243"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hereto have caused this Amendment to be duly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delivered by their proper and duly authorized officers as of the day and year first above written.</w:t>
      </w:r>
    </w:p>
    <w:p>
      <w:pPr>
        <w:spacing w:after="0" w:line="177"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BORROWER:</w:t>
      </w:r>
    </w:p>
    <w:p>
      <w:pPr>
        <w:spacing w:after="0" w:line="233"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AXCELIS TECHNOLOGIES, INC.</w:t>
      </w:r>
    </w:p>
    <w:p>
      <w:pPr>
        <w:spacing w:after="0" w:line="200" w:lineRule="exact"/>
        <w:rPr>
          <w:sz w:val="20"/>
          <w:szCs w:val="20"/>
          <w:color w:val="auto"/>
        </w:rPr>
      </w:pPr>
    </w:p>
    <w:p>
      <w:pPr>
        <w:spacing w:after="0" w:line="282"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By: /s/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-17780</wp:posOffset>
            </wp:positionV>
            <wp:extent cx="2029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029460" cy="8890"/>
                    </a:xfrm>
                    <a:prstGeom prst="rect">
                      <a:avLst/>
                    </a:prstGeom>
                    <a:noFill/>
                  </pic:spPr>
                </pic:pic>
              </a:graphicData>
            </a:graphic>
          </wp:anchor>
        </w:drawing>
      </w:r>
    </w:p>
    <w:p>
      <w:pPr>
        <w:ind w:left="4720"/>
        <w:spacing w:after="0" w:line="238" w:lineRule="auto"/>
        <w:rPr>
          <w:sz w:val="20"/>
          <w:szCs w:val="20"/>
          <w:color w:val="auto"/>
        </w:rPr>
      </w:pPr>
      <w:r>
        <w:rPr>
          <w:rFonts w:ascii="Arial" w:cs="Arial" w:eastAsia="Arial" w:hAnsi="Arial"/>
          <w:sz w:val="22"/>
          <w:szCs w:val="22"/>
          <w:color w:val="auto"/>
        </w:rPr>
        <w:t>Name: Mary G. Puma</w:t>
      </w:r>
    </w:p>
    <w:p>
      <w:pPr>
        <w:ind w:left="472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ny-2082196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3" w:name="page44"/>
    <w:bookmarkEnd w:id="43"/>
    <w:p>
      <w:pPr>
        <w:ind w:left="4740"/>
        <w:spacing w:after="0"/>
        <w:rPr>
          <w:sz w:val="20"/>
          <w:szCs w:val="20"/>
          <w:color w:val="auto"/>
        </w:rPr>
      </w:pPr>
      <w:r>
        <w:rPr>
          <w:rFonts w:ascii="Arial" w:cs="Arial" w:eastAsia="Arial" w:hAnsi="Arial"/>
          <w:sz w:val="22"/>
          <w:szCs w:val="22"/>
          <w:b w:val="1"/>
          <w:bCs w:val="1"/>
          <w:color w:val="auto"/>
        </w:rPr>
        <w:t>ADMINISTRATIVE AGENT AND</w:t>
      </w:r>
    </w:p>
    <w:p>
      <w:pPr>
        <w:spacing w:after="0" w:line="15"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LENDER:</w:t>
      </w:r>
    </w:p>
    <w:p>
      <w:pPr>
        <w:spacing w:after="0" w:line="209"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SILICON VALLEY BANK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4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Francis Ceroccia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-17780</wp:posOffset>
            </wp:positionV>
            <wp:extent cx="12261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ind w:left="5400"/>
        <w:spacing w:after="0" w:line="238" w:lineRule="auto"/>
        <w:rPr>
          <w:sz w:val="20"/>
          <w:szCs w:val="20"/>
          <w:color w:val="auto"/>
        </w:rPr>
      </w:pPr>
      <w:r>
        <w:rPr>
          <w:rFonts w:ascii="Arial" w:cs="Arial" w:eastAsia="Arial" w:hAnsi="Arial"/>
          <w:sz w:val="22"/>
          <w:szCs w:val="22"/>
          <w:color w:val="auto"/>
        </w:rPr>
        <w:t>Name: Francis Ceroccia</w:t>
      </w:r>
    </w:p>
    <w:p>
      <w:pPr>
        <w:ind w:left="54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ny-2082196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Mary G. Puma, certify that:</w:t>
      </w:r>
    </w:p>
    <w:p>
      <w:pPr>
        <w:spacing w:after="0" w:line="198" w:lineRule="exact"/>
        <w:rPr>
          <w:sz w:val="20"/>
          <w:szCs w:val="20"/>
          <w:color w:val="auto"/>
        </w:rPr>
      </w:pPr>
    </w:p>
    <w:p>
      <w:pPr>
        <w:ind w:left="540" w:hanging="49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J. Brewer, certify that:</w:t>
      </w:r>
    </w:p>
    <w:p>
      <w:pPr>
        <w:spacing w:after="0" w:line="198" w:lineRule="exact"/>
        <w:rPr>
          <w:sz w:val="20"/>
          <w:szCs w:val="20"/>
          <w:color w:val="auto"/>
        </w:rPr>
      </w:pPr>
    </w:p>
    <w:p>
      <w:pPr>
        <w:ind w:left="540" w:hanging="490"/>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59" w:firstLine="495"/>
        <w:spacing w:after="0" w:line="248"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May 6,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119" w:firstLine="495"/>
        <w:spacing w:after="0" w:line="248"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May 6,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lowerRoman"/>
      <w:start w:val="1"/>
    </w:lvl>
  </w:abstractNum>
  <w:abstractNum w:abstractNumId="5">
    <w:nsid w:val="628C895D"/>
    <w:multiLevelType w:val="hybridMultilevel"/>
    <w:lvl w:ilvl="0">
      <w:lvlJc w:val="left"/>
      <w:lvlText w:val="●"/>
      <w:numFmt w:val="bullet"/>
      <w:start w:val="1"/>
    </w:lvl>
    <w:lvl w:ilvl="1">
      <w:lvlJc w:val="left"/>
      <w:lvlText w:val="%2."/>
      <w:numFmt w:val="upperLetter"/>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01"/>
    </w:lvl>
  </w:abstractNum>
  <w:abstractNum w:abstractNumId="8">
    <w:nsid w:val="2443A858"/>
    <w:multiLevelType w:val="hybridMultilevel"/>
    <w:lvl w:ilvl="0">
      <w:lvlJc w:val="left"/>
      <w:lvlText w:val="%1"/>
      <w:numFmt w:val="decimal"/>
      <w:start w:val="104"/>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Letter"/>
      <w:start w:val="1"/>
    </w:lvl>
    <w:lvl w:ilvl="1">
      <w:lvlJc w:val="left"/>
      <w:lvlText w:val="(%2)"/>
      <w:numFmt w:val="lowerLetter"/>
      <w:start w:val="9"/>
    </w:lvl>
  </w:abstractNum>
  <w:abstractNum w:abstractNumId="11">
    <w:nsid w:val="75A2A8D4"/>
    <w:multiLevelType w:val="hybridMultilevel"/>
    <w:lvl w:ilvl="0">
      <w:lvlJc w:val="left"/>
      <w:lvlText w:val="(%1)"/>
      <w:numFmt w:val="lowerRoman"/>
      <w:start w:val="2"/>
    </w:lvl>
  </w:abstractNum>
  <w:abstractNum w:abstractNumId="12">
    <w:nsid w:val="8EDBDAB"/>
    <w:multiLevelType w:val="hybridMultilevel"/>
    <w:lvl w:ilvl="0">
      <w:lvlJc w:val="left"/>
      <w:lvlText w:val="(%1)"/>
      <w:numFmt w:val="lowerLetter"/>
      <w:start w:val="2"/>
    </w:lvl>
  </w:abstractNum>
  <w:abstractNum w:abstractNumId="13">
    <w:nsid w:val="79838CB2"/>
    <w:multiLevelType w:val="hybridMultilevel"/>
    <w:lvl w:ilvl="0">
      <w:lvlJc w:val="left"/>
      <w:lvlText w:val="(%1)"/>
      <w:numFmt w:val="lowerLetter"/>
      <w:start w:val="35"/>
    </w:lvl>
  </w:abstractNum>
  <w:abstractNum w:abstractNumId="14">
    <w:nsid w:val="4353D0CD"/>
    <w:multiLevelType w:val="hybridMultilevel"/>
    <w:lvl w:ilvl="0">
      <w:lvlJc w:val="left"/>
      <w:lvlText w:val="(%1)"/>
      <w:numFmt w:val="lowerLetter"/>
      <w:start w:val="1"/>
    </w:lvl>
    <w:lvl w:ilvl="1">
      <w:lvlJc w:val="left"/>
      <w:lvlText w:val="(%2)"/>
      <w:numFmt w:val="lowerRoman"/>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2"/>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lowerRoman"/>
      <w:start w:val="1"/>
    </w:lvl>
    <w:lvl w:ilvl="1">
      <w:lvlJc w:val="left"/>
      <w:lvlText w:val="(%2)"/>
      <w:numFmt w:val="upperLetter"/>
      <w:start w:val="1"/>
    </w:lvl>
  </w:abstractNum>
  <w:abstractNum w:abstractNumId="21">
    <w:nsid w:val="2901D82"/>
    <w:multiLevelType w:val="hybridMultilevel"/>
    <w:lvl w:ilvl="0">
      <w:lvlJc w:val="left"/>
      <w:lvlText w:val="(%1)"/>
      <w:numFmt w:val="lowerRoman"/>
      <w:start w:val="2"/>
    </w:lvl>
    <w:lvl w:ilvl="1">
      <w:lvlJc w:val="left"/>
      <w:lvlText w:val="%2"/>
      <w:numFmt w:val="upperLetter"/>
      <w:start w:val="1"/>
    </w:lvl>
  </w:abstractNum>
  <w:abstractNum w:abstractNumId="22">
    <w:nsid w:val="3A95F874"/>
    <w:multiLevelType w:val="hybridMultilevel"/>
    <w:lvl w:ilvl="0">
      <w:lvlJc w:val="left"/>
      <w:lvlText w:val="(%1)"/>
      <w:numFmt w:val="lowerRoman"/>
      <w:start w:val="3"/>
    </w:lvl>
  </w:abstractNum>
  <w:abstractNum w:abstractNumId="23">
    <w:nsid w:val="8138641"/>
    <w:multiLevelType w:val="hybridMultilevel"/>
    <w:lvl w:ilvl="0">
      <w:lvlJc w:val="left"/>
      <w:lvlText w:val="(%1)"/>
      <w:numFmt w:val="lowerLetter"/>
      <w:start w:val="3"/>
    </w:lvl>
  </w:abstractNum>
  <w:abstractNum w:abstractNumId="24">
    <w:nsid w:val="1E7FF521"/>
    <w:multiLevelType w:val="hybridMultilevel"/>
    <w:lvl w:ilvl="0">
      <w:lvlJc w:val="left"/>
      <w:lvlText w:val="(%1)"/>
      <w:numFmt w:val="lowerLetter"/>
      <w:start w:val="4"/>
    </w:lvl>
  </w:abstractNum>
  <w:abstractNum w:abstractNumId="25">
    <w:nsid w:val="7C3DBD3D"/>
    <w:multiLevelType w:val="hybridMultilevel"/>
    <w:lvl w:ilvl="0">
      <w:lvlJc w:val="left"/>
      <w:lvlText w:val="(%1)"/>
      <w:numFmt w:val="lowerLetter"/>
      <w:start w:val="6"/>
    </w:lvl>
  </w:abstractNum>
  <w:abstractNum w:abstractNumId="26">
    <w:nsid w:val="737B8DDC"/>
    <w:multiLevelType w:val="hybridMultilevel"/>
    <w:lvl w:ilvl="0">
      <w:lvlJc w:val="left"/>
      <w:lvlText w:val="%1."/>
      <w:numFmt w:val="decimal"/>
      <w:start w:val="3"/>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4"/>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5"/>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9"/>
    </w:lvl>
  </w:abstractNum>
  <w:abstractNum w:abstractNumId="33">
    <w:nsid w:val="5577F8E1"/>
    <w:multiLevelType w:val="hybridMultilevel"/>
    <w:lvl w:ilvl="0">
      <w:lvlJc w:val="left"/>
      <w:lvlText w:val="%1."/>
      <w:numFmt w:val="decimal"/>
      <w:start w:val="10"/>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29" Type="http://schemas.openxmlformats.org/officeDocument/2006/relationships/hyperlink" Target="https://www.sec.gov/ix?doc=/Archives/edgar/data/1113232/000155837021001972/acls-20201231x10k.htm" TargetMode="External"/><Relationship Id="rId44" Type="http://schemas.openxmlformats.org/officeDocument/2006/relationships/hyperlink" Target="http://www.sec.gov/Archives/edgar/data/1113232/000155837017008078/acls-20170930ex31a83feb6.htm" TargetMode="External"/><Relationship Id="rId45"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2021-05-06T09:48:41Z</dcterms:created>
  <dcterms:modified xsi:type="dcterms:W3CDTF">2021-05-06T09:48:41Z</dcterms:modified>
</cp:coreProperties>
</file>