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403225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1360" w:hanging="752"/>
        <w:spacing w:after="0"/>
        <w:tabs>
          <w:tab w:leader="none" w:pos="1360" w:val="left"/>
        </w:tabs>
        <w:numPr>
          <w:ilvl w:val="0"/>
          <w:numId w:val="1"/>
        </w:numPr>
        <w:rPr>
          <w:rFonts w:ascii="Arial" w:cs="Arial" w:eastAsia="Arial" w:hAnsi="Arial"/>
          <w:sz w:val="14"/>
          <w:szCs w:val="14"/>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88" w:lineRule="exact"/>
        <w:rPr>
          <w:sz w:val="24"/>
          <w:szCs w:val="24"/>
          <w:color w:val="auto"/>
        </w:rPr>
      </w:pPr>
    </w:p>
    <w:p>
      <w:pPr>
        <w:ind w:left="1360" w:hanging="738"/>
        <w:spacing w:after="0"/>
        <w:tabs>
          <w:tab w:leader="none" w:pos="1360" w:val="left"/>
        </w:tabs>
        <w:numPr>
          <w:ilvl w:val="0"/>
          <w:numId w:val="2"/>
        </w:numPr>
        <w:rPr>
          <w:rFonts w:ascii="MS PGothic" w:cs="MS PGothic" w:eastAsia="MS PGothic" w:hAnsi="MS PGothic"/>
          <w:sz w:val="25"/>
          <w:szCs w:val="25"/>
          <w:color w:val="auto"/>
          <w:highlight w:val="black"/>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8"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50"/>
        </w:trPr>
        <w:tc>
          <w:tcPr>
            <w:tcW w:w="2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0" w:type="dxa"/>
            <w:vAlign w:val="bottom"/>
            <w:gridSpan w:val="3"/>
          </w:tcPr>
          <w:p>
            <w:pPr>
              <w:jc w:val="center"/>
              <w:ind w:right="3199"/>
              <w:spacing w:after="0"/>
              <w:rPr>
                <w:sz w:val="20"/>
                <w:szCs w:val="20"/>
                <w:color w:val="auto"/>
              </w:rPr>
            </w:pPr>
            <w:r>
              <w:rPr>
                <w:rFonts w:ascii="Times New Roman" w:cs="Times New Roman" w:eastAsia="Times New Roman" w:hAnsi="Times New Roman"/>
                <w:sz w:val="16"/>
                <w:szCs w:val="16"/>
                <w:b w:val="1"/>
                <w:bCs w:val="1"/>
                <w:color w:val="auto"/>
              </w:rPr>
              <w:t>Commission file number 000-30941</w:t>
            </w:r>
          </w:p>
        </w:tc>
      </w:tr>
      <w:tr>
        <w:trPr>
          <w:trHeight w:val="397"/>
        </w:trPr>
        <w:tc>
          <w:tcPr>
            <w:tcW w:w="2680" w:type="dxa"/>
            <w:vAlign w:val="bottom"/>
          </w:tcPr>
          <w:p>
            <w:pPr>
              <w:spacing w:after="0"/>
              <w:rPr>
                <w:sz w:val="24"/>
                <w:szCs w:val="24"/>
                <w:color w:val="auto"/>
              </w:rPr>
            </w:pPr>
          </w:p>
        </w:tc>
        <w:tc>
          <w:tcPr>
            <w:tcW w:w="7560" w:type="dxa"/>
            <w:vAlign w:val="bottom"/>
            <w:gridSpan w:val="4"/>
          </w:tcPr>
          <w:p>
            <w:pPr>
              <w:jc w:val="center"/>
              <w:ind w:right="2639"/>
              <w:spacing w:after="0"/>
              <w:rPr>
                <w:sz w:val="20"/>
                <w:szCs w:val="20"/>
                <w:color w:val="auto"/>
              </w:rPr>
            </w:pPr>
            <w:r>
              <w:rPr>
                <w:rFonts w:ascii="Times New Roman" w:cs="Times New Roman" w:eastAsia="Times New Roman" w:hAnsi="Times New Roman"/>
                <w:sz w:val="29"/>
                <w:szCs w:val="29"/>
                <w:b w:val="1"/>
                <w:bCs w:val="1"/>
                <w:color w:val="auto"/>
                <w:w w:val="99"/>
              </w:rPr>
              <w:t>AXCELIS TECHNOLOGIES, INC.</w:t>
            </w: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0" w:type="dxa"/>
            <w:vAlign w:val="bottom"/>
            <w:gridSpan w:val="3"/>
          </w:tcPr>
          <w:p>
            <w:pPr>
              <w:jc w:val="center"/>
              <w:ind w:right="31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67"/>
        </w:trPr>
        <w:tc>
          <w:tcPr>
            <w:tcW w:w="2680" w:type="dxa"/>
            <w:vAlign w:val="bottom"/>
          </w:tcPr>
          <w:p>
            <w:pPr>
              <w:spacing w:after="0"/>
              <w:rPr>
                <w:sz w:val="23"/>
                <w:szCs w:val="23"/>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40" w:type="dxa"/>
            <w:vAlign w:val="bottom"/>
            <w:gridSpan w:val="2"/>
          </w:tcPr>
          <w:p>
            <w:pPr>
              <w:jc w:val="right"/>
              <w:ind w:right="2579"/>
              <w:spacing w:after="0"/>
              <w:rPr>
                <w:sz w:val="20"/>
                <w:szCs w:val="20"/>
                <w:color w:val="auto"/>
              </w:rPr>
            </w:pPr>
            <w:r>
              <w:rPr>
                <w:rFonts w:ascii="Times New Roman" w:cs="Times New Roman" w:eastAsia="Times New Roman" w:hAnsi="Times New Roman"/>
                <w:sz w:val="18"/>
                <w:szCs w:val="18"/>
                <w:b w:val="1"/>
                <w:bCs w:val="1"/>
                <w:color w:val="auto"/>
              </w:rPr>
              <w:t>34-1818596</w:t>
            </w:r>
          </w:p>
        </w:tc>
      </w:tr>
      <w:tr>
        <w:trPr>
          <w:trHeight w:val="148"/>
        </w:trPr>
        <w:tc>
          <w:tcPr>
            <w:tcW w:w="6000" w:type="dxa"/>
            <w:vAlign w:val="bottom"/>
            <w:gridSpan w:val="3"/>
          </w:tcPr>
          <w:p>
            <w:pPr>
              <w:jc w:val="center"/>
              <w:ind w:left="222"/>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4240" w:type="dxa"/>
            <w:vAlign w:val="bottom"/>
            <w:gridSpan w:val="2"/>
          </w:tcPr>
          <w:p>
            <w:pPr>
              <w:jc w:val="center"/>
              <w:ind w:right="1859"/>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6000" w:type="dxa"/>
            <w:vAlign w:val="bottom"/>
            <w:gridSpan w:val="3"/>
          </w:tcPr>
          <w:p>
            <w:pPr>
              <w:jc w:val="center"/>
              <w:ind w:left="222"/>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82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278"/>
        </w:trPr>
        <w:tc>
          <w:tcPr>
            <w:tcW w:w="2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108 Cherry Hill Drive</w:t>
            </w:r>
          </w:p>
        </w:tc>
        <w:tc>
          <w:tcPr>
            <w:tcW w:w="8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4"/>
        </w:trPr>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0" w:type="dxa"/>
            <w:vAlign w:val="bottom"/>
            <w:gridSpan w:val="3"/>
          </w:tcPr>
          <w:p>
            <w:pPr>
              <w:jc w:val="center"/>
              <w:ind w:right="3179"/>
              <w:spacing w:after="0"/>
              <w:rPr>
                <w:sz w:val="20"/>
                <w:szCs w:val="20"/>
                <w:color w:val="auto"/>
              </w:rPr>
            </w:pPr>
            <w:r>
              <w:rPr>
                <w:rFonts w:ascii="Times New Roman" w:cs="Times New Roman" w:eastAsia="Times New Roman" w:hAnsi="Times New Roman"/>
                <w:sz w:val="16"/>
                <w:szCs w:val="16"/>
                <w:b w:val="1"/>
                <w:bCs w:val="1"/>
                <w:color w:val="auto"/>
              </w:rPr>
              <w:t>Beverly, Massachusetts 01915</w:t>
            </w: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0" w:type="dxa"/>
            <w:vAlign w:val="bottom"/>
            <w:gridSpan w:val="3"/>
          </w:tcPr>
          <w:p>
            <w:pPr>
              <w:jc w:val="center"/>
              <w:ind w:right="317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262"/>
        </w:trPr>
        <w:tc>
          <w:tcPr>
            <w:tcW w:w="2680" w:type="dxa"/>
            <w:vAlign w:val="bottom"/>
          </w:tcPr>
          <w:p>
            <w:pPr>
              <w:spacing w:after="0"/>
              <w:rPr>
                <w:sz w:val="22"/>
                <w:szCs w:val="22"/>
                <w:color w:val="auto"/>
              </w:rPr>
            </w:pPr>
          </w:p>
        </w:tc>
        <w:tc>
          <w:tcPr>
            <w:tcW w:w="3320" w:type="dxa"/>
            <w:vAlign w:val="bottom"/>
            <w:gridSpan w:val="2"/>
          </w:tcPr>
          <w:p>
            <w:pPr>
              <w:jc w:val="center"/>
              <w:ind w:left="1445"/>
              <w:spacing w:after="0"/>
              <w:rPr>
                <w:sz w:val="20"/>
                <w:szCs w:val="20"/>
                <w:color w:val="auto"/>
              </w:rPr>
            </w:pPr>
            <w:r>
              <w:rPr>
                <w:rFonts w:ascii="Times New Roman" w:cs="Times New Roman" w:eastAsia="Times New Roman" w:hAnsi="Times New Roman"/>
                <w:sz w:val="16"/>
                <w:szCs w:val="16"/>
                <w:b w:val="1"/>
                <w:bCs w:val="1"/>
                <w:color w:val="auto"/>
              </w:rPr>
              <w:t>(978) 787-4000</w:t>
            </w:r>
          </w:p>
        </w:tc>
        <w:tc>
          <w:tcPr>
            <w:tcW w:w="82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0" w:type="dxa"/>
            <w:vAlign w:val="bottom"/>
            <w:gridSpan w:val="3"/>
          </w:tcPr>
          <w:p>
            <w:pPr>
              <w:jc w:val="center"/>
              <w:ind w:right="319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70"/>
        </w:trPr>
        <w:tc>
          <w:tcPr>
            <w:tcW w:w="2680" w:type="dxa"/>
            <w:vAlign w:val="bottom"/>
          </w:tcPr>
          <w:p>
            <w:pPr>
              <w:spacing w:after="0"/>
              <w:rPr>
                <w:sz w:val="23"/>
                <w:szCs w:val="23"/>
                <w:color w:val="auto"/>
              </w:rPr>
            </w:pPr>
          </w:p>
        </w:tc>
        <w:tc>
          <w:tcPr>
            <w:tcW w:w="7560" w:type="dxa"/>
            <w:vAlign w:val="bottom"/>
            <w:gridSpan w:val="4"/>
          </w:tcPr>
          <w:p>
            <w:pPr>
              <w:jc w:val="center"/>
              <w:ind w:right="26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14"/>
        </w:trPr>
        <w:tc>
          <w:tcPr>
            <w:tcW w:w="26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r>
      <w:tr>
        <w:trPr>
          <w:trHeight w:val="196"/>
        </w:trPr>
        <w:tc>
          <w:tcPr>
            <w:tcW w:w="2680" w:type="dxa"/>
            <w:vAlign w:val="bottom"/>
            <w:tcBorders>
              <w:left w:val="single" w:sz="8" w:color="auto"/>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rPr>
              <w:t>Title of each class</w:t>
            </w:r>
          </w:p>
        </w:tc>
        <w:tc>
          <w:tcPr>
            <w:tcW w:w="56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rPr>
              <w:t>Trading symbol</w:t>
            </w:r>
          </w:p>
        </w:tc>
        <w:tc>
          <w:tcPr>
            <w:tcW w:w="820" w:type="dxa"/>
            <w:vAlign w:val="bottom"/>
            <w:tcBorders>
              <w:bottom w:val="single" w:sz="8" w:color="auto"/>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6"/>
        </w:trPr>
        <w:tc>
          <w:tcPr>
            <w:tcW w:w="2680" w:type="dxa"/>
            <w:vAlign w:val="bottom"/>
            <w:tcBorders>
              <w:left w:val="single" w:sz="8" w:color="auto"/>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56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rPr>
              <w:t>ACLS</w:t>
            </w:r>
          </w:p>
        </w:tc>
        <w:tc>
          <w:tcPr>
            <w:tcW w:w="820" w:type="dxa"/>
            <w:vAlign w:val="bottom"/>
            <w:tcBorders>
              <w:bottom w:val="single" w:sz="8" w:color="auto"/>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88"/>
        </w:trPr>
        <w:tc>
          <w:tcPr>
            <w:tcW w:w="2680" w:type="dxa"/>
            <w:vAlign w:val="bottom"/>
          </w:tcPr>
          <w:p>
            <w:pPr>
              <w:spacing w:after="0"/>
              <w:rPr>
                <w:sz w:val="24"/>
                <w:szCs w:val="24"/>
                <w:color w:val="auto"/>
              </w:rPr>
            </w:pPr>
          </w:p>
        </w:tc>
        <w:tc>
          <w:tcPr>
            <w:tcW w:w="7560" w:type="dxa"/>
            <w:vAlign w:val="bottom"/>
            <w:gridSpan w:val="4"/>
          </w:tcPr>
          <w:p>
            <w:pPr>
              <w:jc w:val="center"/>
              <w:ind w:right="26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r>
      <w:tr>
        <w:trPr>
          <w:trHeight w:val="212"/>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None</w:t>
            </w:r>
          </w:p>
        </w:tc>
        <w:tc>
          <w:tcPr>
            <w:tcW w:w="8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94"/>
        </w:trPr>
        <w:tc>
          <w:tcPr>
            <w:tcW w:w="10240" w:type="dxa"/>
            <w:vAlign w:val="bottom"/>
            <w:gridSpan w:val="5"/>
          </w:tcPr>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tc>
      </w:tr>
      <w:tr>
        <w:trPr>
          <w:trHeight w:val="272"/>
        </w:trPr>
        <w:tc>
          <w:tcPr>
            <w:tcW w:w="10240" w:type="dxa"/>
            <w:vAlign w:val="bottom"/>
            <w:gridSpan w:val="5"/>
          </w:tcPr>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tc>
      </w:tr>
    </w:tbl>
    <w:p>
      <w:pPr>
        <w:spacing w:after="0" w:line="34" w:lineRule="exact"/>
        <w:rPr>
          <w:sz w:val="24"/>
          <w:szCs w:val="24"/>
          <w:color w:val="auto"/>
        </w:rPr>
      </w:pPr>
    </w:p>
    <w:p>
      <w:pPr>
        <w:ind w:right="40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5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p>
      <w:pPr>
        <w:spacing w:after="0" w:line="188" w:lineRule="exact"/>
        <w:tabs>
          <w:tab w:leader="none" w:pos="1940" w:val="left"/>
          <w:tab w:leader="none" w:pos="4020" w:val="left"/>
          <w:tab w:leader="none" w:pos="6220" w:val="left"/>
          <w:tab w:leader="none" w:pos="84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3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6"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Aggregate market value of the voting stock held by non-affiliates of the registrant as of June 30, 2025: $2,179,725,003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outstanding of the registrant’s Common Stock, $0.001 par value, as of February 23, 2026: 30,718,815</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4"/>
          <w:szCs w:val="24"/>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Portions of the definitive Proxy Statement for Axcelis Technologies, Inc.’s Annual Meeting of Stockholders to be held on May 5, 2026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455930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78740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61595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Axcelis Technologies, Inc. (“Axcelis,” the “Company,” “we,” “us,” or “our”) designs, manufactures and services ion implantation and other processing equipment used in the fabrication of semiconductor chips. We believe that our Purion family of products offers the most innovative implanters available on the market today. We sell to leading semiconductor chip manufacturers worldwide. The ion implantation business represented 98.2% of our revenue in 2025, with the remaining 1.8% of revenue derived from aftermarket sales associated with other legacy processing systems. In addition to equipment, we provide extensive aftermarket lifecycle products and services, including used tools, spare parts, equipment upgrades, maintenance services and customer training.</w:t>
      </w:r>
    </w:p>
    <w:p>
      <w:pPr>
        <w:spacing w:after="0" w:line="189"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Axcelis’ business commenced in 1978 and its current corporate entity was incorporated in Delaware in 1995. We are headquartered in Beverly, Massachusetts and maintain an internet site at www.axcelis.com. On or through our website, investors may access, free of charge,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U.S. Securities and Exchange Commission (“SEC”). Our website and the information contained therein or connected thereto shall not be deemed to be incorporated into this Annual Report on Form 10-K.</w:t>
      </w:r>
    </w:p>
    <w:p>
      <w:pPr>
        <w:spacing w:after="0" w:line="189" w:lineRule="exact"/>
        <w:rPr>
          <w:sz w:val="20"/>
          <w:szCs w:val="20"/>
          <w:color w:val="auto"/>
        </w:rPr>
      </w:pPr>
    </w:p>
    <w:p>
      <w:pPr>
        <w:ind w:right="99" w:firstLine="405"/>
        <w:spacing w:after="0" w:line="261" w:lineRule="auto"/>
        <w:rPr>
          <w:sz w:val="20"/>
          <w:szCs w:val="20"/>
          <w:color w:val="auto"/>
        </w:rPr>
      </w:pPr>
      <w:r>
        <w:rPr>
          <w:rFonts w:ascii="Times New Roman" w:cs="Times New Roman" w:eastAsia="Times New Roman" w:hAnsi="Times New Roman"/>
          <w:sz w:val="18"/>
          <w:szCs w:val="18"/>
          <w:color w:val="auto"/>
        </w:rPr>
        <w:t>Revenue for 2025 was $839.0 million, compared to $1,017.9 million in 2024. Systems revenue for 2025 was $571.0 million, compared to $782.6 million in 2024. Gross margin percent for 2025 was 44.9% compared to 44.7% in 2024. Operating profit for 2025 was $119.3 million, compared to $210.8 million in 2024. Net income for 2025 was $120.2 million, compared to $201.0 million in 2024.</w:t>
      </w:r>
    </w:p>
    <w:p>
      <w:pPr>
        <w:spacing w:after="0" w:line="180" w:lineRule="exact"/>
        <w:rPr>
          <w:sz w:val="20"/>
          <w:szCs w:val="20"/>
          <w:color w:val="auto"/>
        </w:rPr>
      </w:pPr>
    </w:p>
    <w:p>
      <w:pPr>
        <w:jc w:val="both"/>
        <w:ind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is in a strong competitive position. A focused strategy on ion implant, combined with the hard work and dedication of our employees and the support of our customers and suppliers, enabled us to achieve critical milestones in our drive to market leadership. Important accomplishments in 2025 included:</w:t>
      </w:r>
    </w:p>
    <w:p>
      <w:pPr>
        <w:spacing w:after="0" w:line="176" w:lineRule="exact"/>
        <w:rPr>
          <w:sz w:val="20"/>
          <w:szCs w:val="20"/>
          <w:color w:val="auto"/>
        </w:rPr>
      </w:pPr>
    </w:p>
    <w:p>
      <w:pPr>
        <w:ind w:left="680" w:hanging="32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revenue of $839.0 million in 2025 and earnings per share of $3.80.</w:t>
      </w:r>
    </w:p>
    <w:p>
      <w:pPr>
        <w:spacing w:after="0" w:line="36" w:lineRule="exact"/>
        <w:rPr>
          <w:rFonts w:ascii="Times New Roman" w:cs="Times New Roman" w:eastAsia="Times New Roman" w:hAnsi="Times New Roman"/>
          <w:sz w:val="18"/>
          <w:szCs w:val="18"/>
          <w:color w:val="auto"/>
        </w:rPr>
      </w:pPr>
    </w:p>
    <w:p>
      <w:pPr>
        <w:ind w:left="680" w:right="419" w:hanging="324"/>
        <w:spacing w:after="0" w:line="273"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remained a technology leader and supplier of choice in the implant-intensive power device segment, which accounted for 55% of the value of our 2025 system shipments.</w:t>
      </w:r>
    </w:p>
    <w:p>
      <w:pPr>
        <w:spacing w:after="0" w:line="1" w:lineRule="exact"/>
        <w:rPr>
          <w:rFonts w:ascii="Times New Roman" w:cs="Times New Roman" w:eastAsia="Times New Roman" w:hAnsi="Times New Roman"/>
          <w:sz w:val="18"/>
          <w:szCs w:val="18"/>
          <w:color w:val="auto"/>
        </w:rPr>
      </w:pPr>
    </w:p>
    <w:p>
      <w:pPr>
        <w:ind w:left="680" w:right="399" w:hanging="324"/>
        <w:spacing w:after="0" w:line="273"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working to expand our footprint with existing and new customers and currently have four Purion evaluation systems in the field at strategic customer sites in key market segments.</w:t>
      </w:r>
    </w:p>
    <w:p>
      <w:pPr>
        <w:spacing w:after="0" w:line="1" w:lineRule="exact"/>
        <w:rPr>
          <w:rFonts w:ascii="Times New Roman" w:cs="Times New Roman" w:eastAsia="Times New Roman" w:hAnsi="Times New Roman"/>
          <w:sz w:val="18"/>
          <w:szCs w:val="18"/>
          <w:color w:val="auto"/>
        </w:rPr>
      </w:pPr>
    </w:p>
    <w:p>
      <w:pPr>
        <w:ind w:left="680" w:right="79" w:hanging="324"/>
        <w:spacing w:after="0" w:line="26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investment in our Customer Solutions &amp; Innovation (“CS&amp;I”) aftermarket business to drive financial growth and increased customer satisfaction levels, including the “Digital Tool Box,” an innovative service offering with online training, remote diagnosis and install, and automated troubleshooting guide.</w:t>
      </w:r>
    </w:p>
    <w:p>
      <w:pPr>
        <w:spacing w:after="0" w:line="2" w:lineRule="exact"/>
        <w:rPr>
          <w:rFonts w:ascii="Times New Roman" w:cs="Times New Roman" w:eastAsia="Times New Roman" w:hAnsi="Times New Roman"/>
          <w:sz w:val="18"/>
          <w:szCs w:val="18"/>
          <w:color w:val="auto"/>
        </w:rPr>
      </w:pPr>
    </w:p>
    <w:p>
      <w:pPr>
        <w:ind w:left="680" w:right="279" w:hanging="324"/>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16 customer satisfaction awards in 2025. In addition, Axcelis was named to the 2024 editions of Forbes’ List of America’s Best Mid-Cap Companies and to Fortune Magazine’s 2024 lists of the Top 100 Fastest Growing Companies.</w:t>
      </w:r>
    </w:p>
    <w:p>
      <w:pPr>
        <w:spacing w:after="0" w:line="216" w:lineRule="exact"/>
        <w:rPr>
          <w:sz w:val="20"/>
          <w:szCs w:val="20"/>
          <w:color w:val="auto"/>
        </w:rPr>
      </w:pPr>
    </w:p>
    <w:p>
      <w:pPr>
        <w:ind w:right="299" w:firstLine="648"/>
        <w:spacing w:after="0" w:line="261" w:lineRule="auto"/>
        <w:rPr>
          <w:sz w:val="20"/>
          <w:szCs w:val="20"/>
          <w:color w:val="auto"/>
        </w:rPr>
      </w:pPr>
      <w:r>
        <w:rPr>
          <w:rFonts w:ascii="Times New Roman" w:cs="Times New Roman" w:eastAsia="Times New Roman" w:hAnsi="Times New Roman"/>
          <w:sz w:val="18"/>
          <w:szCs w:val="18"/>
          <w:color w:val="auto"/>
        </w:rPr>
        <w:t>We continue to work diligently to ensure that manufacturing and operating expense levels remain well aligned to business conditions. We believe that the most fundamental interest of our stockholders is consistent, profitable financial performance, which we expect to continue to deliver in 2026. Our performance is subject to the risks and uncertainties discussed below under Item 1A,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jc w:val="both"/>
        <w:ind w:right="139" w:firstLine="648"/>
        <w:spacing w:after="0" w:line="266" w:lineRule="auto"/>
        <w:rPr>
          <w:sz w:val="20"/>
          <w:szCs w:val="20"/>
          <w:color w:val="auto"/>
        </w:rPr>
      </w:pPr>
      <w:r>
        <w:rPr>
          <w:rFonts w:ascii="Times New Roman" w:cs="Times New Roman" w:eastAsia="Times New Roman" w:hAnsi="Times New Roman"/>
          <w:sz w:val="18"/>
          <w:szCs w:val="18"/>
          <w:color w:val="auto"/>
        </w:rPr>
        <w:t>Semiconductor chips, also known as integrated circuits, are used in a continuously evolving range of consumer and industrial products, including for example, personal computers, mobile devices, automobiles, sensors and controllers for the “internet of things” and data storage servers. Types of semiconductor chips include dynamic random-access memory</w:t>
      </w:r>
    </w:p>
    <w:p>
      <w:pPr>
        <w:sectPr>
          <w:pgSz w:w="11900" w:h="16838" w:orient="portrait"/>
          <w:cols w:equalWidth="0" w:num="1">
            <w:col w:w="9079"/>
          </w:cols>
          <w:pgMar w:left="1380" w:top="513" w:right="1440" w:bottom="1440" w:gutter="0" w:footer="0" w:header="0"/>
        </w:sect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(“DRAM”) and “Not AND” (“NAND”) Flash memory; logic devices to process information; and “system on chip” devices (which have both logic and memory features). The demand for chips continues to increase, as a result of the electrification of vehicles, the evolution of digital communications (including the introduction of 5G mobile networks), artificial intelligence, large language models (e.g. ChatGPT), data analytics and visualization, and the growth in the Internet of Things, and the increasing complexity of device features. These chips are used in power management, data input, such as image sensors, which are often manufactured using mature processing technologies, as well as for memory to support the storage of data, internet streaming and “cloud computing” data analytics.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Most semiconductor chips are built on silicon or silicon carbide (“SiC”) wafers of 150mm (6 inches), 200mm (8 inches) or 300mm (12 inches) in diameter. Each semiconductor chip is made up of millions of tiny transistors or “switches” to control the functions of the device. Transistors are created in the wafer by introducing various precisely placed dopants into the silicon or SiC in specific patterns.</w:t>
      </w:r>
    </w:p>
    <w:p>
      <w:pPr>
        <w:spacing w:after="0" w:line="180"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Semiconductor chip manufacturers own or manage wafer fabrication facilities (often referred to as “fabs”), which utilize many different types of equipment in the making of integrated circuits. Over 300 process steps utilizing over 50 different types of process tools are required to make a single device like a microprocessor. Semiconductor chip manufacturers seek device performance benefits through new products and technology enhancements and productivity improvements through increased throughput, equipment utilization and higher manufacturing yields. Capacity is added by increasing the amount of manufacturing equipment in existing fabrication facilities and by constructing new fabrication facilities.</w:t>
      </w:r>
    </w:p>
    <w:p>
      <w:pPr>
        <w:spacing w:after="0" w:line="173"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17"/>
          <w:szCs w:val="17"/>
          <w:color w:val="auto"/>
        </w:rPr>
        <w:t>We have different types of customers, which impacts the timing of purchases and technology requirements. Some customers are integrated electronics manufacturers, making semiconductor chips for their own devices. These same companies may also act as foundries, manufacturing semiconductor chips for other electronic manufacturers or chip design companies. Some customers only function as foundries. A few companies design and manufacture branded chips that are sold to device manufacturers. In addition, some customers have partnerships or joint ventures with two or more semiconductor chip manufacturers to share the technology development and capital investment. The timing of purchases by foundry customers will depend on their success in securing manufacturing contracts. Also, foundry customers will look for equipment that can deliver the broadest capabilities to be prepared to manufacture all chip types, while integrated electronics manufacturers may invest in processing equipment dedicated to a specific application they require for their products.</w:t>
      </w:r>
    </w:p>
    <w:p>
      <w:pPr>
        <w:spacing w:after="0" w:line="17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semiconductor capital equipment industry has historically been cyclical as global chip production capacities successively exceed, then lag behind, global chip demand. When chip demand is high, and inventories are low, chip manufacturers add capacity through capital equipment purchases. Given the difficulties of forecasting and calibrating chip demand and production capacity, the industry periodically experiences excess chip inventories and softening chip prices. Device manufacturers react with muted capital spending, lowering the demand for capital equipment. Changes in consumer and business demand for products in which chips are used also affect the industry. A successful semiconductor capital equipment manufacturer must not only provide some of the most technically complex products manufactured in the world but also must manage its business to thrive during downturns in the cycle.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Axcelis’ Strategy</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Axcelis’ 2026 strategic goals are to:</w:t>
      </w:r>
    </w:p>
    <w:p>
      <w:pPr>
        <w:spacing w:after="0" w:line="158" w:lineRule="exact"/>
        <w:rPr>
          <w:sz w:val="20"/>
          <w:szCs w:val="20"/>
          <w:color w:val="auto"/>
        </w:rPr>
      </w:pPr>
    </w:p>
    <w:p>
      <w:pPr>
        <w:ind w:left="680" w:hanging="32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the foundation on our long-term implant-only business model</w:t>
      </w:r>
    </w:p>
    <w:p>
      <w:pPr>
        <w:spacing w:after="0" w:line="115" w:lineRule="exact"/>
        <w:rPr>
          <w:rFonts w:ascii="Times New Roman" w:cs="Times New Roman" w:eastAsia="Times New Roman" w:hAnsi="Times New Roman"/>
          <w:sz w:val="18"/>
          <w:szCs w:val="18"/>
          <w:color w:val="auto"/>
        </w:rPr>
      </w:pPr>
    </w:p>
    <w:p>
      <w:pPr>
        <w:ind w:left="1000" w:right="180" w:hanging="324"/>
        <w:spacing w:after="0" w:line="26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Win new customers with Purion products and aftermarket offerings that solve high value customer challenges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with differentiated, valuable, and sustainable (“DVS”) solutions</w:t>
      </w:r>
    </w:p>
    <w:p>
      <w:pPr>
        <w:spacing w:after="0" w:line="1"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Improve​ customer satisfaction to drive repeat business</w:t>
      </w:r>
    </w:p>
    <w:p>
      <w:pPr>
        <w:spacing w:after="0" w:line="69"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Execute on identified growth opportunities in Japan and advanced logic</w:t>
      </w:r>
    </w:p>
    <w:p>
      <w:pPr>
        <w:spacing w:after="0" w:line="34"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Deliver CS&amp;I target business model revenues of approximately 25% of total revenues, in line with expectations</w:t>
      </w:r>
    </w:p>
    <w:p>
      <w:pPr>
        <w:spacing w:after="0" w:line="46" w:lineRule="exact"/>
        <w:rPr>
          <w:rFonts w:ascii="Times New Roman" w:cs="Times New Roman" w:eastAsia="Times New Roman" w:hAnsi="Times New Roman"/>
          <w:sz w:val="18"/>
          <w:szCs w:val="18"/>
          <w:color w:val="auto"/>
        </w:rPr>
      </w:pPr>
    </w:p>
    <w:p>
      <w:pPr>
        <w:ind w:left="680" w:hanging="324"/>
        <w:spacing w:after="0" w:line="20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profitable growth by focusing on key customers and targeted market/geographic segments</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 w:hanging="320"/>
        <w:spacing w:after="0"/>
        <w:tabs>
          <w:tab w:leader="none" w:pos="100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Achieve market share leadership across all served markets</w:t>
      </w:r>
      <w:r>
        <w:rPr>
          <w:rFonts w:ascii="Times New Roman" w:cs="Times New Roman" w:eastAsia="Times New Roman" w:hAnsi="Times New Roman"/>
          <w:sz w:val="35"/>
          <w:szCs w:val="35"/>
          <w:color w:val="auto"/>
          <w:vertAlign w:val="subscript"/>
        </w:rPr>
        <w:t>​</w:t>
      </w:r>
    </w:p>
    <w:p>
      <w:pPr>
        <w:spacing w:after="0" w:line="72" w:lineRule="exact"/>
        <w:rPr>
          <w:rFonts w:ascii="Courier New" w:cs="Courier New" w:eastAsia="Courier New" w:hAnsi="Courier New"/>
          <w:sz w:val="18"/>
          <w:szCs w:val="18"/>
          <w:color w:val="auto"/>
        </w:rPr>
      </w:pPr>
    </w:p>
    <w:p>
      <w:pPr>
        <w:ind w:left="1000" w:hanging="320"/>
        <w:spacing w:after="0" w:line="193" w:lineRule="auto"/>
        <w:tabs>
          <w:tab w:leader="none" w:pos="100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Deliver attractive earnings per share and cash generation as defined in targeted business models </w:t>
      </w:r>
      <w:r>
        <w:rPr>
          <w:rFonts w:ascii="Times New Roman" w:cs="Times New Roman" w:eastAsia="Times New Roman" w:hAnsi="Times New Roman"/>
          <w:sz w:val="35"/>
          <w:szCs w:val="35"/>
          <w:color w:val="auto"/>
          <w:vertAlign w:val="subscript"/>
        </w:rPr>
        <w:t>​</w:t>
      </w:r>
    </w:p>
    <w:p>
      <w:pPr>
        <w:ind w:left="1000" w:hanging="320"/>
        <w:spacing w:after="0" w:line="201" w:lineRule="auto"/>
        <w:tabs>
          <w:tab w:leader="none" w:pos="100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Monitor spending in line with growth initiatives and industry trends </w:t>
      </w:r>
      <w:r>
        <w:rPr>
          <w:rFonts w:ascii="Times New Roman" w:cs="Times New Roman" w:eastAsia="Times New Roman" w:hAnsi="Times New Roman"/>
          <w:sz w:val="35"/>
          <w:szCs w:val="35"/>
          <w:color w:val="auto"/>
          <w:vertAlign w:val="subscript"/>
        </w:rPr>
        <w:t>​</w:t>
      </w:r>
    </w:p>
    <w:p>
      <w:pPr>
        <w:spacing w:after="0" w:line="22" w:lineRule="exact"/>
        <w:rPr>
          <w:rFonts w:ascii="Courier New" w:cs="Courier New" w:eastAsia="Courier New" w:hAnsi="Courier New"/>
          <w:sz w:val="18"/>
          <w:szCs w:val="18"/>
          <w:color w:val="auto"/>
        </w:rPr>
      </w:pPr>
    </w:p>
    <w:p>
      <w:pPr>
        <w:ind w:left="1000" w:hanging="320"/>
        <w:spacing w:after="0"/>
        <w:tabs>
          <w:tab w:leader="none" w:pos="100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Execute capital strategy that allows for appropriate business investments while returning value to shareholders</w:t>
      </w:r>
    </w:p>
    <w:p>
      <w:pPr>
        <w:spacing w:after="0" w:line="128" w:lineRule="exact"/>
        <w:rPr>
          <w:rFonts w:ascii="Courier New" w:cs="Courier New" w:eastAsia="Courier New" w:hAnsi="Courier New"/>
          <w:sz w:val="18"/>
          <w:szCs w:val="18"/>
          <w:color w:val="auto"/>
        </w:rPr>
      </w:pPr>
    </w:p>
    <w:p>
      <w:pPr>
        <w:ind w:left="680" w:right="120" w:hanging="324"/>
        <w:spacing w:after="0" w:line="223"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gross margins by deriving maximum value from enabling upgrades, system specials and product extensions while lowering cost through use of “Design for X” (“DFx”) principles, right sourcing, and providing the industry’s best products and services</w:t>
      </w:r>
      <w:r>
        <w:rPr>
          <w:rFonts w:ascii="Times New Roman" w:cs="Times New Roman" w:eastAsia="Times New Roman" w:hAnsi="Times New Roman"/>
          <w:sz w:val="35"/>
          <w:szCs w:val="35"/>
          <w:color w:val="auto"/>
          <w:vertAlign w:val="subscript"/>
        </w:rPr>
        <w:t>​</w:t>
      </w:r>
    </w:p>
    <w:p>
      <w:pPr>
        <w:spacing w:after="0" w:line="91"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beyond ion implant by launching identified corporate development growth initiatives</w:t>
      </w:r>
    </w:p>
    <w:p>
      <w:pPr>
        <w:spacing w:after="0" w:line="30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continue to invest in research and development to ensure our products meet the needs of our customers. We take pride in our scientists and engineers who are adding to our portfolio of patents and proprietary technology to ensure that our investment in technology leadership translates into unique product advantages. We strive for operational excellence by focusing on ways to lower our product, manufacturing, and design costs and to improve our delivery times to our customers. Global customer teams and a focused account management structure maintain and strengthen our customer relationships and increase customer satisfaction. Finally, we endeavor to generate strong cash flows from operations and maintain a sufficient cash balance to ensure we continue to have the necessary capital to fund business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Ion Implantation Systems</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Ion implantation is a principal step in the transistor formation cycle of the semiconductor chip manufacturing process. Ion implantation is also used to change the material characteristics of the silicon or silicon carbide for reasons other than electrical doping, a process known as “material modification.” An ion implanter is a large, technically advanced system that injects dopants such as arsenic, boron or phosphorus into a wafer. These dopants are ionized and therefore have an electrical charge state. This electric charge state allows the dopants to be accelerated, focused and filtered with electric and magnetic fields. Ion implanters use these fields to create a beam of ions with a precisely defined energy level (ranging between several hundred and eight million electron-volts) and with a precisely defined beam current level (ranging from microamps to milliamps). Certain areas of the silicon wafer are blocked off by a polymer material known as photoresist, which acts as a “stencil” to pattern devices so that the dopants will only enter the wafer where needed. Typical process flows require twenty implant steps, with the most advanced processes requiring substantially more steps. Each implant step is characterized by four key parameters: dopant type, dose (amount of dopant), energy (depth into the silicon) and tilt/twist (angle of wafer relative to the ion beam).</w:t>
      </w:r>
    </w:p>
    <w:p>
      <w:pPr>
        <w:spacing w:after="0" w:line="190"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To efficiently cover the wide range of implant steps, three different broad categories of implanters have been developed, each targeted at a specific range of applications, primarily defined by dose and energy. The three traditional implanter categories are referred to as high current, high energy and medium current:</w:t>
      </w:r>
    </w:p>
    <w:p>
      <w:pPr>
        <w:spacing w:after="0" w:line="176" w:lineRule="exact"/>
        <w:rPr>
          <w:sz w:val="20"/>
          <w:szCs w:val="20"/>
          <w:color w:val="auto"/>
        </w:rPr>
      </w:pPr>
    </w:p>
    <w:p>
      <w:pPr>
        <w:ind w:left="1000" w:right="280" w:hanging="320"/>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current implanters were the second type of implanter to emerge, having low energy capability and high dose range.</w:t>
      </w:r>
    </w:p>
    <w:p>
      <w:pPr>
        <w:spacing w:after="0" w:line="161"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energy implanters emerged to address the need for deeper implants with a high energy range and low dose.</w:t>
      </w:r>
    </w:p>
    <w:p>
      <w:pPr>
        <w:spacing w:after="0" w:line="236" w:lineRule="exact"/>
        <w:rPr>
          <w:rFonts w:ascii="Times New Roman" w:cs="Times New Roman" w:eastAsia="Times New Roman" w:hAnsi="Times New Roman"/>
          <w:sz w:val="17"/>
          <w:szCs w:val="17"/>
          <w:color w:val="auto"/>
        </w:rPr>
      </w:pPr>
    </w:p>
    <w:p>
      <w:pPr>
        <w:ind w:left="1000" w:right="400" w:hanging="320"/>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current implanters are the original model of ion implanter, with mid to low-range energy and dose capability.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Axcelis Ion Implanters</w:t>
      </w:r>
    </w:p>
    <w:p>
      <w:pPr>
        <w:spacing w:after="0" w:line="229"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Axcelis offers a complete line of high energy, high current, and medium current implanters for all application requirements. Our Purion flagship systems are all based on a common platform which enables a unique combination of implant purity, precision, and productivity. Combining a state-of-the-art single wafer end station, with advanced spot beam</w:t>
      </w:r>
    </w:p>
    <w:p>
      <w:pPr>
        <w:sectPr>
          <w:pgSz w:w="11900" w:h="16838" w:orient="portrait"/>
          <w:cols w:equalWidth="0" w:num="1">
            <w:col w:w="9100"/>
          </w:cols>
          <w:pgMar w:left="1380" w:top="513" w:right="141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architectures (that ensures all points across the wafer see the same beam condition at the same beam angle), Purion products enable exceptional process control to optimize device performance and yield, at high productivity.</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Purion family of ion implanters, the Company offers the Ovation™ family of multi-wafer, or “batch” implanters. These systems extend Axcelis’ industry benchmark GSD platform into the future, delivering the highest reliability, serviceability, and lowest cost of operations. The Ovation configuration is designed to seamlessly integrate with the existing fleet of Axcelis batch implanters, while providing incremental performance improvements with updated components for long-term sustainability.</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Beyond the traditional categories of implanters, Axcelis has developed systems designed for specific applications. For example, the Axcelis </w:t>
      </w:r>
      <w:r>
        <w:rPr>
          <w:rFonts w:ascii="Times New Roman" w:cs="Times New Roman" w:eastAsia="Times New Roman" w:hAnsi="Times New Roman"/>
          <w:sz w:val="18"/>
          <w:szCs w:val="18"/>
          <w:i w:val="1"/>
          <w:iCs w:val="1"/>
          <w:color w:val="auto"/>
        </w:rPr>
        <w:t>Purion Power Series</w:t>
      </w:r>
      <w:r>
        <w:rPr>
          <w:rFonts w:ascii="Times New Roman" w:cs="Times New Roman" w:eastAsia="Times New Roman" w:hAnsi="Times New Roman"/>
          <w:sz w:val="18"/>
          <w:szCs w:val="18"/>
          <w:color w:val="auto"/>
        </w:rPr>
        <w:t>, which provides full recipe coverage for power device applications critical to electric vehicles and industrial applications. The Purion Power Series is comprised of a group of high current, medium current and high energy implanters that optimize semiconductor devices created on SiC wafers, which is advantageous for certain power devices.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overview of specific Axcelis ion implantation products is below:</w:t>
      </w:r>
    </w:p>
    <w:p>
      <w:pPr>
        <w:spacing w:after="0" w:line="221" w:lineRule="exact"/>
        <w:rPr>
          <w:sz w:val="20"/>
          <w:szCs w:val="20"/>
          <w:color w:val="auto"/>
        </w:rPr>
      </w:pPr>
    </w:p>
    <w:p>
      <w:pPr>
        <w:ind w:left="1000" w:right="20" w:hanging="320"/>
        <w:spacing w:after="0" w:line="25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Current Ion Implant. </w:t>
      </w:r>
      <w:r>
        <w:rPr>
          <w:rFonts w:ascii="Times New Roman" w:cs="Times New Roman" w:eastAsia="Times New Roman" w:hAnsi="Times New Roman"/>
          <w:sz w:val="18"/>
          <w:szCs w:val="18"/>
          <w:color w:val="auto"/>
        </w:rPr>
        <w:t>Our Purion H, Purion Dragon, Purion H200, and GSD/E2 Ovation spot beam,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 current systems cover all traditional high current requirements as well as those associated with emerging and future devices. Our Purion high current capabilities extend beyond traditional high current energy and dose ranges, to cover new device fabrication requirements as well as to maximize capital utilization and flexibility. In addition, Axcelis’ Purion systems provide advantages for material modification applications, including those requiring hot and cold implant capabilities.</w:t>
      </w:r>
    </w:p>
    <w:p>
      <w:pPr>
        <w:spacing w:after="0" w:line="182" w:lineRule="exact"/>
        <w:rPr>
          <w:rFonts w:ascii="Times New Roman" w:cs="Times New Roman" w:eastAsia="Times New Roman" w:hAnsi="Times New Roman"/>
          <w:sz w:val="18"/>
          <w:szCs w:val="18"/>
          <w:color w:val="auto"/>
        </w:rPr>
      </w:pPr>
    </w:p>
    <w:p>
      <w:pPr>
        <w:ind w:left="1000" w:hanging="320"/>
        <w:spacing w:after="0" w:line="255"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 Energy Ion Implant</w:t>
      </w:r>
      <w:r>
        <w:rPr>
          <w:rFonts w:ascii="Times New Roman" w:cs="Times New Roman" w:eastAsia="Times New Roman" w:hAnsi="Times New Roman"/>
          <w:sz w:val="18"/>
          <w:szCs w:val="18"/>
          <w:color w:val="auto"/>
        </w:rPr>
        <w:t>. Axcelis has been a market leader in high energy ion implanters for many years,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offers a range of new Purion systems which have differentiated capabilities for specialty applications as well as legacy high energy systems. Our Purion XE, EXE, and other Purion high energy systems combine Axcelis’ production-proven RF Linac high energy, spot beam technology with the Purion platform wafer handling system. The Purion XE Power Series implanters include Purion XE and EXE models for high volume power devices aluminum implantation, available with 150mm SiC wafer handling or 200mm thin Si wafer handling. Our batch high energy systems include the GSD/HE Ovation implanter, a 10 stage Linac with energies up to 3 MeV and the GSD/VHE Ovation system, a 14 stage Linac with energies up to 4.9 MeV.</w:t>
      </w:r>
    </w:p>
    <w:p>
      <w:pPr>
        <w:spacing w:after="0" w:line="184" w:lineRule="exact"/>
        <w:rPr>
          <w:rFonts w:ascii="Times New Roman" w:cs="Times New Roman" w:eastAsia="Times New Roman" w:hAnsi="Times New Roman"/>
          <w:sz w:val="18"/>
          <w:szCs w:val="18"/>
          <w:color w:val="auto"/>
        </w:rPr>
      </w:pPr>
    </w:p>
    <w:p>
      <w:pPr>
        <w:ind w:left="1000" w:right="220" w:hanging="320"/>
        <w:spacing w:after="0" w:line="259"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Medium Current Ion Implant. </w:t>
      </w:r>
      <w:r>
        <w:rPr>
          <w:rFonts w:ascii="Times New Roman" w:cs="Times New Roman" w:eastAsia="Times New Roman" w:hAnsi="Times New Roman"/>
          <w:sz w:val="18"/>
          <w:szCs w:val="18"/>
          <w:color w:val="auto"/>
        </w:rPr>
        <w:t>Our Purion M Si and SiC medium current systems offer higher productivity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lower electrical energy consumption compared to competitive offerings, in addition to other advantages. With high energy capability far beyond competitive implanters, the Purion M is ideal for fabs at higher elevations or those dealing with heavy mass species. The Purion M is energy efficient and is among the industry’s lowest cost of ownership.</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believe our ion implant products will continue to meet customer demand for advantages in productivity, process performance and technical extendibility.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Aftermarket Support and Services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Through our CS&amp;I business, we offer our customers extensive aftermarket service and support throughout the lifecycle of the equipment we manufacture. Approximately 3,400 of our products are in use in 27 countries worldwide. The service and support that we provide includes used tools, spare parts, equipment upgrades, and maintenance services. Our field offices offer varying levels of sales, service and application support. Revenue generated through our CS&amp;I business of $268.0 million, $235.3 million, and $247.0 million represents 31.9%, 23.1% and 21.8% of total revenue in 2025, 2024 and 2023, respectively.</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 support our aftermarket business, we have sales and marketing personnel, field service engineers, and spare parts and applications engineers, as well as employees located at our manufacturing facilities who work with our customers to provide customer training and documentation, and product, process, and applications support.</w:t>
      </w:r>
    </w:p>
    <w:p>
      <w:pPr>
        <w:sectPr>
          <w:pgSz w:w="11900" w:h="16838" w:orient="portrait"/>
          <w:cols w:equalWidth="0" w:num="1">
            <w:col w:w="9100"/>
          </w:cols>
          <w:pgMar w:left="1380" w:top="513" w:right="141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Most of our customers maintain spare parts inventories for our machines. In addition to our web-based spare parts management and replenishment tracking program, we offer several Business-to-Business options to support our customers’ parts management requirements. Our Axcelis Managed Inventory service offering provides the customer with full spare parts support through a parts consignment arrangement in which Axcelis retains responsibility for the complete supply chain. These services provide ease of use alternatives that reduce order fulfillment costs and improve cycle time, resulting in an expanded customer base for this service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primarily sell our equipment and services through our direct sales force. We conduct sales and marketing activities from our sales offices located in the United States, Taiwan, South Korea, China, Singapore, Japan, Germany and Italy.</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International revenue, including export sales from our U.S. manufacturing facilities to foreign customers and sales by foreign subsidiaries and branches, accounted for 83.7%, 85.8% and 84.1% of total revenue in 2025, 2024 and 2023, respectively. In 2025, approximately 88.6% of our sales were denominated in U.S. dollars. See Note 17 to our Consolidated Financial Statements contained in Item 15 of this Annual Report on Form 10-K for a breakdown of our revenue and long-lived assets in the United States, Europe and Asia. See also Item 1A, “Risk Factors,” for information about risks attendant to our foreign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2025, according to TechInsights Inc., the top 20 semiconductor chip manufacturers accounted for approximately 86.4% of total semiconductor capital equipment spending, which decreased slightly from 87.6% in 2024. These manufacturers are from the largest semiconductor chip manufacturing regions in the world: the United States, Asia Pacific (China, Japan, Singapore, South Korea and Taiwan) and Europe.</w:t>
      </w:r>
    </w:p>
    <w:p>
      <w:pPr>
        <w:spacing w:after="0" w:line="180" w:lineRule="exact"/>
        <w:rPr>
          <w:sz w:val="20"/>
          <w:szCs w:val="20"/>
          <w:color w:val="auto"/>
        </w:rPr>
      </w:pPr>
    </w:p>
    <w:p>
      <w:pPr>
        <w:ind w:right="800" w:firstLine="648"/>
        <w:spacing w:after="0" w:line="312" w:lineRule="auto"/>
        <w:rPr>
          <w:sz w:val="20"/>
          <w:szCs w:val="20"/>
          <w:color w:val="auto"/>
        </w:rPr>
      </w:pPr>
      <w:r>
        <w:rPr>
          <w:rFonts w:ascii="Times New Roman" w:cs="Times New Roman" w:eastAsia="Times New Roman" w:hAnsi="Times New Roman"/>
          <w:sz w:val="17"/>
          <w:szCs w:val="17"/>
          <w:color w:val="auto"/>
        </w:rPr>
        <w:t>Information on net sales to unaffiliated customers is included in Note 2 of Notes to Consolidated Financial Statements. For the year ended December 31, 2025, one customer accounted for 11.0% of consolidated revenues.</w:t>
      </w:r>
    </w:p>
    <w:p>
      <w:pPr>
        <w:spacing w:after="0" w:line="14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U.S. export controls impact our ability to sell to certain customers in China, a country that has represented a significant portion of our sales in recent years. One of our major Chinese customers, Semiconductor Manufacturing International Corporation (“SMIC”), is on the U.S. Entity List, but is subject to a 2020 licensing policy that allows shipments to certain mature process SMIC fabs, which to date, we have been able to obtain. Other Chinese chipmakers are on the U.S. Entity List, without a similar policy allowing licensed shipments. In October 2022 (with modifications in 2023), the U.S. Commerce Department established an export controls regulatory framework for U.S. exports of semiconductor equipment to China. This framework limits all semiconductor equipment shipments to Chinese customers who are producing or developing logic, DRAM and NAND chips that meet specific advanced parameters. The U.S. Commerce Department implemented further regulatory changes in December 2024, creating a new Export Controls Classification Number for certain 300mm ion implanters and adding certain Chinese customers to the U.S. Entity List, some of which have a licensing policy that should allow us to continue to support them. While these regulations have further excluded exports to certain Chinese customers, we currently are able to continue to ship to substantially all of our Chinese customers. In general, however, sales to Chinese customers represent a higher risk than sales to customers in other international locations because of trade tensions between the U.S. government and the Chinese government, and other challenges reflecting China’s stage of development and rapid growth. We cannot predict whether these policies will continue, or if new policies will be enacted, or the impact, if any, that any policy changes could have on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industry continues to experience rapid technological change, requiring us to frequently introduce new products and enhancements. Our Beverly, Massachusetts Advanced Technology Center houses a process development laboratory with a 13,500 square feet class 10/100/1000 clean room for product demonstrations and process development and a 17,500 square feet customer training center. The Advanced Technology Center provides infrastructure and process</w:t>
      </w:r>
    </w:p>
    <w:p>
      <w:pPr>
        <w:sectPr>
          <w:pgSz w:w="11900" w:h="16838" w:orient="portrait"/>
          <w:cols w:equalWidth="0" w:num="1">
            <w:col w:w="9120"/>
          </w:cols>
          <w:pgMar w:left="1380" w:top="513" w:right="13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capabilities that allow customers to test their unique process steps on our systems under conditions that substantially replicate the customers’ production environments. This facility also provides significant capability for our research and development efforts.</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devote a significant portion of our personnel and financial resources to research and development programs and seek to maintain close relationships with our customers to remain responsive to their product needs. We have also sought to reduce the development cycle for new products through a collaborative process whereby our engineering, manufacturing and marketing personnel work closely together with one another and with our customers at an earlier stage in the process. We use 3D, computer-aided design, finite element analysis and other computer-based modeling methods to test new designs and accelerate the technology innovation process.</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expenses for research and development were $109.0 million, $105.5 million and $96.9 million in 2025, 2024 and 2023, respectively, or 13.0%, 10.4% and 8.6% of revenue,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manufacture products at our 417,000 square feet ISO 9001:2015, ISO 4001:2015 and ISO 45001:2018 certified plant in Beverly, Massachusetts as well as our 38,000 square feet ISO 4001:2015 and ISO 45001:2018 certified Axcelis Asia Operations Center in South Korea and our 101,800 square feet state-of-the-art logistics and flex manufacturing Axcelis Logistics Center in Beverly, Massachusetts. Our facilities employ best in class manufacturing techniques, including lean manufacturing, six sigma controls and advanced inventory management, purchasing and quality systems.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clean manufacturing process uses class 1,000/10,000 space to facilitate most of our manufacturing requirements.</w:t>
      </w:r>
    </w:p>
    <w:p>
      <w:pPr>
        <w:spacing w:after="0" w:line="22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core competency in manufacturing and supply chain management is built around system assembly and testing, which remains an in-house capability due to the high degree of expertise and intellectual property associated with the process and design. Non-core work is sourced to global partners and includes items such as vacuum systems, wafer handling and commodity-level components. We continuously pursue outsourcing opportunities where the economics are justified, with a goal of enabling quality and margin improvement. Our supply chain team is globally focused and is located in Beverly, South Korea and Singapore. Customized and commercially available software solutions drive our planning, purchasing and inventory tracking process.</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companies supplying Axcelis play a critical part in our success. We want to ensure these companies share our values and have adopted a Supplier Code of Conduct, which contains our expectation that our suppliers will comply with our Environmental Policy, our Corporate Social Responsibility Policy, and other industry standards and policies. Our Supplier Code of Conduct provides that if a supplier fails to comply with these policies, our business relationship with that company will be permanently severed, although a compliance remediation period of up to 90 days may be allowed.</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products are designed to be assembled and tested in a modular fashion, which facilitates our industry-recognized “ship-from-cell” process. Specially developed test stands, software and tooling provide the framework for this accelerated delivery process. Customers that choose the “ship-from-cell” process substantially improve their delivery times while receiving the same high level of quality provided by more traditional, longer cycle integration techniques. Product margins and inventory turns also improve because of shorter factory cycle times and increased labor productivity.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Installation of our equipment is provided by factory and field teams. The process includes assembling the equipment at our installation site, and after it has been connected, recalibrating it to factory specifications.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semiconductor equipment industry is highly competitive and is characterized by a small number of participants ranging in size. Significant competitive factors in the semiconductor capital equipment market include price, cost of ownership, equipment performance, customer support, capabilities, and breadth of product line.</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market for ion implantation systems, we mainly compete against Applied Materials, Inc. (“Applied Materials”). Axcelis and Applied Materials are the only ion implant system manufacturers with a full range of implant products. Other implantation equipment manufacturers we compete with include Sumitomo Heavy Industries Ion Technology Co. Ltd. and Nissin Ion Equipment Co., Ltd in Japan, Advanced Ion Beam Technology, Inc. in Taiwan, as well as Kingstone Semiconductor and CETC Electronics Equipment Group Co., Ltd. in the People’s Republic of China. Non-U.S. suppliers may have an advantage over U.S. suppliers under recently established U.S. export controls regulation for shipments to China. We also provide aftermarket service and parts to service our customers globally. In this market, there are many competitors, often based in the customer’s location, offering alternatives to Axcelis services and certified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rely on patent, copyright, trademark and trade secret protection in the United States and in other countries, as well as contractual restrictions, to protect our proprietary rights in our products and our business. As of December 31, 2025, we had 169 active patents issued in the United States and 356 active patents granted in other countries, as well as 167 patent applications (81 in the United States and 86 in other countries) on file with various patent agencies worldwide. Patents are generally in effect for up to 20 years from the filing of the application.</w:t>
      </w:r>
    </w:p>
    <w:p>
      <w:pPr>
        <w:spacing w:after="0" w:line="18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intend to file additional patent applications and grow our intellectual property portfolio as appropriate. Although patents are important to our business, we do not believe that we are substantially dependent on any single patent or any group of patents.</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have trademarks, both registered and unregistered, that are maintained to provide customer recognition for our products in the marketplace. Trademark registrations generally remain in effect as long as the trademarks are in use. From time to time, we enter into license agreements with third parties under which we obtain or grant rights to patented or proprietary technology. We do not believe that any of our licenses are currently material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Systems backlog, including deferred systems revenue, was $457.0 million and $645.8 million as of December 31, 2025 and 2024, respectively. We believe it is meaningful to investors to include deferred systems revenue as part of our backlog. Deferred systems revenue represents revenue that will be recognized in future periods based on prior shipments or customer prepayments. Our policy is to include in backlog only those system orders for which we have accepted purchase orders. All orders are subject to cancellations or rescheduling by customers with limited or no penalties.</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Backlog does not include orders received and fulfilled within a quarter. Our backlog at the beginning of a quarter typically does not include all orders required to achieve our sales objectives for that quarter. Backlog is not necessarily an indicator of future business trends because orders for services or parts received during the quarter are generally performed or shipped within the same quarter.</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Bookings in the quarter ended December 31, 2025 were $127.6 million compared to $84.5 million in the quarter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1,465 employees and 50 agency temporary staff worldwide. During 2025, our total employee and temporary staff headcount decreased by approximately 3%. While the majority of our headcount is based in the U.S. at our main manufacturing facility in Beverly, Massachusetts, our business requires our presence where</w:t>
      </w:r>
    </w:p>
    <w:p>
      <w:pPr>
        <w:sectPr>
          <w:pgSz w:w="11900" w:h="16838" w:orient="portrait"/>
          <w:cols w:equalWidth="0" w:num="1">
            <w:col w:w="9100"/>
          </w:cols>
          <w:pgMar w:left="1380" w:top="513" w:right="141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customers are located around the world, resulting in Axcelis employees working in 27 different countries. Of our total year end 2025 employees and agency temporary staff, 1,038 work in North America, 398 in Asia and 79 in Europe.</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largely depends upon our continued ability to attract and retain highly skilled employees. We provide competitive compensation and benefits programs. In addition to salaries, all Axcelis employees are eligible for cash incentive programs with annual payouts tied to annual financial metrics, as described in our proxy statements, with one exception: certain sales staff receive commission and other sales compensation. Beyond these basic forms of cash compensation, we offer recognition bonuses, equity awards, an Employee Stock Purchase Plan, a 401(k) plan with a competitive employer match, healthcare and insurance benefits, health savings and flexible spending accounts, paid time off, family leave, family care resources, flexible work schedules, employee assistance programs, and tuition assistance. These programs all contribute to both attracting and retaining a highly skilled employee base, including those with critical leadership and industry skills and experience.</w:t>
      </w:r>
    </w:p>
    <w:p>
      <w:pPr>
        <w:spacing w:after="0" w:line="18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2025, our voluntary turnover rate for employees was 7.4%, or 5.0% without retirements, below the worldwide technology industry (all reported) voluntary turnover average of 11.7% reported in the Aon 2025 Salary Increase and Turnover Study -- December 2025.</w:t>
      </w:r>
    </w:p>
    <w:p>
      <w:pPr>
        <w:spacing w:after="0" w:line="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recognize that training is an important aspect of both employee retention and talent development. Axcelis conducts an annual talent review process and establishes individualized development programs agreed upon by employees and their managers. Human Resources provides training on personal development planning and leadership skills. All Axcelis employees have access to LinkedIn Learning to pursue independent training on business subjects. Our manufacturing staff each receives 35 hours of training upon commencement of employment, and our field service and other technical employees receive training on various ion implanter systems to develop product support, applications and service skills on all of our products. Finally, all staff are required to complete monthly, annual or biennial training on cybersecurity, various health and safety topics, and legal matters, such as the Foreign Corrupt Practices Act, export controls compliance, ethical business practices, and confidentiality. At a minimum, all Axcelis employees are required to complete at least 15 hours of training per year, and they can access additional voluntary training at the Company’s expense.</w:t>
      </w:r>
    </w:p>
    <w:p>
      <w:pPr>
        <w:spacing w:after="0" w:line="113"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people. Accordingly, we are committed to the health, safety, and wellness of our employees. We provide our employees and their families with access to health and wellness insurance and programs that offer choice where possible so they can customize their benefits to meet their needs and the needs of their families. Following the COVID-19 pandemic, we have maintained flexible working opportunities for those employees who can, and wish to, work remotely. This flexibility allows us to access workers who do not live near our facilities and provides a desired quality of life benefit to those who wish to work remotely for personal reasons.</w:t>
      </w:r>
    </w:p>
    <w:p>
      <w:pPr>
        <w:spacing w:after="0" w:line="17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Axcelis is dedicated to accessing a workforce that has the skills and qualities required for our jobs, fostering a culture built on the principle of inclusion, and maintaining a workplace free from discrimination. We strongly believe that the experiences, perspectives and backgrounds of our entire workforce will lead to a better environment for our employees and better products for our customers. Axcelis’ commitment extends to our Board of Directors, our leadership team and all teams and functions across our global locations.</w:t>
      </w:r>
    </w:p>
    <w:p>
      <w:pPr>
        <w:spacing w:after="0" w:line="10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encourage you to review our Axcelis Sustainability Report (located in the “Sustainability Document Hub” under the “Investors” section of our Axcelis.com website). Nothing on our website, including our Sustainability Report or sections thereof, shall be deemed incorporated by reference into this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48"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Axcelis is deeply committed to our role as a responsible corporate citizen and dedicated to our Environmental, Social, Governance (“ESG”) and Net Zero commitments. In 2022, Axcelis became a founding member of the Semiconductor Climate Consortium (“SCC”) of Semiconductor Equipment and Materials International (“SEMI”), our industry organization serving the manufacturing supply chain for the micro- and nano-electronics industries. In doing so, we expect to bolster our own sustainability work with the power of the semiconductor ecosystem. By collaborating with SCC member companies' joint knowledge and innovative technologies, Axcelis hopes to promote progressive action towards climate change.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proud that our Power Series ion implantation systems have become enabling technology for the production of power management devices, which are critical to the electrification of vehicles, an important component of our society’s actions to address climate change.</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are proud of our commitment to improving our environment. Axcelis is subject to environmental laws and regulations in the countries in which we operate that regulate, among other things: air emissions; water discharges; and the generation, use, storage, transportation, handling and disposal of solid and hazardous wastes produced by our manufacturing, research and development and sales activities. As with other companies engaged in like businesses, the nature of our operations exposes us to the risk of environmental liabilities, claims, penalties and orders.</w:t>
      </w:r>
    </w:p>
    <w:p>
      <w:pPr>
        <w:spacing w:after="0" w:line="10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operations are in compliance with applicable environmental laws and regulations and that there are no pending environmental matters that would have a material impact on our business. We are ISO 9001:2015, ISO 14001:2015, and ISO 45001:2018 certified at our Beverly, Massachusetts facility and ISO 9001:2015, ISO 14001:2015 and ISO 45001:2018 at our Asia Axcelis Operations Center.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4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Russell J. Low, Ph.D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55, became Axcelis’ CEO in May 2023, also joining the Company’s Board of Directors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time. Dr. Low joined Axcelis in October 2016, first serving as Executive Vice President, Engineering and then as Executive Vice President, Global Customer and Engineering Operations effective January 2021. Prior to joining the Company, Dr. Low held the position of Vice President of Engineering, MOCVD Business Unit at Veeco Instruments since 2013, prior to which he was Veeco’s Senior Director of Engineering, Molecular Beam Epitaxy Business Unit beginning in 2012. From 2003 to 2012, Dr. Low held a number of positions at Varian Semiconductor Equipment Associates, most recently as Director of Technology. Prior to that, Dr. Low held engineering positions in the thermal processing and ion implant divisions of Applied Materials, Inc. Dr. Low joined the North American Advisory Board (NAAB) of SEMI International in 2023. He is also a member of the Massachusetts High Tech Council.</w:t>
      </w:r>
    </w:p>
    <w:p>
      <w:pPr>
        <w:spacing w:after="0" w:line="18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James G. Coogan</w:t>
      </w:r>
      <w:r>
        <w:rPr>
          <w:rFonts w:ascii="Times New Roman" w:cs="Times New Roman" w:eastAsia="Times New Roman" w:hAnsi="Times New Roman"/>
          <w:sz w:val="18"/>
          <w:szCs w:val="18"/>
          <w:color w:val="auto"/>
        </w:rPr>
        <w:t>, 45, joined Axcelis as Executive Vice President and CFO in September 2023. Mr. Coogan brings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than 20 years of finance, accounting, and investor relations experience across multiple industries, most recently in aerospace and defense. Mr. Coogan joins Axcelis after serving as Senior Vice President, Chief Financial Officer at Kaman Corporation, a leading provider of aerospace and defense products. During his 15 years with Kaman, he held various management positions including Vice President, Investor Relations and Corporate Development, Assistant Vice President, External Reporting and SEC Compliance, and Director, External Reporting and SEC Compliance. After starting his career at PwC, he held several financial management roles at Ann Taylor Stores Corporation and Mohegan Tribal Gaming Authority before joining Kaman.</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Gerald M. Blumenstock, </w:t>
      </w:r>
      <w:r>
        <w:rPr>
          <w:rFonts w:ascii="Times New Roman" w:cs="Times New Roman" w:eastAsia="Times New Roman" w:hAnsi="Times New Roman"/>
          <w:sz w:val="18"/>
          <w:szCs w:val="18"/>
          <w:color w:val="auto"/>
        </w:rPr>
        <w:t>57, became Axcelis’ Executive Vice President, Research, Development and Engineering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2023 leading product development, engineering and R&amp;D. With over 30 years of experience in technology, primarily in the semiconductor capital equipment industry, Mr. Blumenstock brings a unique blend of leadership, technical and business skills gained over a distinguished career. Immediately before joining Axcelis, Mr. Blumenstock was self-employed as a management consultant from 2022 to 2023. Prior to that, Mr. Blumenstock led multiple product business groups as Vice President and General Manager at Advanced Energy from 2020 to 2022 and Senior Vice President and General Manager at Veeco Instruments from 2011 to 2020. Additionally, Mr. Blumenstock held the role of Chief Marketing Officer at Veeco directing a corporate rebrand. Prior to that, Mr. Blumenstock held Senior Director level business roles at KLA, Cymer (ASML) and FormFactor, bringing several new products to market. Mr. Blumenstock began his career as an Optics &amp; Materials Engineer at SVGL (ASML) and NASA.</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Eileen J. Evans, Esq</w:t>
      </w:r>
      <w:r>
        <w:rPr>
          <w:rFonts w:ascii="Times New Roman" w:cs="Times New Roman" w:eastAsia="Times New Roman" w:hAnsi="Times New Roman"/>
          <w:sz w:val="18"/>
          <w:szCs w:val="18"/>
          <w:color w:val="auto"/>
        </w:rPr>
        <w:t>., 58, is our Executive Vice President, HR/Legal, and General Counsel, a position she assumed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March 2025. She joined Axcelis in December 2024 as Executive Vice President and General Counsel. Ms. Evans brings more than 25 years of legal and technology business experience to Axcelis, including commercial transactions, merger and acquisition integration, intellectual property, compliance, and corporate matters. Before joining Axcelis, from October 2022 to December 2024, she served as Chief Legal Officer at SunPower, a solar and energy services provider in North America, whose key assets were acquired by Complete Solaria, Inc. From July 2021 to October 2022, Ms. Evans served as Chief Legal Officer and Chief Administrative Officer at Redaptive, a tech-enabled sustainability-as-a-</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service company. Prior to that, from September 2017 to July 2021, she served as Senior Vice President and Deputy General Counsel at Micro Focus International, a British multinational software and information technology business and before that, as Vice President and Deputy General Counsel at Hewlett Packard Enterprise and Hewlett-Packard Company and Associate General Counsel at Oracle Corporation and Sun Microsystems, Inc. Ms. Evans earned her Juris Doctor from the University of California, Davis and her Bachelor of Arts in Political Science from the University of California, Berkeley. She currently serves on the Board of Directors for the Linux Foundation.</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F. Redinbo, Ph.D., </w:t>
      </w:r>
      <w:r>
        <w:rPr>
          <w:rFonts w:ascii="Times New Roman" w:cs="Times New Roman" w:eastAsia="Times New Roman" w:hAnsi="Times New Roman"/>
          <w:sz w:val="18"/>
          <w:szCs w:val="18"/>
          <w:i w:val="1"/>
          <w:iCs w:val="1"/>
          <w:color w:val="auto"/>
        </w:rPr>
        <w:t>61</w:t>
      </w:r>
      <w:r>
        <w:rPr>
          <w:rFonts w:ascii="Times New Roman" w:cs="Times New Roman" w:eastAsia="Times New Roman" w:hAnsi="Times New Roman"/>
          <w:sz w:val="18"/>
          <w:szCs w:val="18"/>
          <w:color w:val="auto"/>
        </w:rPr>
        <w:t>, is our Executive Vice President, Marketing and Applications, a position he assumed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September 2022. He joined Axcelis in 2021 as Senior Vice President of Strategic Marketing and Business Development. Dr. Redinbo has over 25 years of experience in the semiconductor capital equipment industry. Prior to joining Axcelis, he held the position of Vice President, Global Strategic Accounts at ASML from 2017 to 2020, where his focus was on business and relationship growth with a leading logic manufacturer and prior to that was Global Vice President of Sales, Service and Applications at FEI, a microscopy solutions company, where he worked from 2012 to 2017. Dr. Redinbo’s past positions also include Director of Sales, U.S. and Europe, and Director of Product Marketing, High Current Products at Varian Semiconductor and Product Management in the Thermal Processing Division at Applied Materials.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Christopher J. Tatnall, Ph.D.</w:t>
      </w:r>
      <w:r>
        <w:rPr>
          <w:rFonts w:ascii="Times New Roman" w:cs="Times New Roman" w:eastAsia="Times New Roman" w:hAnsi="Times New Roman"/>
          <w:sz w:val="18"/>
          <w:szCs w:val="18"/>
          <w:color w:val="auto"/>
        </w:rPr>
        <w:t>, 53, became Axcelis’ Executive Vice President, Global Customer Operations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2023. In this capacity, Dr. Tatnall is responsible for Worldwide System Sales and Sales Operations, Global Service, Support and Training and the Axcelis Customer Solutions organization. Dr. Tatnall joined Axcelis in March 2022 as Senior Vice President of Sales. Prior to joining Axcelis, he was Vice President and General Manager at MKS Instruments, Plasma and Reactive Gas Division from May 2018 to March 2022, where he led a cross functional team of over 200 members with multiple product lines with both semiconductor and industrial applications. Prior to that, Dr. Tatnall was Senior Director of Customer Operations at Brooks Automation, Semiconductor Sales Manager at Alcatel Vacuum Technology, and Development Engineer at Edwards Vacuum.</w:t>
      </w:r>
    </w:p>
    <w:p>
      <w:pPr>
        <w:spacing w:after="0" w:line="18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Robert J. Mahoney</w:t>
      </w:r>
      <w:r>
        <w:rPr>
          <w:rFonts w:ascii="Times New Roman" w:cs="Times New Roman" w:eastAsia="Times New Roman" w:hAnsi="Times New Roman"/>
          <w:sz w:val="18"/>
          <w:szCs w:val="18"/>
          <w:color w:val="auto"/>
        </w:rPr>
        <w:t>, 64, became Axcelis’ Executive Vice President, Global Operations in 2025, having formerly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Senior Vice President, Global Operations since 2014. He has responsibility for all aspects of production, including the manufacturing, logistics, global sourcing, facilities and EHS organizations. Mr. Mahoney joined Axcelis in 2005, first serving as Vice President of Quality and Product Support, and then as Vice President, Global Service Solutions and Quality. With over 30 years of experience in manufacturing technology, primarily in the semiconductor capital equipment industry, Mr. Mahoney brings a unique blend of leadership and technical expertise gained over a distinguished career.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Set forth below and elsewhere in this Annual Report on Form 10-K and in other documents we file with the SEC are risks and uncertainties that could cause actual results to differ materially from the results contemplated by the forward-looking statements contained in this Annual Report on Form 10-K. It is not possible to predict or identify all such risk factors. Consequently, the following is not a complete discussion of all potential risks or uncertainties.</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semiconductor chip manufacturers do not make sufficient capital expenditures, our sales and profitability will be harmed.</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New systems orders and used tool sales depend upon demand from semiconductor chip manufacturers who build or expand fabrication facilities. When the rate of construction or expansion of fabrication facilities declines, demand for our systems will decline, reducing our revenue. In addition, all or a portion of the demand for increased capacity may be satisfied by a semiconductor chip manufacturer’s ability to reconfigure and re-use equipment they already own. Revenue decline also hurts our profitability because our established cost structure and our continued investments in engineering, research and development, and marketing necessary to develop new products and to maintain extensive customer service and support capabilities, limit our ability to reduce expenses in proportion to declining sales.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reliable new or enhanced products and services that meet the needs of semiconductor chip manufacturers, our results will suffer.</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Rapid technological changes in semiconductor chip manufacturing processes require us to respond quickly to changing customer requirements. Our future success will depend in part upon our ability to develop, manufacture and successfully introduce new systems and product lines with improved capabilities. This will depend upon a variety of factors, including new product selection, timely and efficient completion of product design and development as well as manufacturing and assembly processes, product performance in the field and effective sales and marketing. In particular:</w:t>
      </w:r>
    </w:p>
    <w:p>
      <w:pPr>
        <w:spacing w:after="0" w:line="183" w:lineRule="exact"/>
        <w:rPr>
          <w:sz w:val="20"/>
          <w:szCs w:val="20"/>
          <w:color w:val="auto"/>
        </w:rPr>
      </w:pPr>
    </w:p>
    <w:p>
      <w:pPr>
        <w:ind w:left="1000" w:right="420" w:hanging="320"/>
        <w:spacing w:after="0" w:line="312"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continue to develop competitive technical specifications for new systems, or enhancements to our existing systems, and manufacture and ship these systems or enhancements in volume in a timely manner.</w:t>
      </w:r>
    </w:p>
    <w:p>
      <w:pPr>
        <w:spacing w:after="0" w:line="139" w:lineRule="exact"/>
        <w:rPr>
          <w:rFonts w:ascii="Times New Roman" w:cs="Times New Roman" w:eastAsia="Times New Roman" w:hAnsi="Times New Roman"/>
          <w:sz w:val="17"/>
          <w:szCs w:val="17"/>
          <w:color w:val="auto"/>
        </w:rPr>
      </w:pPr>
    </w:p>
    <w:p>
      <w:pPr>
        <w:ind w:left="1000" w:right="380" w:hanging="320"/>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accurately predict the schedule on which our customers will be ready to transition to new products, in order to accurately forecast demand for new products while managing the transition from older products.</w:t>
      </w:r>
    </w:p>
    <w:p>
      <w:pPr>
        <w:spacing w:after="0" w:line="175" w:lineRule="exact"/>
        <w:rPr>
          <w:rFonts w:ascii="Times New Roman" w:cs="Times New Roman" w:eastAsia="Times New Roman" w:hAnsi="Times New Roman"/>
          <w:sz w:val="18"/>
          <w:szCs w:val="18"/>
          <w:color w:val="auto"/>
        </w:rPr>
      </w:pPr>
    </w:p>
    <w:p>
      <w:pPr>
        <w:ind w:left="1000" w:right="100" w:hanging="320"/>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effectively manage product reliability or quality problems that often exist with new systems, in order to avoid higher manufacturing costs, delays in acceptance and payment and additional service and warranty expenses, and ultimately, a lack of repeat orders.</w:t>
      </w:r>
    </w:p>
    <w:p>
      <w:pPr>
        <w:spacing w:after="0" w:line="17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products must be accepted in the marketplace.</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Our failure to meet any of these requirements will have a material adverse effect on our operating results and profitability.</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Axcelis is subject to the risks of operating internationally: we derive a substantial portion of our revenue from outside the United States, especially from Asia.</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substantially dependent on sales of our products and services to customers outside the United States. International sales, including export sales from our U.S. manufacturing facilities to non-U.S. customers and sales by our non-U.S. subsidiaries, accounted for 83.7% of total revenue in 2025. Customers based in Asia dominate our international sales. Ion implanter system shipments to customers in Asia represented 76.0% of total system revenue in 2025. We anticipate that international sales will continue to account for a significant portion of our revenue. In particular, we expect</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that sales to Chinese customers (both global and domestic Chinese chip manufacturers) will continue to represent a significant portion of our total sales, creating both risk and opportunity.</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U.S. export controls on shipments to Chinese customers have been notably increasing since 2020. Since the placement of SMIC on the U.S. Entity List in 2020, we are required to obtain export control licenses to ship to mature process SMIC fabs, which to date, we have been able to obtain. Other chipmakers have been placed on the Entity List, some with, and some without, a similar policy allowing licensed shipments on specified conditions. An export controls regulatory framework issued by the U.S. in October 2022 and supplemented in 2023, prohibits all semiconductor equipment shipments to Chinese customers (other than certain multi-nationals) who are producing or developing logic, DRAM and NAND chips meeting specific advanced parameters. While these regulations have further excluded exports to certain Chinese customers, we currently are able to continue to ship to the majority of our Chinese customers. In general, however, continuing revenue from Chinese customers is at higher risk than continuing revenue from customers in other international locations because of trade tensions between the United States government and the Chinese government, and other challenges reflecting China’s stage of development and rapid growth.</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Increased U.S. export controls and other political and trade tensions exacerbate the risk that Chinese customers will change suppliers to non-U.S. vendors, such as Advanced Ion Beam Technology, Inc., Nissin Ion Equipment Co., Ltd. and Sumitomo Heavy Industries Ion Technology Co., Ltd. In addition, two Chinese entities, known as Kingstone Semiconductor and CETC Electronics Equipment Group Co., Ltd., continue to develop ion implanters for the Chinese domestic market. The loss of a significant customer or any reduction or delays in our ability to ship to any significant customer will adversely affect us.</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source a substantial portion of our materials from outside of the United States. Because of our dependence upon international sales and our global supply chain, our results and prospects may be adversely affected by a number of factors, including:</w:t>
      </w:r>
    </w:p>
    <w:p>
      <w:pPr>
        <w:spacing w:after="0" w:line="176" w:lineRule="exact"/>
        <w:rPr>
          <w:sz w:val="20"/>
          <w:szCs w:val="20"/>
          <w:color w:val="auto"/>
        </w:rPr>
      </w:pPr>
    </w:p>
    <w:p>
      <w:pPr>
        <w:ind w:left="1000" w:right="620" w:hanging="320"/>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resulting in more burdensome governmental controls, tariffs, restrictions, embargoes or export license requirements;</w:t>
      </w: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4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49" w:lineRule="exact"/>
        <w:rPr>
          <w:rFonts w:ascii="Times New Roman" w:cs="Times New Roman" w:eastAsia="Times New Roman" w:hAnsi="Times New Roman"/>
          <w:sz w:val="18"/>
          <w:szCs w:val="18"/>
          <w:color w:val="auto"/>
        </w:rPr>
      </w:pPr>
    </w:p>
    <w:p>
      <w:pPr>
        <w:ind w:left="1000" w:right="280" w:hanging="320"/>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health emergencies, such as pandemics have the potential to disrupt our manufacturing operations and those of our supply chain, as well as cause our customers to delay or cancel shipments;</w:t>
      </w: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accounts receivable collections;</w:t>
      </w:r>
    </w:p>
    <w:p>
      <w:pPr>
        <w:spacing w:after="0" w:line="4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payment terms beyond those customarily offered in the United States;</w:t>
      </w:r>
    </w:p>
    <w:p>
      <w:pPr>
        <w:spacing w:after="0" w:line="4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suppliers, service providers or representatives outside of the United States;</w:t>
      </w:r>
    </w:p>
    <w:p>
      <w:pPr>
        <w:spacing w:after="0" w:line="36"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subsidiary operations; and</w:t>
      </w:r>
    </w:p>
    <w:p>
      <w:pPr>
        <w:spacing w:after="0" w:line="4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tariffs on our business is difficult to predict, and may change substantially and without notice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U.S. government has proposed or enacted tariffs and substantial changes to trade policies, which could adversely affect our business. In August 2025, the U.S. Court of Appeals for the Federal Circuit ruled that the tariffs imposed by the current Federal administration exceed presidential authority and therefore are invalid, and in February 2026, the U.S. Supreme Court affirmed such decision. Following the ruling, the current Federal administration signed an executive order imposing a 10% “global tariff” and later indicated an intention to increase such “global tariff” to 15%, effective immediately, using presidential powers under certain U.S. trade laws. If implemented, such tariffs can remain in effect for up to 150 days, which may be extended by the U.S. Congress. The current Federal administration may continue to impose additional tariffs under other U.S. trade laws. The Company cannot predict what additional changes to trade policy will be made by the current Federal administration or Congress, including whether existing tariff policies will be maintained or modified, what materials or products may be subject to such policies or whether the entry into new bilateral or multilateral trade agreements, or the amendment or termination of existing trade agreements, will occur, nor can we predict the effects that any such changes would have on our business.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upon suppliers for many components and sub-assemblies could result in increased costs or delays in the manufacture and sale of our products.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rely to a substantial extent on outside vendors to manufacture many of the components and sub-assemblies of our products. We obtain many of these components and sub-assemblies from a limited group of suppliers. Accordingly, based on situations outside of our control, we may be unable to obtain an adequate supply of required components on a timely basis, on price and other terms acceptable to us, or at all. In addition, we often quote prices to our customers and accept customer orders for our products before purchasing components and sub-assemblies from our suppliers. If our suppliers increase the cost of components or sub-assemblies, we may not have alternative sources of supply and may not be able to raise the price of our products to cover all or part of the increased cost of components, negatively impacting our gross margin.</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manufacture of some of these components and sub-assemblies is an extremely complex process and requires long lead times. As a result, we could experience delays or shortages. If we are unable to obtain adequate and timely deliveries of our required components or sub-assemblies, we may have to seek alternative sources of supply or manufacture these components internally. This could delay our ability to manufacture or to ship our systems on a timely basis, causing us to lose sales, incur additional costs, delay new product introductions, and suffer harm to our reputation.</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Moreover, if actual demand for Axcelis’ products is different than expected, Axcelis may purchase more or fewer parts than necessary or incur costs for canceling, postponing, or expediting delivery of parts. If Axcelis purchases inventory in anticipation of customer demand that does not materialize, or if customers reduce or delay orders, Axcelis may incur excess inventory charges.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i w:val="1"/>
          <w:iCs w:val="1"/>
          <w:color w:val="auto"/>
        </w:rPr>
        <w:t>A significant portion of our revenue depends on customers electing to buy aftermarket products and services from Axcelis.</w:t>
      </w:r>
    </w:p>
    <w:p>
      <w:pPr>
        <w:spacing w:after="0" w:line="24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Historically, a significant portion of our product revenue and all of our service revenue relates to our sale of “aftermarket” products and services, which include parts, consumables, upgrades, service contracts, and time and materials billings. Some of our customers purchase fewer aftermarket products and services, often training their own staff to maintain and service semiconductor capital equipment rather than relying on the equipment manufacturer for these services. In addition, we compete against third-party parts suppliers for the sale of parts and consumables that are not protected by patents or otherwise proprietary. To the extent our customers purchase parts and services from other vendors or provide their own system maintenance labor, our revenue and profitability will be reduced.</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successfully in the highly competitive semiconductor capital equipment industry, our sales and profitability will decline.</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ion implant segment is highly competitive and includes one company with substantially greater financial, engineering, manufacturing, marketing and customer service and support resources that may better position it to compete successfully than we can, as well as several smaller companies that could provide innovative systems with technology that may have performance advantages. We expect our competitors to continue to improve the design and performance of their existing products and processes and to introduce new products and processes with improved price and performance characteristics. If we are unable to improve or introduce competing products when demanded by the markets, our business will be harmed. Finally, if we must lower prices to remain competitive without commensurate cost of goods savings, our gross margin and profitability will be adversely affected.</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sales to a limited number of large customers; the loss of a significant customer or any reduction in orders from them could materially affect our sales.</w:t>
      </w:r>
    </w:p>
    <w:p>
      <w:pPr>
        <w:spacing w:after="0" w:line="15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sold a significant portion of our products and services to a limited number of semiconductor chip manufacturers. In 2025, our top ten customers accounted for 55.2% of our net sales, in comparison to 45.9% and 51.7% in 2024 and 2023, respectively. None of our customers have entered into a long-term agreement requiring it to purchase our products. Our customers located in China represent a significant portion of our revenue, and are subject to</w:t>
      </w:r>
    </w:p>
    <w:p>
      <w:pPr>
        <w:sectPr>
          <w:pgSz w:w="11900" w:h="16838" w:orient="portrait"/>
          <w:cols w:equalWidth="0" w:num="1">
            <w:col w:w="9120"/>
          </w:cols>
          <w:pgMar w:left="1380" w:top="513" w:right="13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U.S. export controls restrictions, as discussed above. Although the composition of the group comprising our largest customers has varied from year to year, the loss of a significant customer or any reduction or delays in orders from any significant customer will adversely affect us. Consolidation of semiconductor chip manufacturers may result in the loss of a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currency risk.</w:t>
      </w:r>
    </w:p>
    <w:p>
      <w:pPr>
        <w:spacing w:after="0" w:line="229"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18"/>
          <w:szCs w:val="18"/>
          <w:color w:val="auto"/>
        </w:rPr>
        <w:t>Substantially all of our system sales are billed in U.S. dollars. We also pay almost all non-U.S. vendors providing materials, components, and subassemblies to our U.S. factory in U.S. dollars. Aftermarket revenues of our non-U.S. subsidiaries are denominated in both local currency and U.S. dollars. The majority of operating expenses of these non-U.S. subsidiaries, are received and incurred in local currencies. The establishment of the Axcelis Asia Operations Center in South Korea has increased the volume of our transactions in non-U.S. dollar currencies and increased the impact of foreign exchange gain / loss on the Company’s financial results. The Company experiences translation adjustments when local currency accounts payable on non-U.S. subsidiary books are re-measured for consolidated financial reporting. Similarly, the translation of long-term asset and liability values to U.S. dollars are recorded in stockholders’ equity as an element of accumulated other comprehensive income (loss). The value of the asset or liability in U.S. dollars will increase or decrease relative to the local currency based on changes in the exchange rate between the two currencies over the period. As a result, any unplanned non-cash gains or losses are recorded in the Company’s consolidated financial statements. Accordingly, fluctuations in exchange rates can impact reported revenues, expense, and profitability and asset values in our Consolidated Financial Statements. During the year ended December 31, 2025, approximately 11.4% of our revenue was derived in local currencies from foreign operations with this inherent risk. In addition, at December 31, 2025, our operations outside of the United States accounted for approximately 11.9% of our total assets, the majority of which was denominated in currencies other than the U.S. dollar.</w:t>
      </w:r>
    </w:p>
    <w:p>
      <w:pPr>
        <w:spacing w:after="0" w:line="19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expand our business if we are not able to hire, retain and integrate qualified personnel.</w:t>
      </w:r>
    </w:p>
    <w:p>
      <w:pPr>
        <w:spacing w:after="0" w:line="15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business depends on our ability to attract and retain qualified, experienced employees. There is substantial competition for experienced engineering, technical, financial, sales and marketing personnel in our industry. In particular, we must attract and retain highly skilled design and process engineers. Competition for such personnel is intense, both in the Boston metropolitan area and in other locations around the world. If we are unable to retain our existing key personnel, or attract and retain additional qualified personnel, we may experience insufficient levels of staffing to fully develop, manufacture and market our products and perform services for our customers. As a result, our growth could be limited or we could fail to meet our delivery commitments or experience deterioration in service levels or decreased customer satisfaction, all of which could adversely affect our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significantly.</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derive our new systems revenue from the sale of a small number of expensive products to a relatively small number of customers. The selling prices on our ion implant systems range from approximately $2.6 million to $12.0 million. We also sell used equipment in our aftermarket business. Each sale, or failure to make a sale, may have a significant effect on us in a particular quarter. In a given quarter, a number of factors can adversely affect our revenue and results, including changes in our product mix, increased fixed expenses per unit due to reductions in the number of products manufactured, and higher fixed costs due to increased levels of research and development and expansion of our worldwide sales and marketing organization. Our financial results also fluctuate based on gross profit realized on sales. A variety of factors may cause gross profit as a percentage of revenue to vary, including the mix and average selling prices of products sold, costs to manufacture and customize systems, warranty costs and the impact of changes to inventory reserves. New product introductions may also affect our gross margin. Fluctuations in our financial results may have an adverse effect on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fall short of anticipated levels because forecasting revenue and profitability is complex and may be inaccurate.</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Management may from time to time provide financial forecasts to investors. These forecasts are based on assumptions, which are believed to be reasonable when made, of the timing of system orders, system shipments, system acceptance and aftermarket revenue. Any of these assumptions can prove erroneous and the level of revenue recognizable in a particular quarter may vary from the forecast. Our lengthy sales cycle, coupled with customers’ competing capital budget considerations, make revenue difficult to predict. In addition, our backlog at the beginning of a quarter typically does not include all orders required to achieve our sales objectives for that quarter and is not a reliable indicator of our future sales. As a result, our revenue and operating results for a quarter depend on our shipping systems on previous orders as scheduled during that quarter, receiving customer acceptance of previously shipped products, and obtaining new orders for products and services to be provided within that same quarter. Any delay in, or cancellation of, scheduled shipments and customer acceptances or in revenue from new orders, including aftermarket revenue, could materially affect our financial results.</w:t>
      </w:r>
    </w:p>
    <w:p>
      <w:pPr>
        <w:spacing w:after="0" w:line="19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Accounting rules addressing revenue recognition add more complexity in forecasting quarterly revenue and profitability. Orders for our products usually contain multiple performance obligations that result in revenue deferral under generally accepted accounting principles. Due to the foregoing factors, investors should understand that our actual financial results for a quarter may vary significantly from our forecasts of financial performance for that quarter. Failure to meet forecasted financial performance may have an adverse effect on the price of our common stock.</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semiconductor equipment industry is cyclical, and we expect that demand for our products will increase and decrease, making it difficult to manage the business and potentially causing harm to our sales and profitability.</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semiconductor industry is cyclical, experiencing upturns when the demand for our products is high and downturns when our customers are not investing in new or expanded fabrication facilities. From time to time, inventory buildups in the semiconductor device industry produce an oversupply of semiconductors. This can cause a reduced demand for capital equipment such as our products, negatively impacting our sales and level of profitability. Our revenue can vary significantly from one point in the cycle to another, making it difficult to manage the business, both when revenue is increasing and when it is decreasing. In addition, a substantial portion of our operating expenses do not fluctuate with changes in volume. Significant decreases in revenue can therefore have a disproportionate effect on profitability. In addition, reduced demand for our products and services may require Axcelis to implement cost reduction efforts, including restructuring activities, which may adversely affect Axcelis’ ability to capitalize on opportunities that arise in the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Axcelis is exposed to risks related to cybersecurity threats and incidents.</w:t>
      </w:r>
    </w:p>
    <w:p>
      <w:pPr>
        <w:spacing w:after="0" w:line="27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 the conduct of our business, Axcelis collects, uses, transmits, and stores data on information technology systems. This data includes confidential information belonging to Axcelis, our employees or our customers or other business partners, some of which is personally-identifiable information of individuals. As reported in the 2025 Verizon Data Breach Investigation Report, cyber-attacks in the manufacturing industries are mostly financially motivated with another major motive being espionage. Axcelis has been and expects to continue to be subject to cybersecurity threats and incidents, including through employee error or misuse; individual attempts to gain unauthorized access to information systems; and sophisticated and targeted measures known as advanced persistent threats, none of which have had a material impact on the Company to date.</w:t>
      </w:r>
    </w:p>
    <w:p>
      <w:pPr>
        <w:spacing w:after="0" w:line="19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Axcelis implements a “Layered Security Strategy” that aligns with National Institute of Standards and Technology Cybersecurity Framework. To do so, we devote resources to network security, data encryption, employee training and other measures to protect our systems and data from unauthorized access or misuse. This includes continuously monitoring and reacting to the cybersecurity environment, by implementing best-in-class solutions from several vendors. On an on-going basis, we engage a cybersecurity consultant to validate and advise on the Company’s cyber landscape and to drive employee vigilance through employee cyber training and messaging. We continually replace less secure legacy systems to improve internal and external cyber defenses and maintain a cyber incident response plan including reporting and recovery processes. See Item 1C “Cybersecurity” below. In addition, as discussed in our proxy statement, the Audit Committee and</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full Board of Directors receive quarterly reports on cybersecurity risks and annual reports on management initiatives to promote cybersecurity.</w:t>
      </w:r>
    </w:p>
    <w:p>
      <w:pPr>
        <w:spacing w:after="0" w:line="16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However, depending on their nature and scope, cybersecurity incidents could result in business disruption; the misappropriation, corruption or loss of confidential information and critical data (Axcelis’ and that of third parties); reputational damage; unnecessary expense; litigation with third parties; diminution in the value of Axcelis’ investment in research, development, and engineering; data privacy issues; and increased cybersecurity protection and remediation costs. These adverse outcomes could negatively impact our revenues, expenses, profitability, and asset values.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Axcelis is subject to risks associated with compliance with environmental, health and safety regulations.</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Axcelis is subject to environmental, health and safety regulations in connection with its global business operations, including but not limited to: regulations related to the development, manufacture, shipping, and use of its products; handling, discharge, recycling and disposal of hazardous materials used in its products or in producing its products; the operation of its facilities; and the use of its real property. The failure or inability to comply with existing or future environmental and safety regulations could result in: significant remediation or other legal liabilities; the imposition of penalties and fines; restrictions on the development, manufacture, sale, shipment or use of certain of its products; limitations on the operation of its facilities or ability to use its real property; and a decrease in the value of its real property. Axcelis could be required to alter its manufacturing and operations and incur substantial expense in order to comply with environmental, health and safety regulations. Any failure to comply with these regulations could subject Axcelis to significant costs and liabilities that could adversely affect Axcelis’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could be adversely affected by global pandemics.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Global pandemics have in the past and may again in the future cause disruptions and restrictions on our operations and ability to travel, and similar disruptions and restrictions impacting our suppliers or customers could adversely affect our sales and operating results. Axcelis’ products rely on an extensive global supply chain, and shortages of certain parts could impact our ability to meet customers’ shipment expectations, negatively affecting our revenues. Such pandemics may drive changes in the demand for certain of our customers’ products, resulting in their delay or cancelation of purchases from us. The extent to which pandemics may impact our results will depend on future developments, which are highly uncertain and cannot be predicted.</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technology may be vulnerable to efforts by competitors to challenge or design around, potentially reducing our market share.</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rely on a combination of patents, copyrights, trademark and trade secret laws, non-disclosure agreements and other intellectual property protection methods to protect our proprietary technology. Despite our efforts to protect our intellectual property, our competitors may be able to challenge, design around or legitimately use the proprietary technology embedded in our systems or other technology or information used in our business. If this occurs, the value of our proprietary technology will be diminished. Our means of protecting our proprietary rights may not be adequate and our patents may not be sufficient to prevent others from using technology that is similar to or the same as our technology. Patents issued to us may be challenged and might be invalidated or circumvented and any rights granted under our patents may not provide adequate protection to us. Our competitors may independently develop similar technology, duplicate features of our products or design around patents that may be issued to us. As a result of these threats to our proprietary technology, we may have to resort to costly litigation to enforce or defend our intellectual property rights. Finally, all patents expire after a period of time (in the U.S., patents expire 20 years from the date of filing of the patent application). Our market share could be negatively impacted by the invalidation or expiration of a patent which had created a barrier for our competitors.</w:t>
      </w:r>
    </w:p>
    <w:p>
      <w:pPr>
        <w:spacing w:after="0" w:line="19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Axcelis also has agreements with third parties for licensing of patented or proprietary technology with Axcelis as the licensor or the licensee. Termination of license agreements or claims of infringement with respect to such technology could have an adverse impact on our financial performance or ability to ship products with existing configurations.</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(or customers that we indemnify) might face intellectual property infringement claims or patent disputes that may be costly to resolve and, if resolved against us, could be very costly to us and prevent us from making and selling our systems.</w:t>
      </w:r>
    </w:p>
    <w:p>
      <w:pPr>
        <w:spacing w:after="0" w:line="13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claims and proceedings may be asserted against us relative to patent validity or infringement matters. We typically agree to indemnify our customers from liability to third parties for intellectual property infringement arising from the use of our products in their intended manner. Therefore, we may receive notification from customers who believe that we owe them indemnification or other obligations related to infringement claims made against the customers by third parties. Our involvement in any patent dispute or other intellectual property dispute or action to protect trade secrets, even if the claims are without merit, could be very expensive and could divert the attention of our management. Adverse determinations in any litigation could subject us to significant liabilities to third parties, require us to remove certain features from our products or seek costly licenses from third parties or prevent us from manufacturing and selling our systems. In addition, infringement indemnification clauses in system sale agreements may require us to take other actions or require us to provide certain remedies to customers who are exposed to indemnified liabilities. Any of these situations could have a material adverse effect on our business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operations were to be disrupted at Axcelis’ manufacturing facilities, it would have a negative impact on our business.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primary manufacturing facility is located in Massachusetts, with a smaller facility located in South Korea. Our operations could be subject to disruption for a variety of reasons, including, but not limited to severe weather events, other effects of climate change, natural disasters, work stoppages, operational facility constraints and terrorism. Such disruption could cause delays in shipments of products to our customers and could result in cancellation of orders or loss of customers, which could seriously harm our business.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have access to capital on favorable terms, on the timeline we anticipate, or at all, our financial condition and results of operations could be materially adversely affected.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require a substantial amount of capital to meet our operating requirements and remain competitive. We routinely incur significant costs to purchase inventory to meet expected system sales, to develop and introduce new products, and to place evaluation systems at new customer sites. There can be no assurance that we will realize a return on the capital expended. Although our current cash levels and borrowing capacity are expected to be adequate for our foreseeable cash requirements, if our operating results falter, or our cash flow or capital resources prove inadequate, we may incur debt to fund these requirements. Significant volatility or disruption in the global financial markets may result in us not being able to obtain additional financing on favorable terms, on the timeline we anticipate, or at all, and we may not be able to refinance, if necessary, any outstanding debt when due, all of which could have a material adverse effect on our financial condition. Any inability to obtain financing on favorable terms, on the timeline we anticipate, or at all, may cause us to curtail our operations significantly, reduce planned capital expenditures and research and development, or obtain funds through arrangements that management does not currently anticipate, including disposing of our assets and relinquishing rights to certain technologies, the occurrence of any of which may significantly impair our ability to remain competitive, and materially and adversely affect our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229"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The stock markets in general, and the markets for semiconductor equipment stocks in particular, have experienced extreme volatility that has often been unrelated to the operating performance of particular companies. These broad market fluctuations may adversely affect the trading price of our common stock. The market price of the common stock may also fluctuate significantly in response to the following factors, among others, some of which are beyond our control:</w:t>
      </w:r>
    </w:p>
    <w:p>
      <w:pPr>
        <w:spacing w:after="0" w:line="164" w:lineRule="exact"/>
        <w:rPr>
          <w:sz w:val="20"/>
          <w:szCs w:val="20"/>
          <w:color w:val="auto"/>
        </w:rPr>
      </w:pPr>
    </w:p>
    <w:p>
      <w:pPr>
        <w:ind w:left="680" w:hanging="32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results;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repurchase of shares of our common stock;</w:t>
      </w:r>
    </w:p>
    <w:p>
      <w:pPr>
        <w:spacing w:after="0" w:line="4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w:t>
      </w:r>
    </w:p>
    <w:p>
      <w:pPr>
        <w:spacing w:after="0" w:line="4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joint</w:t>
      </w:r>
    </w:p>
    <w:p>
      <w:pPr>
        <w:sectPr>
          <w:pgSz w:w="11900" w:h="16838" w:orient="portrait"/>
          <w:cols w:equalWidth="0" w:num="1">
            <w:col w:w="9080"/>
          </w:cols>
          <w:pgMar w:left="1380" w:top="513" w:right="14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ventures, capital commitments, new products or product enhancements;</w:t>
      </w:r>
    </w:p>
    <w:p>
      <w:pPr>
        <w:spacing w:after="0" w:line="36" w:lineRule="exact"/>
        <w:rPr>
          <w:sz w:val="20"/>
          <w:szCs w:val="20"/>
          <w:color w:val="auto"/>
        </w:rPr>
      </w:pPr>
    </w:p>
    <w:p>
      <w:pPr>
        <w:ind w:left="680" w:hanging="32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customer or failure to complete significant transactions;</w:t>
      </w:r>
    </w:p>
    <w:p>
      <w:pPr>
        <w:spacing w:after="0" w:line="4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49" w:lineRule="exact"/>
        <w:rPr>
          <w:rFonts w:ascii="Times New Roman" w:cs="Times New Roman" w:eastAsia="Times New Roman" w:hAnsi="Times New Roman"/>
          <w:sz w:val="18"/>
          <w:szCs w:val="18"/>
          <w:color w:val="auto"/>
        </w:rPr>
      </w:pPr>
    </w:p>
    <w:p>
      <w:pPr>
        <w:ind w:left="680" w:right="260" w:hanging="324"/>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positions adopted by investor stewardship groups and proxy advisory firms regarding desired environmental, social and governance disclosures, policies, ranking systems, and other initiatives.</w:t>
      </w:r>
    </w:p>
    <w:p>
      <w:pPr>
        <w:spacing w:after="0" w:line="20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in the past has been significantly volatile, and we cannot accurately predict every potential risk that may materially and adversely affect our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jurisdictions with complex and changing tax laws.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laws and regulations in various jurisdictions that determine how much profit has been earned and when it is subject to taxation in that jurisdiction. In the United States, for example, the One Big Beautiful Bill Act (“OB3”) was enacted in the third quarter of 2025. For the year ended December 31, 2025, the OB3 did not have a material impact on our effective tax rate or tax expense.</w:t>
      </w:r>
    </w:p>
    <w:p>
      <w:pPr>
        <w:spacing w:after="0" w:line="180"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Corporate tax reform, anti-base-erosion rules and tax transparency continue to be high legislative and regulatory priorities in many jurisdictions. Changes in laws and regulations regarding these matters could impact us in the jurisdictions where we are deemed to earn income, which could in turn adversely affect our tax liability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exchange ratio is fixed and will not be adjusted in the event of any change in either Axcelis’ or Veeco’s stock price.</w:t>
      </w:r>
    </w:p>
    <w:p>
      <w:pPr>
        <w:spacing w:after="0" w:line="22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Upon completion of the merger, each share of Veeco common stock issued and outstanding immediately prior to the Merger will be converted into and become exchangeable for 0.3575 shares of Axcelis common stock. This exchange ratio is fixed in the Merger Agreement and will not be adjusted for changes in the market price of either Axcelis common stock or Veeco common stock. The market prices of Axcelis common stock and Veeco common stock have fluctuated prior to and after the date of the announcement of the Merger Agreement and may continue to fluctuate from the date hereof to the date the Merger is consummated.</w:t>
      </w:r>
    </w:p>
    <w:p>
      <w:pPr>
        <w:spacing w:after="0" w:line="18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Stock price changes may result from a variety of factors, including, among others, general market and economic conditions, changes in Axcelis’ or Veeco’s respective businesses, operations and prospects, short-selling activity, changes in and speculation regarding Axcelis’ and Veeco’s respective businesses, operations and prospects, reductions or changes in U.S. government spending or budgetary policies, market assessments of the likelihood that the merger will be completed and/or expectations regarding the timing thereof, interest rates, general market, industry and economic conditions, including the impact of continued inflation and associated changes in monetary policy, and other factors generally affecting the respective prices of Axcelis’ or Veeco’s common stock, federal, state and local legislation, governmental regulation and legal developments in the industry segments in which Axcelis or Veeco operate, and the timing of the Merger.</w:t>
      </w:r>
    </w:p>
    <w:p>
      <w:pPr>
        <w:spacing w:after="0" w:line="200" w:lineRule="exact"/>
        <w:rPr>
          <w:sz w:val="20"/>
          <w:szCs w:val="20"/>
          <w:color w:val="auto"/>
        </w:rPr>
      </w:pPr>
    </w:p>
    <w:p>
      <w:pPr>
        <w:spacing w:after="0" w:line="208" w:lineRule="exact"/>
        <w:rPr>
          <w:sz w:val="20"/>
          <w:szCs w:val="20"/>
          <w:color w:val="auto"/>
        </w:rPr>
      </w:pPr>
    </w:p>
    <w:p>
      <w:pPr>
        <w:jc w:val="both"/>
        <w:ind w:right="400" w:firstLine="360"/>
        <w:spacing w:after="0" w:line="282" w:lineRule="auto"/>
        <w:rPr>
          <w:sz w:val="20"/>
          <w:szCs w:val="20"/>
          <w:color w:val="auto"/>
        </w:rPr>
      </w:pPr>
      <w:r>
        <w:rPr>
          <w:rFonts w:ascii="Times New Roman" w:cs="Times New Roman" w:eastAsia="Times New Roman" w:hAnsi="Times New Roman"/>
          <w:sz w:val="18"/>
          <w:szCs w:val="18"/>
          <w:color w:val="auto"/>
        </w:rPr>
        <w:t>Many of these factors are beyond Axcelis’ and Veeco’s control, and neither Axcelis nor Veeco are permitted to terminate the Merger Agreement solely due to a decline in the market price of the common stock of the other party.</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be delayed or may not be completed and the Merger Agreement may be terminated in accordance with its terms, which could materially and adversely effect Axcelis and/or Veeco.</w:t>
      </w:r>
    </w:p>
    <w:p>
      <w:pPr>
        <w:spacing w:after="0" w:line="159" w:lineRule="exact"/>
        <w:rPr>
          <w:sz w:val="20"/>
          <w:szCs w:val="20"/>
          <w:color w:val="auto"/>
        </w:rPr>
      </w:pPr>
    </w:p>
    <w:p>
      <w:pPr>
        <w:jc w:val="both"/>
        <w:ind w:right="300" w:firstLine="360"/>
        <w:spacing w:after="0" w:line="258" w:lineRule="auto"/>
        <w:rPr>
          <w:sz w:val="20"/>
          <w:szCs w:val="20"/>
          <w:color w:val="auto"/>
        </w:rPr>
      </w:pPr>
      <w:r>
        <w:rPr>
          <w:rFonts w:ascii="Times New Roman" w:cs="Times New Roman" w:eastAsia="Times New Roman" w:hAnsi="Times New Roman"/>
          <w:sz w:val="18"/>
          <w:szCs w:val="18"/>
          <w:color w:val="auto"/>
        </w:rPr>
        <w:t>The Merger is subject to a number of conditions that must be satisfied, some of which are beyond the control of Axcelis and Veeco, may not be satisfied or waived in a timely manner or at all, and, accordingly, the merger may be delayed or not completed. These conditions include: approval for listing on Nasdaq of the shares of Axcelis common stock to be issued in connection with the merger (subject to official notice of issuance), the absence of governmental restraints or prohibitions preventing the consummation of the Merger and the approval of the Merger by the State</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Administration for Market Regulation in the People’s Republic of China. The obligation of each of Axcelis and Veeco to consummate the merger is also conditioned on, among other things, the absence of a material adverse effect on the other party, the truth and correctness of the representations and warranties made by the other party on the date of the merger agreement and on the closing date (subject to certain materiality qualifiers), and the performance by the other party in all material respects of its obligations under the merger agreement. No assurance can be given that the required consents and approvals will be obtained or that the required conditions to closing will be satisfied, and, if all required consents and approvals are obtained and the conditions are satisfied, no assurance can be given as to the terms, conditions and timing of such consents and approvals. Any delay in completing the Merger could cause the combined company not to realize, or to be delayed in realizing, some or all of the benefits that Axcelis and Veeco expect to achieve if the Merger is successfully completed within its expected time frame. Additionally, Axcelis and Veeco may incur significant additional costs in connection with any delay in completing the merger or termination of the Merger Agreement, in addition to significant transaction costs, including legal, financial advisory, accounting and other costs Axcelis and Veeco have already incurred.</w:t>
      </w:r>
    </w:p>
    <w:p>
      <w:pPr>
        <w:spacing w:after="0" w:line="200" w:lineRule="exact"/>
        <w:rPr>
          <w:sz w:val="20"/>
          <w:szCs w:val="20"/>
          <w:color w:val="auto"/>
        </w:rPr>
      </w:pPr>
    </w:p>
    <w:p>
      <w:pPr>
        <w:spacing w:after="0" w:line="206"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If the Merger is not completed for any reason, the ongoing businesses of Axcelis and Veeco may be adversely affected and, without realizing any of the benefits of having completed the Merger, Axcelis and Veeco would be subject to a number of risks, including the following:</w:t>
      </w:r>
    </w:p>
    <w:p>
      <w:pPr>
        <w:spacing w:after="0" w:line="176" w:lineRule="exact"/>
        <w:rPr>
          <w:sz w:val="20"/>
          <w:szCs w:val="20"/>
          <w:color w:val="auto"/>
        </w:rPr>
      </w:pPr>
    </w:p>
    <w:p>
      <w:pPr>
        <w:ind w:left="680" w:right="80" w:hanging="324"/>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may experience negative reactions from the financial markets, including negative impacts on its stock price;</w:t>
      </w:r>
    </w:p>
    <w:p>
      <w:pPr>
        <w:ind w:left="680" w:hanging="324"/>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may experience negative reactions from its suppliers, customers and employees;</w:t>
      </w:r>
    </w:p>
    <w:p>
      <w:pPr>
        <w:spacing w:after="0" w:line="22" w:lineRule="exact"/>
        <w:rPr>
          <w:rFonts w:ascii="Times New Roman" w:cs="Times New Roman" w:eastAsia="Times New Roman" w:hAnsi="Times New Roman"/>
          <w:sz w:val="18"/>
          <w:szCs w:val="18"/>
          <w:color w:val="auto"/>
        </w:rPr>
      </w:pPr>
    </w:p>
    <w:p>
      <w:pPr>
        <w:jc w:val="both"/>
        <w:ind w:left="680" w:right="180" w:hanging="324"/>
        <w:spacing w:after="0" w:line="250"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will be required to pay their respective costs relating to the Merger, such as financial advisory, legal and accounting costs and associated fees and expenses, including, if applicable, a termination fee (with certain exceptions), whether or not the Merger is completed;</w:t>
      </w:r>
    </w:p>
    <w:p>
      <w:pPr>
        <w:spacing w:after="0" w:line="1" w:lineRule="exact"/>
        <w:rPr>
          <w:rFonts w:ascii="Times New Roman" w:cs="Times New Roman" w:eastAsia="Times New Roman" w:hAnsi="Times New Roman"/>
          <w:sz w:val="18"/>
          <w:szCs w:val="18"/>
          <w:color w:val="auto"/>
        </w:rPr>
      </w:pPr>
    </w:p>
    <w:p>
      <w:pPr>
        <w:ind w:left="680" w:right="200" w:hanging="324"/>
        <w:spacing w:after="0" w:line="253"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Merger (including integration planning) will require substantial commitments of time and resources by Axcelis management and Veeco management, which could otherwise have been devoted to day-to-day operations, other strategic opportunities or to other opportunities that may have been beneficial to Axcelis or Veeco, as applicable, as an independent company.</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Uncertainty regarding completion of the Merger may also cause customers, suppliers, vendors, strategic partners or others that deal with Axcelis or Veeco to delay or defer entering into contracts with Axcelis or Veeco or making other decisions concerning Axcelis or Veeco or could cause such customers, suppliers, vendors, strategic partners or others to seek to change or cancel existing business relationships with Axcelis or Veeco, which could negatively affect their respective businesses. Any delay or deferral of those decisions or changes in existing agreements could have a material adverse impact on the respective businesses of Axcelis and Veeco, regardless of whether the Merger is ultimately completed.</w:t>
      </w:r>
    </w:p>
    <w:p>
      <w:pPr>
        <w:spacing w:after="0" w:line="200" w:lineRule="exact"/>
        <w:rPr>
          <w:sz w:val="20"/>
          <w:szCs w:val="20"/>
          <w:color w:val="auto"/>
        </w:rPr>
      </w:pPr>
    </w:p>
    <w:p>
      <w:pPr>
        <w:spacing w:after="0" w:line="21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shares of common stock of the combined company following the completion of the merger may be affected by factors different from, or in addition to, those that historically have affected or currently affect the market prices of shares of Axcelis common stock and Veeco common stock.</w:t>
      </w:r>
    </w:p>
    <w:p>
      <w:pPr>
        <w:spacing w:after="0" w:line="175"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Upon consummation of the Merger, Axcelis stockholders and Veeco stockholders will both hold shares of common stock in the combined company. The businesses of Axcelis and Veeco differ from each other, and, accordingly, the results of operations of the combined company will be affected by some factors that are different from those currently or historically affecting the separate results of operations, as well as the market price of the common stock, of Axcelis and Veeco. Additionally, the market price of the combined company’s common stock may fluctuate significantly following completion of the Merger.</w:t>
      </w:r>
    </w:p>
    <w:p>
      <w:pPr>
        <w:spacing w:after="0" w:line="18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approvals may not be received, may take longer than expected or may impose conditions that are not presently anticipated or that cannot be met.</w:t>
      </w:r>
    </w:p>
    <w:p>
      <w:pPr>
        <w:spacing w:after="0" w:line="159" w:lineRule="exact"/>
        <w:rPr>
          <w:sz w:val="20"/>
          <w:szCs w:val="20"/>
          <w:color w:val="auto"/>
        </w:rPr>
      </w:pPr>
    </w:p>
    <w:p>
      <w:pPr>
        <w:ind w:right="340" w:firstLine="360"/>
        <w:spacing w:after="0" w:line="282" w:lineRule="auto"/>
        <w:rPr>
          <w:sz w:val="20"/>
          <w:szCs w:val="20"/>
          <w:color w:val="auto"/>
        </w:rPr>
      </w:pPr>
      <w:r>
        <w:rPr>
          <w:rFonts w:ascii="Times New Roman" w:cs="Times New Roman" w:eastAsia="Times New Roman" w:hAnsi="Times New Roman"/>
          <w:sz w:val="18"/>
          <w:szCs w:val="18"/>
          <w:color w:val="auto"/>
        </w:rPr>
        <w:t>Consummation of the Merger is conditioned upon, among other things, the approval of the Merger by the State Administration for Market Regulation in the People’s Republic of China. Any such requirements or restrictions may</w:t>
      </w:r>
    </w:p>
    <w:p>
      <w:pPr>
        <w:sectPr>
          <w:pgSz w:w="11900" w:h="16838" w:orient="portrait"/>
          <w:cols w:equalWidth="0" w:num="1">
            <w:col w:w="9120"/>
          </w:cols>
          <w:pgMar w:left="1380" w:top="513" w:right="13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prevent or delay completion of the Merger or may reduce the anticipated benefits of the Merger, which could also have a material adverse effect on the combined company’s business and cash flows, financial condition and results of operations.</w:t>
      </w:r>
    </w:p>
    <w:p>
      <w:pPr>
        <w:spacing w:after="0" w:line="38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Axcelis stockholders and Veeco stockholders will each have reduced ownership and voting interest in the combined company as compared to ownership and voting interest in each of Axcelis and Veeco on a standalone basis.</w:t>
      </w:r>
    </w:p>
    <w:p>
      <w:pPr>
        <w:spacing w:after="0" w:line="159" w:lineRule="exact"/>
        <w:rPr>
          <w:sz w:val="20"/>
          <w:szCs w:val="20"/>
          <w:color w:val="auto"/>
        </w:rPr>
      </w:pPr>
    </w:p>
    <w:p>
      <w:pPr>
        <w:ind w:right="140" w:firstLine="360"/>
        <w:spacing w:after="0" w:line="263" w:lineRule="auto"/>
        <w:rPr>
          <w:sz w:val="20"/>
          <w:szCs w:val="20"/>
          <w:color w:val="auto"/>
        </w:rPr>
      </w:pPr>
      <w:r>
        <w:rPr>
          <w:rFonts w:ascii="Times New Roman" w:cs="Times New Roman" w:eastAsia="Times New Roman" w:hAnsi="Times New Roman"/>
          <w:sz w:val="18"/>
          <w:szCs w:val="18"/>
          <w:color w:val="auto"/>
        </w:rPr>
        <w:t>Upon consummation of the Merger, each Axcelis stockholder and each Veeco stockholder will become a stockholder of the combined company with a percentage ownership of the combined company that is smaller than such stockholder’s percentage ownership of Axcelis or Veeco, as applicable, immediately prior to the effective time of the Merger.</w:t>
      </w:r>
    </w:p>
    <w:p>
      <w:pPr>
        <w:spacing w:after="0" w:line="400"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18"/>
          <w:szCs w:val="18"/>
          <w:color w:val="auto"/>
        </w:rPr>
        <w:t>Because of this, each share of Axcelis common stock and each share of Veeco common stock will represent a smaller percentage ownership of the combined company than it represented in Axcelis or Veeco, respectively. Accordingly, Axcelis stockholders and Veeco stockholders will have less voting power in the combined company than they now have in Axcelis or Veeco and will be able to exercise less influence over the management and policies of the combined company following the consummation of the Merger than they are able to exercise over Axcelis or Veeco, as applicable, immediately prior to the consummation of the Merger.</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may prevent Axcelis and Veeco from entering into certain transactions and taking certain actions that might otherwise be beneficial to Axcelis or Veeco and their respective stockholders</w:t>
      </w:r>
    </w:p>
    <w:p>
      <w:pPr>
        <w:spacing w:after="0" w:line="159" w:lineRule="exact"/>
        <w:rPr>
          <w:sz w:val="20"/>
          <w:szCs w:val="20"/>
          <w:color w:val="auto"/>
        </w:rPr>
      </w:pPr>
    </w:p>
    <w:p>
      <w:pPr>
        <w:jc w:val="both"/>
        <w:ind w:right="480" w:firstLine="360"/>
        <w:spacing w:after="0" w:line="266" w:lineRule="auto"/>
        <w:rPr>
          <w:sz w:val="20"/>
          <w:szCs w:val="20"/>
          <w:color w:val="auto"/>
        </w:rPr>
      </w:pPr>
      <w:r>
        <w:rPr>
          <w:rFonts w:ascii="Times New Roman" w:cs="Times New Roman" w:eastAsia="Times New Roman" w:hAnsi="Times New Roman"/>
          <w:sz w:val="18"/>
          <w:szCs w:val="18"/>
          <w:color w:val="auto"/>
        </w:rPr>
        <w:t>Until the completion of the Merger or the termination of the Merger Agreement in accordance with its terms, Axcelis and Veeco are each prohibited from entering into certain transactions and taking certain actions that might otherwise be beneficial to Axcelis or Veeco and their respective stockholders.</w:t>
      </w:r>
    </w:p>
    <w:p>
      <w:pPr>
        <w:spacing w:after="0" w:line="176"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From and after the date of the Merger Agreement and prior to completion of the Merger, the Merger Agreement restricts Axcelis and Veeco from taking specified actions without the consent of the other party and requires that the business of each company and its respective subsidiaries be conducted in all material respects in the ordinary course of business consistent with past practice. These restrictions, which could be in place for an extended period of time if the completion of the Merger is delayed, may prevent Axcelis or Veeco from making appropriate changes to their respective businesses or organizational structures or from pursuing attractive business opportunities that may arise prior to the completion of the Merger, and could have the effect of delaying or preventing other strategic transactions. Adverse effects arising from the pendency of the Merger could be exacerbated by any delays in consummation of the Merger or termination of the Merger Agreement.</w:t>
      </w:r>
    </w:p>
    <w:p>
      <w:pPr>
        <w:spacing w:after="0" w:line="200" w:lineRule="exact"/>
        <w:rPr>
          <w:sz w:val="20"/>
          <w:szCs w:val="20"/>
          <w:color w:val="auto"/>
        </w:rPr>
      </w:pPr>
    </w:p>
    <w:p>
      <w:pPr>
        <w:spacing w:after="0" w:line="20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against Axcelis and Veeco could prevent or delay the completion of the Merger or result in the payment of damages following completion of the Merger.</w:t>
      </w:r>
    </w:p>
    <w:p>
      <w:pPr>
        <w:spacing w:after="0" w:line="159"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18"/>
          <w:szCs w:val="18"/>
          <w:color w:val="auto"/>
        </w:rPr>
        <w:t>Axcelis stockholders and Veeco stockholders may file lawsuits challenging the Merger or the other transactions contemplated by the Merger Agreement, which may name Axcelis, Veeco and/or members of their respective boards of directors as defendants. The results of any such potential legal proceedings are difficult to predict, and could delay or prevent the Merger from becoming effective in a timely manner. The existence of litigation related to the Merger could affect the likelihood of obtaining the required approval from Axcelis stockholders or Veeco stockholders. Further, one of the conditions to the completion of the Merger is that no law or order by any governmental entity of competent jurisdiction, such as a court, is in effect that prohibits, restrains or makes illegal the consummation of the Merger. As such, if any future legal actions result in a law or order prohibiting the consummation of the Merger, then such law or order may prevent the consummation of the Merger on the agreed terms, within the expected timeframe or at all, any of which could substantially harm Axcelis’ and Veeco’s respective businesses. Moreover, any litigation could be time consuming and expensive, could divert Axcelis and Veeco’s management’s attention away from their regular business and, if any lawsuit is adversely resolved against either Axcelis, Veeco, or members of their respective boards of directors (each of whom Axcelis and Veeco is required to indemnify pursuant to indemnification agreements), could have a material adverse effect on Axcelis or Veeco’s financial condition.</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attract, motivate and retain executives and other key employees could diminish the anticipated benefits of the Merger.</w:t>
      </w:r>
    </w:p>
    <w:p>
      <w:pPr>
        <w:spacing w:after="0" w:line="241"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The success of the Merger will depend in part on the retention of personnel critical to the business and operations of the combined company due to, for example, their technical skills or management expertise. Current and prospective employees of Axcelis and Veeco may experience uncertainty about their future role with Axcelis and Veeco until strategies with regard to these employees’ roles in the combined company are announced or executed, which may impair Axcelis’ and Veeco’s ability to attract, retain and motivate key management, sales, marketing, technical and other personnel prior to and following the Merger. If Axcelis and Veeco are unable to retain personnel, including Axcelis’ and Veeco’s key management, who are critical to the successful integration and future operations of the companies, Axcelis and Veeco could face disruptions in their respective operations, loss of existing customers or loss of sales to existing customers, loss of key information, expertise or know-how, and unanticipated additional recruitment and training costs. In addition, the loss of key personnel could diminish the anticipated benefits of the Merger.</w:t>
      </w:r>
    </w:p>
    <w:p>
      <w:pPr>
        <w:spacing w:after="0" w:line="194"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If key employees of Axcelis or Veeco depart, the integration of the companies may be more difficult and the combined company’s business following the Merger may be harmed. Furthermore, the combined company may have to incur significant costs in identifying, hiring and retaining replacements for departing employees and may lose significant expertise and talent relating to the business of each of Axcelis or Veeco, and the combined company’s ability to realize the anticipated benefits of the Merger may be adversely affected. In addition, there could be disruptions to or distractions for the workforce and management associated with activities of labor unions or integrating employees into the combined company. No assurance can be given that the combined company will be able to attract or retain key employees of Axcelis and Veeco to the same extent that those companies have been able to attract or retain their own employees in the past.</w:t>
      </w:r>
    </w:p>
    <w:p>
      <w:pPr>
        <w:spacing w:after="0" w:line="200" w:lineRule="exact"/>
        <w:rPr>
          <w:sz w:val="20"/>
          <w:szCs w:val="20"/>
          <w:color w:val="auto"/>
        </w:rPr>
      </w:pPr>
    </w:p>
    <w:p>
      <w:pPr>
        <w:spacing w:after="0" w:line="204"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Whether or not the Merger is completed, the announcement and pendency of the Merger will divert significant management resources to complete the Merger, which could have a material adverse effect on Axcelis’ and Veeco’s respective businesses, financial results, and/or market prices.</w:t>
      </w:r>
    </w:p>
    <w:p>
      <w:pPr>
        <w:spacing w:after="0" w:line="175"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color w:val="auto"/>
        </w:rPr>
        <w:t>Whether or not the Merger is completed, the announcement and pendency of the Merger could cause disruptions in the businesses of Axcelis and Veeco by directing the attention of management of each of Axcelis and Veeco toward the completion of the Merger. Axcelis and Veeco have each diverted significant management resources in an effort to complete the Merger and are each subject to restrictions contained in the Merger Agreement on the conduct of their respective businesses in the period prior to the completion of the Merger. If the Merger is not completed, Axcelis and Veeco will have incurred significant costs, including the diversion of management resources, for which they will have received little or no benefit.</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combined company’s common stock may be volatile, and holders of the combined company’s common stock could lose a significant portion of their investment due to decreases in the market price of the combined company’s common stock following completion of the Merger.</w:t>
      </w:r>
    </w:p>
    <w:p>
      <w:pPr>
        <w:spacing w:after="0" w:line="175"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The market price of the combined company’s common stock may be volatile, and following completion of the Merger, stockholders may not be able to resell their Axcelis common stock at or above the price at which they acquired the common stock pursuant to the merger agreement or otherwise due to fluctuations in its market price, including changes in price caused by factors unrelated to the combined company’s operating performance or prospects.</w:t>
      </w:r>
    </w:p>
    <w:p>
      <w:pPr>
        <w:spacing w:after="0" w:line="180"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Specific factors that may have a significant effect on the market price for the combined company’s common stock include, among others, the following:</w:t>
      </w:r>
    </w:p>
    <w:p>
      <w:pPr>
        <w:spacing w:after="0" w:line="162" w:lineRule="exact"/>
        <w:rPr>
          <w:sz w:val="20"/>
          <w:szCs w:val="20"/>
          <w:color w:val="auto"/>
        </w:rPr>
      </w:pPr>
    </w:p>
    <w:p>
      <w:pPr>
        <w:ind w:left="680" w:right="320" w:hanging="324"/>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 market analyst recommendations or earnings estimates regarding the combined company’s common stock, other companies comparable to it or companies in the industries they serve;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80" w:hanging="324"/>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the combined company’s operating results or future prospects;</w:t>
      </w:r>
    </w:p>
    <w:p>
      <w:pPr>
        <w:spacing w:after="0" w:line="27"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reaction to public announcements by the combined company;</w:t>
      </w:r>
    </w:p>
    <w:p>
      <w:pPr>
        <w:spacing w:after="0" w:line="22" w:lineRule="exact"/>
        <w:rPr>
          <w:rFonts w:ascii="Times New Roman" w:cs="Times New Roman" w:eastAsia="Times New Roman" w:hAnsi="Times New Roman"/>
          <w:sz w:val="18"/>
          <w:szCs w:val="18"/>
          <w:color w:val="auto"/>
        </w:rPr>
      </w:pPr>
    </w:p>
    <w:p>
      <w:pPr>
        <w:ind w:left="680" w:right="640" w:hanging="324"/>
        <w:spacing w:after="0" w:line="258"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taken by the combined company or its competitors, such as any contemplated business separation, acquisitions or restructurings;</w:t>
      </w:r>
    </w:p>
    <w:p>
      <w:pPr>
        <w:ind w:left="680" w:right="460" w:hanging="324"/>
        <w:spacing w:after="0" w:line="255"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combined company to achieve the perceived benefits of the transactions, including financial results and anticipated cost synergies, as rapidly as or to the extent anticipated by financial or industry analysts;</w:t>
      </w:r>
    </w:p>
    <w:p>
      <w:pPr>
        <w:spacing w:after="0" w:line="1" w:lineRule="exact"/>
        <w:rPr>
          <w:rFonts w:ascii="Times New Roman" w:cs="Times New Roman" w:eastAsia="Times New Roman" w:hAnsi="Times New Roman"/>
          <w:sz w:val="18"/>
          <w:szCs w:val="18"/>
          <w:color w:val="auto"/>
        </w:rPr>
      </w:pPr>
    </w:p>
    <w:p>
      <w:pPr>
        <w:ind w:left="680" w:right="20" w:hanging="324"/>
        <w:spacing w:after="0" w:line="258"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financial market or general U.S. or international economic conditions, including those resulting from war, incidents of terrorism and responses to such events; and</w:t>
      </w:r>
    </w:p>
    <w:p>
      <w:pPr>
        <w:ind w:left="680" w:right="1020" w:hanging="324"/>
        <w:spacing w:after="0" w:line="27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the combined company, members of its management team or significant stockholders.</w:t>
      </w:r>
    </w:p>
    <w:p>
      <w:pPr>
        <w:spacing w:after="0" w:line="17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of Axcelis and Veeco will incur significant transaction, merger-related and restructuring costs in connection with the Merger.</w:t>
      </w:r>
    </w:p>
    <w:p>
      <w:pPr>
        <w:spacing w:after="0" w:line="159"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Axcelis and Veeco have each incurred and expect to incur a number of non-recurring costs associated with combining the operations of the two companies, as well as transaction fees and other costs related to the Merger. These costs and expenses include fees paid to financial, legal and accounting advisors, facilities and systems consolidation costs, severance and other potential employment-related costs, including retention and severance payments that may be made to certain Axcelis employees and Veeco employees, filing fees, printing expenses and other related charges. Some of these costs are payable by Axcelis or Veeco regardless of whether the Merger is completed.</w:t>
      </w:r>
    </w:p>
    <w:p>
      <w:pPr>
        <w:spacing w:after="0" w:line="187"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18"/>
          <w:szCs w:val="18"/>
          <w:color w:val="auto"/>
        </w:rPr>
        <w:t>The combined company will also incur restructuring and integration costs in connection with the Merger. The costs related to restructuring will be expensed as a cost of the ongoing results of operations of either Axcelis or Veeco or the combined company. There are a large number of processes, policies, procedures, operations, technologies and systems that must be integrated in connection with the Merger and the integration of the two companies’ businesses. Although Axcelis and Veeco expect that the elimination of duplicative costs, strategic benefits, additional income and the realization of other efficiencies related to the integration of the businesses may offset incremental transaction, merger-related and restructuring costs over time, any net benefit may not be achieved in the near term or at all. While both Axcelis and Veeco have assumed that certain expenses would be incurred in connection with the Merger and the other transactions contemplated by the Merger Agreement, there are many factors beyond their control that could affect the total amount or the timing of the integration and implementation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Axcelis stockholders and Veeco stockholders will not be entitled to appraisal rights in the Merger.</w:t>
      </w:r>
    </w:p>
    <w:p>
      <w:pPr>
        <w:spacing w:after="0" w:line="22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Appraisal rights are statutory rights that, if applicable under law, enable stockholders of a corporation to dissent from an extraordinary transaction, such as a merger, and to demand that such corporation pay the fair value for their shares as determined by a court in a judicial proceeding instead of receiving the consideration offered to such stockholders in connection with the transaction. Under the DGCL, stockholders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(i) shares of stock of the surviving corporation, (ii) shares of stock of another corporation that will either be listed on a national securities exchange or held of record by more than 2,000 holders, (iii) cash in lieu of fractional shares or (iv) any combination of the foregoing.</w:t>
      </w:r>
    </w:p>
    <w:p>
      <w:pPr>
        <w:spacing w:after="0" w:line="188" w:lineRule="exact"/>
        <w:rPr>
          <w:sz w:val="20"/>
          <w:szCs w:val="20"/>
          <w:color w:val="auto"/>
        </w:rPr>
      </w:pPr>
    </w:p>
    <w:p>
      <w:pPr>
        <w:ind w:right="240" w:firstLine="360"/>
        <w:spacing w:after="0" w:line="266" w:lineRule="auto"/>
        <w:rPr>
          <w:sz w:val="20"/>
          <w:szCs w:val="20"/>
          <w:color w:val="auto"/>
        </w:rPr>
      </w:pPr>
      <w:r>
        <w:rPr>
          <w:rFonts w:ascii="Times New Roman" w:cs="Times New Roman" w:eastAsia="Times New Roman" w:hAnsi="Times New Roman"/>
          <w:sz w:val="18"/>
          <w:szCs w:val="18"/>
          <w:color w:val="auto"/>
        </w:rPr>
        <w:t>Because the Merger is of Merger Sub with and into Veeco and holders of Axcelis common stock may continue to hold their shares following completion of the Merger, holders of Axcelis common stock are not entitled to appraisal rights in the Merger.</w:t>
      </w:r>
    </w:p>
    <w:p>
      <w:pPr>
        <w:spacing w:after="0" w:line="176" w:lineRule="exact"/>
        <w:rPr>
          <w:sz w:val="20"/>
          <w:szCs w:val="20"/>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rPr>
        <w:t>Because shares of Axcelis common stock are listed on Nasdaq, a national securities exchange, and because Veeco stockholders are not required by the terms of the Merger Agreement to accept for their shares anything other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than shares of Axcelis common stock and cash in lieu of fractional shares, holders of Veeco common stock will not be entitled to appraisal rights in the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Axcelis implements an enterprise risk management (“ERM”) process in which management annually identifies and reviews the principal risks to which the Company’s business is subject, rating each risk in terms of likelihood of occurrence and severity of impact. Risks that have either a high likelihood or a high potential impact on our business are assessed quarterly with respect to the trend (an increasing or decreasing risk) and whether additional mitigation actions are needed. These quarterly risk assessments are shared with our Board of Directors, with the Audit Committee reviewing any changes in risk identification or ranking on an annual basis.</w:t>
      </w:r>
    </w:p>
    <w:p>
      <w:pPr>
        <w:spacing w:after="0" w:line="12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Cybersecurity risks are integrated into our overall ERM, and our Chief Information Officer assesses the trends and need for additional mitigations on a quarterly basis. Our main concerns are (i) the unauthorized exfiltration of personal information pertaining to Axcelis employees, (ii) the unauthorized exfiltration of confidential business or technical information, and (iii) an inability to use our business systems for a period of time following a cybersecurity event.</w:t>
      </w:r>
    </w:p>
    <w:p>
      <w:pPr>
        <w:spacing w:after="0" w:line="11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Management has adopted a Cybersecurity Incident Response plan which lays out the roles of IT personnel, senior leadership, and legal resources in responding to a cybersecurity incident. This plan is shared with our Board of Directors and reviewed annually. These risks could materially impact the business of the Company. To date, the Company has not experienced a material cybersecurity incident.</w:t>
      </w:r>
    </w:p>
    <w:p>
      <w:pPr>
        <w:spacing w:after="0" w:line="11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To implement risk management and protective strategies, management implements a “Layered Security Strategy” that aligns with National Institute of Standards and Technology Cybersecurity Framework. We consider the various factors that can play a role in the occurrence of a cybersecurity incident, such as:</w:t>
      </w:r>
    </w:p>
    <w:p>
      <w:pPr>
        <w:spacing w:after="0" w:line="122" w:lineRule="exact"/>
        <w:rPr>
          <w:sz w:val="20"/>
          <w:szCs w:val="20"/>
          <w:color w:val="auto"/>
        </w:rPr>
      </w:pPr>
    </w:p>
    <w:p>
      <w:pPr>
        <w:ind w:left="680" w:hanging="32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system access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errors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system vulnerabilities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 risks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in software applications and specific hardware</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cybersecurity risks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threats</w:t>
      </w:r>
    </w:p>
    <w:p>
      <w:pPr>
        <w:spacing w:after="0" w:line="158"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Management has implemented specific mitigation strategies for each of these factors, such as (i) user training to avoid fraud and other scams, (ii) utilizing multi-factor authentication processes for system access, (iii) engaging in vulnerability scanning applications, (iv) upgrading software and hardware to those with the greatest security protections, and</w:t>
      </w:r>
    </w:p>
    <w:p>
      <w:pPr>
        <w:spacing w:after="0" w:line="2" w:lineRule="exact"/>
        <w:rPr>
          <w:sz w:val="20"/>
          <w:szCs w:val="20"/>
          <w:color w:val="auto"/>
        </w:rPr>
      </w:pPr>
    </w:p>
    <w:p>
      <w:pPr>
        <w:ind w:firstLine="5"/>
        <w:spacing w:after="0" w:line="25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third parties to whom sensitive information is provided have appropriate security. Management has also developed a vendor assessment form to evaluate potential “Software as a Service” providers, which is incorporated in the Company’s RFP processes. The Company routinely obtains and reviews SOC 1 and SOC 2 reports from third parties who have access to the Company’s information, some of which are part of management’s internal controls over financial reporting. The Company accesses cybersecurity consultants and legal counsel to assist in the identification of vulnerabilities and advise on appropriate mitigation and preparedness actions.</w:t>
      </w:r>
    </w:p>
    <w:p>
      <w:pPr>
        <w:spacing w:after="0" w:line="19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Overall, we devote resources to network security, data encryption, employee training and other measures to protect our systems and data from unauthorized access or misuse. This includes the emerging need to protect our data from the unauthorized incorporation in large language models or other artificial intelligence systems. The Audit Committee and full Board of Directors receive quarterly reports on cybersecurity risks and annual reports on management initiatives to promote cybersecurity.</w:t>
      </w:r>
    </w:p>
    <w:p>
      <w:pPr>
        <w:sectPr>
          <w:pgSz w:w="11900" w:h="16838" w:orient="portrait"/>
          <w:cols w:equalWidth="0" w:num="1">
            <w:col w:w="9080"/>
          </w:cols>
          <w:pgMar w:left="1380" w:top="513" w:right="143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lease our principal facility in Beverly, Massachusetts, which comprises 417,000 square feet. The facility is used for manufacturing, research and development, sales/marketing, customer support, advanced process development, product demonstration, customer-training center and corporate headquarters. We also lease our Axcelis Logistics Center, a state-of-the-art logistics and flex manufacturing center with 101,800 square feet built to our specifications, in Beverly, Massachusetts and our Axcelis Asia Operations Center in South Korea, which comprises 38,000 square feet and is principally used for manufacturing.</w:t>
      </w:r>
    </w:p>
    <w:p>
      <w:pPr>
        <w:spacing w:after="0" w:line="12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manufacturing facilities and equipment generally are well maintained, in good operating condition, suitable for our purposes, and adequate for our present operations.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own 23 acres of undeveloped property in Beverly, Massachusetts, adjacent to our headquarters.</w:t>
      </w:r>
    </w:p>
    <w:p>
      <w:pPr>
        <w:spacing w:after="0" w:line="15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also leased 48 other properties, of which 10 are located in the United States and the remainder are located in Asia and Europe, including offices in China, Germany, Italy, Japan, Singapore, South Korea and Taiwan. These properties are used for sales, service and warehousing.</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Beverly, Massachusetts facility is ISO 9001:2015, ISO 14001:2015, and ISO 45001:2018 certified, our European office is ISO 9001:2015 certified, and our Asia Axcelis Operations Center is ISO 9001:2015, ISO 14001:2015 and ISO 45001:2018 certified.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2"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We are not presently a party to any litigation that we believe might have a material adverse effect on our business operations. We are, from time to time, a party to litigation that arises in the normal course of our business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720" w:right="600" w:hanging="71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ACLS. As of February 23, 2026, we had approximately 567 stockholders of record.</w:t>
      </w:r>
    </w:p>
    <w:p>
      <w:pPr>
        <w:spacing w:after="0" w:line="24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for the 12 months ended December 31, 2025 pursuant to our stock repurchase program: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340" w:type="dxa"/>
            <w:vAlign w:val="bottom"/>
            <w:vMerge w:val="continue"/>
          </w:tcPr>
          <w:p>
            <w:pPr>
              <w:spacing w:after="0"/>
              <w:rPr>
                <w:sz w:val="12"/>
                <w:szCs w:val="12"/>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280" w:type="dxa"/>
            <w:vAlign w:val="bottom"/>
            <w:vMerge w:val="continue"/>
          </w:tcPr>
          <w:p>
            <w:pPr>
              <w:spacing w:after="0"/>
              <w:rPr>
                <w:sz w:val="12"/>
                <w:szCs w:val="12"/>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gridSpan w:val="2"/>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Purchased Under the Program</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20" w:type="dxa"/>
            <w:vAlign w:val="bottom"/>
          </w:tcPr>
          <w:p>
            <w:pPr>
              <w:spacing w:after="0"/>
              <w:rPr>
                <w:sz w:val="12"/>
                <w:szCs w:val="12"/>
                <w:color w:val="auto"/>
              </w:rPr>
            </w:pPr>
          </w:p>
        </w:tc>
        <w:tc>
          <w:tcPr>
            <w:tcW w:w="1640" w:type="dxa"/>
            <w:vAlign w:val="bottom"/>
            <w:tcBorders>
              <w:top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except per share amounts)</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 through January 31</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$71.10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2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118,388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February 1 through February 28</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$62.05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115,012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1 through March 31</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$56.14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211,834</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148"/>
        </w:trPr>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April 1 through April 30</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$46.42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195,124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May 1 through May 31</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$57.87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177,921</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June 1 through June 30</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$64.34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167,031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July 1 through July 31</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$73.13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149,707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August 1 through August 31</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$78.25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139,026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 through September 30</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$80.60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135,014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October 1 through October 31</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$83.55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120,643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1 through November 30</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$81.09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110,014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December 1 through December 31</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110,014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0" w:type="dxa"/>
            <w:vAlign w:val="bottom"/>
            <w:tcBorders>
              <w:top w:val="single" w:sz="8" w:color="CCEEFF"/>
              <w:bottom w:val="single" w:sz="8" w:color="CCEEFF"/>
            </w:tcBorders>
            <w:gridSpan w:val="2"/>
            <w:shd w:val="clear" w:color="auto" w:fill="CCEEFF"/>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7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60" w:firstLine="5"/>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dollar value available for repurchases under the program at March 31, 2025 reflects the additional funding authorized under the program in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currently maintain one equity compensation plan, the 2012 Equity Incentive Plan (the “2012 Equity Plan”). The number of shares issuable upon vesting of outstanding restricted stock units granted to employees and non-employee directors, as well as the number of shares remaining available for future issuance, under the 2012 Equity Plan and our 2020 Employee Stock Purchase Plan as of December 31, 2025 are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5795010" cy="2511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5010" cy="251142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8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w:t>
            </w:r>
          </w:p>
        </w:tc>
        <w:tc>
          <w:tcPr>
            <w:tcW w:w="1640" w:type="dxa"/>
            <w:vAlign w:val="bottom"/>
            <w:tcBorders>
              <w:top w:val="single" w:sz="8" w:color="auto"/>
            </w:tcBorders>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(B)</w:t>
            </w:r>
          </w:p>
        </w:tc>
        <w:tc>
          <w:tcPr>
            <w:tcW w:w="27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64"/>
        </w:trPr>
        <w:tc>
          <w:tcPr>
            <w:tcW w:w="2680" w:type="dxa"/>
            <w:vAlign w:val="bottom"/>
          </w:tcPr>
          <w:p>
            <w:pPr>
              <w:spacing w:after="0"/>
              <w:rPr>
                <w:sz w:val="14"/>
                <w:szCs w:val="14"/>
                <w:color w:val="auto"/>
              </w:rPr>
            </w:pPr>
          </w:p>
        </w:tc>
        <w:tc>
          <w:tcPr>
            <w:tcW w:w="36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Number of shares to be issued 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 exercise</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remaining available for</w:t>
            </w:r>
          </w:p>
        </w:tc>
        <w:tc>
          <w:tcPr>
            <w:tcW w:w="0" w:type="dxa"/>
            <w:vAlign w:val="bottom"/>
          </w:tcPr>
          <w:p>
            <w:pPr>
              <w:spacing w:after="0"/>
              <w:rPr>
                <w:sz w:val="1"/>
                <w:szCs w:val="1"/>
                <w:color w:val="auto"/>
              </w:rPr>
            </w:pPr>
          </w:p>
        </w:tc>
      </w:tr>
      <w:tr>
        <w:trPr>
          <w:trHeight w:val="160"/>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164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2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future issuance under equity compensation</w:t>
            </w:r>
          </w:p>
        </w:tc>
        <w:tc>
          <w:tcPr>
            <w:tcW w:w="0" w:type="dxa"/>
            <w:vAlign w:val="bottom"/>
          </w:tcPr>
          <w:p>
            <w:pPr>
              <w:spacing w:after="0"/>
              <w:rPr>
                <w:sz w:val="1"/>
                <w:szCs w:val="1"/>
                <w:color w:val="auto"/>
              </w:rPr>
            </w:pPr>
          </w:p>
        </w:tc>
      </w:tr>
      <w:tr>
        <w:trPr>
          <w:trHeight w:val="98"/>
        </w:trPr>
        <w:tc>
          <w:tcPr>
            <w:tcW w:w="2680" w:type="dxa"/>
            <w:vAlign w:val="bottom"/>
            <w:vMerge w:val="continue"/>
          </w:tcPr>
          <w:p>
            <w:pPr>
              <w:spacing w:after="0"/>
              <w:rPr>
                <w:sz w:val="8"/>
                <w:szCs w:val="8"/>
                <w:color w:val="auto"/>
              </w:rPr>
            </w:pPr>
          </w:p>
        </w:tc>
        <w:tc>
          <w:tcPr>
            <w:tcW w:w="20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1640" w:type="dxa"/>
            <w:vAlign w:val="bottom"/>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shares reflected in column</w:t>
            </w: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2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rights (2)</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(3)</w:t>
            </w:r>
          </w:p>
        </w:tc>
        <w:tc>
          <w:tcPr>
            <w:tcW w:w="0" w:type="dxa"/>
            <w:vAlign w:val="bottom"/>
          </w:tcPr>
          <w:p>
            <w:pPr>
              <w:spacing w:after="0"/>
              <w:rPr>
                <w:sz w:val="1"/>
                <w:szCs w:val="1"/>
                <w:color w:val="auto"/>
              </w:rPr>
            </w:pPr>
          </w:p>
        </w:tc>
      </w:tr>
      <w:tr>
        <w:trPr>
          <w:trHeight w:val="126"/>
        </w:trPr>
        <w:tc>
          <w:tcPr>
            <w:tcW w:w="26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 compensation plans approved by</w:t>
            </w:r>
          </w:p>
        </w:tc>
        <w:tc>
          <w:tcPr>
            <w:tcW w:w="2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704,128</w:t>
            </w:r>
          </w:p>
        </w:tc>
        <w:tc>
          <w:tcPr>
            <w:tcW w:w="1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2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1,544,682</w:t>
            </w:r>
          </w:p>
        </w:tc>
        <w:tc>
          <w:tcPr>
            <w:tcW w:w="0" w:type="dxa"/>
            <w:vAlign w:val="bottom"/>
          </w:tcPr>
          <w:p>
            <w:pPr>
              <w:spacing w:after="0"/>
              <w:rPr>
                <w:sz w:val="1"/>
                <w:szCs w:val="1"/>
                <w:color w:val="auto"/>
              </w:rPr>
            </w:pPr>
          </w:p>
        </w:tc>
      </w:tr>
      <w:tr>
        <w:trPr>
          <w:trHeight w:val="107"/>
        </w:trPr>
        <w:tc>
          <w:tcPr>
            <w:tcW w:w="2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2040" w:type="dxa"/>
            <w:vAlign w:val="bottom"/>
            <w:vMerge w:val="continue"/>
            <w:shd w:val="clear" w:color="auto" w:fill="CCEEFF"/>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2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680" w:type="dxa"/>
            <w:vAlign w:val="bottom"/>
            <w:vMerge w:val="continue"/>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2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 compensation plans not approved by</w:t>
            </w:r>
          </w:p>
        </w:tc>
        <w:tc>
          <w:tcPr>
            <w:tcW w:w="2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N/A</w:t>
            </w:r>
          </w:p>
        </w:tc>
        <w:tc>
          <w:tcPr>
            <w:tcW w:w="2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07"/>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20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68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704,128</w:t>
            </w:r>
          </w:p>
        </w:tc>
        <w:tc>
          <w:tcPr>
            <w:tcW w:w="1640" w:type="dxa"/>
            <w:vAlign w:val="bottom"/>
            <w:shd w:val="clear" w:color="auto" w:fill="CCEEFF"/>
          </w:tcPr>
          <w:p>
            <w:pPr>
              <w:spacing w:after="0"/>
              <w:rPr>
                <w:sz w:val="14"/>
                <w:szCs w:val="14"/>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1,544,682</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 w:right="340"/>
        <w:spacing w:after="0" w:line="233" w:lineRule="auto"/>
        <w:rPr>
          <w:sz w:val="20"/>
          <w:szCs w:val="20"/>
          <w:color w:val="auto"/>
        </w:rPr>
      </w:pPr>
      <w:r>
        <w:rPr>
          <w:rFonts w:ascii="Times New Roman" w:cs="Times New Roman" w:eastAsia="Times New Roman" w:hAnsi="Times New Roman"/>
          <w:sz w:val="14"/>
          <w:szCs w:val="14"/>
          <w:color w:val="auto"/>
        </w:rPr>
        <w:t>(1) Represents 704,128 shares issuable on vesting of outstanding restricted stock units under the 2012 Equity Plan (some of which will be withheld in respect of tax withholding obligations).</w:t>
      </w:r>
    </w:p>
    <w:p>
      <w:pPr>
        <w:ind w:left="20" w:right="140"/>
        <w:spacing w:after="0" w:line="221" w:lineRule="auto"/>
        <w:rPr>
          <w:sz w:val="20"/>
          <w:szCs w:val="20"/>
          <w:color w:val="auto"/>
        </w:rPr>
      </w:pPr>
      <w:r>
        <w:rPr>
          <w:rFonts w:ascii="Times New Roman" w:cs="Times New Roman" w:eastAsia="Times New Roman" w:hAnsi="Times New Roman"/>
          <w:sz w:val="14"/>
          <w:szCs w:val="14"/>
          <w:color w:val="auto"/>
        </w:rPr>
        <w:t>(2) For the purposes of this table, the weighted-average exercise price of outstanding options, warrants and rights includes restricted stock units as if they had a $0.00 exercise price.</w:t>
      </w:r>
    </w:p>
    <w:p>
      <w:pPr>
        <w:ind w:left="20"/>
        <w:spacing w:after="0" w:line="222" w:lineRule="auto"/>
        <w:tabs>
          <w:tab w:leader="none" w:pos="340" w:val="left"/>
        </w:tabs>
        <w:rPr>
          <w:sz w:val="20"/>
          <w:szCs w:val="20"/>
          <w:color w:val="auto"/>
        </w:rPr>
      </w:pPr>
      <w:r>
        <w:rPr>
          <w:rFonts w:ascii="Times New Roman" w:cs="Times New Roman" w:eastAsia="Times New Roman" w:hAnsi="Times New Roman"/>
          <w:sz w:val="14"/>
          <w:szCs w:val="14"/>
          <w:color w:val="auto"/>
        </w:rPr>
        <w:t>(3)</w:t>
        <w:tab/>
        <w:t>Represents the total shares available for issuance under our 2012 Equity Plan and our 2020 Employee Stock Purchase Plan, as of December 31, 2025,</w:t>
      </w:r>
    </w:p>
    <w:tbl>
      <w:tblPr>
        <w:tblLayout w:type="fixed"/>
        <w:tblInd w:w="20" w:type="dxa"/>
        <w:tblCellMar>
          <w:top w:w="0" w:type="dxa"/>
          <w:left w:w="0" w:type="dxa"/>
          <w:bottom w:w="0" w:type="dxa"/>
          <w:right w:w="0" w:type="dxa"/>
        </w:tblCellMar>
      </w:tblPr>
      <w:tr>
        <w:trPr>
          <w:trHeight w:val="188"/>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as follows:</w:t>
            </w:r>
          </w:p>
        </w:tc>
        <w:tc>
          <w:tcPr>
            <w:tcW w:w="83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2,740,236 shares were available for future issuance under the 2012 Equity Plan. Such amount represents the total number of shares reserved</w:t>
            </w:r>
          </w:p>
        </w:tc>
        <w:tc>
          <w:tcPr>
            <w:tcW w:w="0" w:type="dxa"/>
            <w:vAlign w:val="bottom"/>
          </w:tcPr>
          <w:p>
            <w:pPr>
              <w:spacing w:after="0"/>
              <w:rPr>
                <w:sz w:val="1"/>
                <w:szCs w:val="1"/>
                <w:color w:val="auto"/>
              </w:rPr>
            </w:pPr>
          </w:p>
        </w:tc>
      </w:tr>
      <w:tr>
        <w:trPr>
          <w:trHeight w:val="93"/>
        </w:trPr>
        <w:tc>
          <w:tcPr>
            <w:tcW w:w="740" w:type="dxa"/>
            <w:vAlign w:val="bottom"/>
          </w:tcPr>
          <w:p>
            <w:pPr>
              <w:spacing w:after="0"/>
              <w:rPr>
                <w:sz w:val="8"/>
                <w:szCs w:val="8"/>
                <w:color w:val="auto"/>
              </w:rPr>
            </w:pPr>
          </w:p>
        </w:tc>
        <w:tc>
          <w:tcPr>
            <w:tcW w:w="8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 issuance under the 2012 Equity Plan ((10,762,500 shares approved by the shareholders, plus 1,777,029 shares added in accordance with</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w:t>
            </w: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terms of the 2012 Equity Plan as a result of the expiration or forfeiture of awards granted under our prior equity grant plan that were</w:t>
            </w:r>
          </w:p>
        </w:tc>
        <w:tc>
          <w:tcPr>
            <w:tcW w:w="0" w:type="dxa"/>
            <w:vAlign w:val="bottom"/>
          </w:tcPr>
          <w:p>
            <w:pPr>
              <w:spacing w:after="0"/>
              <w:rPr>
                <w:sz w:val="1"/>
                <w:szCs w:val="1"/>
                <w:color w:val="auto"/>
              </w:rPr>
            </w:pPr>
          </w:p>
        </w:tc>
      </w:tr>
      <w:tr>
        <w:trPr>
          <w:trHeight w:val="148"/>
        </w:trPr>
        <w:tc>
          <w:tcPr>
            <w:tcW w:w="740" w:type="dxa"/>
            <w:vAlign w:val="bottom"/>
            <w:vMerge w:val="continue"/>
          </w:tcPr>
          <w:p>
            <w:pPr>
              <w:spacing w:after="0"/>
              <w:rPr>
                <w:sz w:val="12"/>
                <w:szCs w:val="12"/>
                <w:color w:val="auto"/>
              </w:rPr>
            </w:pP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outstanding at the time of the adoption of the 2012 Equity Plan), less the shares issuable on options and restricted stock units (counted at 1.5</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each) outstanding under the 2012 Equity Plan included in column (A)) and the shares issued prior to such date on exercise of options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vesting of restricted stock units granted under the 2012 Equity Plan. This plan is generally used for grants to employees and directors and</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was initially approved by our stockholders at our 2012 annual meeting.</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w:t>
            </w: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840,554 shares were available under our 2020 Employee Stock Purchase Plan, which represents the total number of shares reserved for</w:t>
            </w:r>
          </w:p>
        </w:tc>
        <w:tc>
          <w:tcPr>
            <w:tcW w:w="0" w:type="dxa"/>
            <w:vAlign w:val="bottom"/>
          </w:tcPr>
          <w:p>
            <w:pPr>
              <w:spacing w:after="0"/>
              <w:rPr>
                <w:sz w:val="1"/>
                <w:szCs w:val="1"/>
                <w:color w:val="auto"/>
              </w:rPr>
            </w:pPr>
          </w:p>
        </w:tc>
      </w:tr>
      <w:tr>
        <w:trPr>
          <w:trHeight w:val="107"/>
        </w:trPr>
        <w:tc>
          <w:tcPr>
            <w:tcW w:w="740" w:type="dxa"/>
            <w:vAlign w:val="bottom"/>
            <w:vMerge w:val="continue"/>
          </w:tcPr>
          <w:p>
            <w:pPr>
              <w:spacing w:after="0"/>
              <w:rPr>
                <w:sz w:val="9"/>
                <w:szCs w:val="9"/>
                <w:color w:val="auto"/>
              </w:rPr>
            </w:pPr>
          </w:p>
        </w:tc>
        <w:tc>
          <w:tcPr>
            <w:tcW w:w="83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issuance under the plan (1,000,000) less the shares purchased through December 31, 2025.</w:t>
            </w: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8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Certain statements 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and “Risk Factors” and others discussed elsewhere in this Annual Report on Form 10-K.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semiconductor capital equipment industry is subject to cyclical swings in capital spending by semiconductor chip manufacturers. Capital spending is influenced by demand for semiconductors and the products using them, the utilization rate and capacity of existing semiconductor chip manufacturing facilities and changes in semiconductor technology, all of which are outside of our control. As a result, our revenue may fluctuate from year to year and period to period. Our established cost structure does not vary significantly with changes in volume. We may also experience fluctuations in operating results and cash flows depending on our revenue level.</w:t>
      </w:r>
    </w:p>
    <w:p>
      <w:pPr>
        <w:spacing w:after="0" w:line="187"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Revenue for 2025 was $839.0 million, compared to $1,017.9 million in 2024. Systems revenue for 2025 was $571.0 million, compared to $782.6 million in 2024. Gross margin percent for the year was 44.9% compared to 44.7% in 2024. Operating profit was $119.3 million in 2025, compared to $210.8 million in 2024. Net income for the year was $120.2 million, compared to $201.0 million in 2024.</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is in a strong competitive position. A focused strategy on ion implant, combined with the hard work and dedication of our employees and the encouragement and support of our customers and suppliers, enabled us to achieve numerous critical milestones in our drive to market leadership. Important accomplishments in 2025 included:</w:t>
      </w:r>
    </w:p>
    <w:p>
      <w:pPr>
        <w:spacing w:after="0" w:line="176" w:lineRule="exact"/>
        <w:rPr>
          <w:sz w:val="20"/>
          <w:szCs w:val="20"/>
          <w:color w:val="auto"/>
        </w:rPr>
      </w:pPr>
    </w:p>
    <w:p>
      <w:pPr>
        <w:ind w:left="680" w:hanging="324"/>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revenue of $839.0 million in 2025 and earnings per share of $3.80.</w:t>
      </w:r>
    </w:p>
    <w:p>
      <w:pPr>
        <w:spacing w:after="0" w:line="36" w:lineRule="exact"/>
        <w:rPr>
          <w:rFonts w:ascii="Times New Roman" w:cs="Times New Roman" w:eastAsia="Times New Roman" w:hAnsi="Times New Roman"/>
          <w:sz w:val="18"/>
          <w:szCs w:val="18"/>
          <w:color w:val="auto"/>
        </w:rPr>
      </w:pPr>
    </w:p>
    <w:p>
      <w:pPr>
        <w:ind w:left="680" w:right="420" w:hanging="324"/>
        <w:spacing w:after="0" w:line="273"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remained a technology leader and supplier of choice in the implant-intensive power device segment, which accounted for 55% of the value of our 2025 system shipments.</w:t>
      </w:r>
    </w:p>
    <w:p>
      <w:pPr>
        <w:spacing w:after="0" w:line="1" w:lineRule="exact"/>
        <w:rPr>
          <w:rFonts w:ascii="Times New Roman" w:cs="Times New Roman" w:eastAsia="Times New Roman" w:hAnsi="Times New Roman"/>
          <w:sz w:val="18"/>
          <w:szCs w:val="18"/>
          <w:color w:val="auto"/>
        </w:rPr>
      </w:pPr>
    </w:p>
    <w:p>
      <w:pPr>
        <w:ind w:left="680" w:right="400" w:hanging="324"/>
        <w:spacing w:after="0" w:line="273"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working to expand our footprint with existing and new customers and currently have four Purion evaluation systems in the field at strategic customer sites in key market segments.</w:t>
      </w:r>
    </w:p>
    <w:p>
      <w:pPr>
        <w:spacing w:after="0" w:line="1" w:lineRule="exact"/>
        <w:rPr>
          <w:rFonts w:ascii="Times New Roman" w:cs="Times New Roman" w:eastAsia="Times New Roman" w:hAnsi="Times New Roman"/>
          <w:sz w:val="18"/>
          <w:szCs w:val="18"/>
          <w:color w:val="auto"/>
        </w:rPr>
      </w:pPr>
    </w:p>
    <w:p>
      <w:pPr>
        <w:ind w:left="680" w:right="80" w:hanging="324"/>
        <w:spacing w:after="0" w:line="260"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investment in our Customer Solutions &amp; Innovation (“CS&amp;I”) aftermarket business to drive financial growth and increased customer satisfaction levels, including the “Digital Tool Box,” an innovative service offering with online training, remote diagnosis and install, and automated troubleshooting guide.</w:t>
      </w:r>
    </w:p>
    <w:p>
      <w:pPr>
        <w:spacing w:after="0" w:line="2" w:lineRule="exact"/>
        <w:rPr>
          <w:rFonts w:ascii="Times New Roman" w:cs="Times New Roman" w:eastAsia="Times New Roman" w:hAnsi="Times New Roman"/>
          <w:sz w:val="18"/>
          <w:szCs w:val="18"/>
          <w:color w:val="auto"/>
        </w:rPr>
      </w:pPr>
    </w:p>
    <w:p>
      <w:pPr>
        <w:ind w:left="680" w:right="280" w:hanging="324"/>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16 customer satisfaction awards in 2025. In addition, Axcelis was named to the 2024 editions of Forbes’ List of America’s Best Mid-Cap Companies and to Fortune Magazine’s 2024 lists of the Top 100 Fastest Growing Companies.</w:t>
      </w:r>
    </w:p>
    <w:p>
      <w:pPr>
        <w:spacing w:after="0" w:line="21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continue to work diligently to ensure that manufacturing and operating expense levels remain well aligned to business conditions.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market for our systems and aftermarket products and services is represented by a relatively small number of companies. In 2025, the top 20 semiconductor chip manufacturers accounted for approximately 86.4% of total semiconductor capital equipment spending, down from 87.6% in 2024. Our net revenue from our ten largest customers accounted for 55.2% of total revenue for the year ended December 31, 2025 compared to 45.9% and 51.7% of revenue for the years ended December 31, 2024 and 2023, respectively. For the year ended December 31, 2025, one customer represented 11.0% percent of total revenue.</w:t>
      </w:r>
    </w:p>
    <w:p>
      <w:pPr>
        <w:sectPr>
          <w:pgSz w:w="11900" w:h="16838" w:orient="portrait"/>
          <w:cols w:equalWidth="0" w:num="1">
            <w:col w:w="9080"/>
          </w:cols>
          <w:pgMar w:left="138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are based upon Axcelis’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the following accounting policies are critical in the portrayal of our financial condition and results of operations and require management’s most significant judgments and estimates in the preparation of our consolidated financial statements. For additional accounting policies, see Note 2 to the consolidated financial statements for the year ended December 31, 2025 included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accounting policies relating to the recognition of revenue require management to make estimates, determinations and judgments based on historical experience and on various other assumptions, which include (i) the existence of a contract with the customer, (ii) the identification of the performance obligations in the contract, (iii) the value of any variable consideration in the contract, (iv) the standalone selling price of multiple obligations in the contract, for the purpose of allocating the consideration in the contract, and (v) determining when a performance obligation has been met. Our revenue recognition policies are set forth in section (k) of Note 2, Summary of Significant Accounting Policies, to the consolidated financial statements for the year ended December 31, 2025 included in this Annual Report on Form 10-K. Recognition of revenue based on incorrect judgments, including an erroneous allocation of the estimated sales price between the units of accounting, could result in inappropriate recognition of revenue, or incorrect timing of revenue recognition, which could have a material effect on our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Inventory—Provision for Excess and Obsolescence and Lower of Cost or Net Realizable Value</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record a provision for estimated excess and obsolete inventory and lower of cost or net realizable value. The provision is determined using management’s assumptions of materials usage, based on estimates of forecasted and historical demand and market conditions. Specifically, our assumptions of forecasted system sales and the size and utilization of the installed base of systems may have a significant effect on estimated materials usage. If actual market conditions become less favorable than those projected by management, additional inventory write-downs may be required.</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Although we make every effort to ensure the accuracy of our forecasts or product demand and pricing assumptions, any significant unanticipated changes in demand, pricing, or technical developments would significantly impact the value of our inventory and our reported operating results. In the future, if we determine that inventory needs to be written down, we will recognize such costs in our cost of revenue at the time of such determination. If we subsequently sell product that has previously been written down, our gross margin in that period will be favorably impacted.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relative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net operating loss and tax credit carryforwards.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establish a valuation allowance when it is more likely than not that some portion or all of the deferred tax assets will not be realized. Significant management judgment is required in determining our provision for income taxes, the deferred tax assets and liabilities and any valuation allowance recorded against those net deferred tax assets.</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evaluate the weight of all available evidence such as historical losses, the expected timing of the reversals of existing temporary differences and projected future taxable income to determine whether it is more likely than not that some portion or all of the net deferred income tax assets will not be realized.</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income tax expense includes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 change to the effective tax rate. We recognize accrued interest related to unrecognized tax benefits as interest expense and penalties as operating expense.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following year-to-year comparative statements include the 2025 and 2024 year periods. For comparative statements for the 2024 and 2023 periods, please refer to our 2024 Annual Report on Form 10-K, filed with the SEC on February 28,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460" w:type="dxa"/>
            <w:vAlign w:val="bottom"/>
            <w:gridSpan w:val="3"/>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vMerge w:val="restart"/>
          </w:tcPr>
          <w:p>
            <w:pPr>
              <w:ind w:left="634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vMerge w:val="continue"/>
          </w:tcPr>
          <w:p>
            <w:pPr>
              <w:spacing w:after="0"/>
              <w:rPr>
                <w:sz w:val="12"/>
                <w:szCs w:val="12"/>
                <w:color w:val="auto"/>
              </w:rPr>
            </w:pPr>
          </w:p>
        </w:tc>
        <w:tc>
          <w:tcPr>
            <w:tcW w:w="880" w:type="dxa"/>
            <w:vAlign w:val="bottom"/>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11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94.4 %</w:t>
            </w:r>
          </w:p>
        </w:tc>
        <w:tc>
          <w:tcPr>
            <w:tcW w:w="280" w:type="dxa"/>
            <w:vAlign w:val="bottom"/>
          </w:tcPr>
          <w:p>
            <w:pPr>
              <w:spacing w:after="0"/>
              <w:rPr>
                <w:sz w:val="18"/>
                <w:szCs w:val="18"/>
                <w:color w:val="auto"/>
              </w:rPr>
            </w:pPr>
          </w:p>
        </w:tc>
        <w:tc>
          <w:tcPr>
            <w:tcW w:w="1080" w:type="dxa"/>
            <w:vAlign w:val="bottom"/>
            <w:gridSpan w:val="2"/>
          </w:tcPr>
          <w:p>
            <w:pPr>
              <w:jc w:val="right"/>
              <w:ind w:right="284"/>
              <w:spacing w:after="0"/>
              <w:rPr>
                <w:sz w:val="20"/>
                <w:szCs w:val="20"/>
                <w:color w:val="auto"/>
              </w:rPr>
            </w:pPr>
            <w:r>
              <w:rPr>
                <w:rFonts w:ascii="Times New Roman" w:cs="Times New Roman" w:eastAsia="Times New Roman" w:hAnsi="Times New Roman"/>
                <w:sz w:val="16"/>
                <w:szCs w:val="16"/>
                <w:color w:val="auto"/>
              </w:rPr>
              <w:t>96.0 %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income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3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89"/>
              </w:rPr>
              <w:t>%</w:t>
            </w: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8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15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84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7"/>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620" w:type="dxa"/>
            <w:vAlign w:val="bottom"/>
            <w:gridSpan w:val="2"/>
          </w:tcPr>
          <w:p>
            <w:pPr>
              <w:ind w:left="24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3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$ 792,045</w:t>
            </w:r>
          </w:p>
        </w:tc>
        <w:tc>
          <w:tcPr>
            <w:tcW w:w="18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976,881</w:t>
            </w:r>
          </w:p>
        </w:tc>
        <w:tc>
          <w:tcPr>
            <w:tcW w:w="200" w:type="dxa"/>
            <w:vAlign w:val="bottom"/>
          </w:tcPr>
          <w:p>
            <w:pPr>
              <w:spacing w:after="0"/>
              <w:rPr>
                <w:sz w:val="18"/>
                <w:szCs w:val="18"/>
                <w:color w:val="auto"/>
              </w:rPr>
            </w:pPr>
          </w:p>
        </w:tc>
        <w:tc>
          <w:tcPr>
            <w:tcW w:w="154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 (184,836) </w:t>
            </w:r>
            <w:r>
              <w:rPr>
                <w:rFonts w:ascii="Times New Roman" w:cs="Times New Roman" w:eastAsia="Times New Roman" w:hAnsi="Times New Roman"/>
                <w:sz w:val="16"/>
                <w:szCs w:val="16"/>
                <w:i w:val="1"/>
                <w:iCs w:val="1"/>
                <w:color w:val="auto"/>
              </w:rPr>
              <w:t>(18.9)%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94.4 %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96.0 %</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40,984</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6,019</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14.7 %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5.6 %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4.0 %</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252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6"/>
              </w:rPr>
              <w:t>$ 839,048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1,017,865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(178,817)</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(17.6)</w:t>
            </w: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20" w:type="dxa"/>
            <w:vAlign w:val="bottom"/>
            <w:vMerge w:val="restart"/>
          </w:tcPr>
          <w:p>
            <w:pPr>
              <w:jc w:val="right"/>
              <w:ind w:right="89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-1756410</wp:posOffset>
            </wp:positionV>
            <wp:extent cx="57861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ectPr>
          <w:pgSz w:w="11900" w:h="16838" w:orient="portrait"/>
          <w:cols w:equalWidth="0" w:num="1">
            <w:col w:w="9160"/>
          </w:cols>
          <w:pgMar w:left="1380" w:top="513" w:right="1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Product revenue, which includes new system sales, sales of spare parts, product upgrades and used system sales was $792.0 million or 94.4% of revenue in 2025, compared with $976.9 million or 96.0% of revenue in 2024. The decrease in product revenue in 2025 was primarily driven by a decrease in the number of Purion systems sold.</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 portion of our revenue from system sales is deferred until installation and other services related to future deliverables are performed. The total amount of deferred revenue at December 31, 2025 and 2024 was $108.9 million and $138.2 million, respectively. The decrease was primarily due to a decrease in system prepayments.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$47.0 million, or 5.6% of revenue for 2025, compared with $41.0 million, or 4.0% of revenue for 2024.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line-item revenue categories discussed above, management also uses revenue categorizations which break down revenue into other groupings. Management regularly disaggregates revenue in the following categories, which it finds relevant and useful:</w:t>
      </w:r>
    </w:p>
    <w:p>
      <w:pPr>
        <w:spacing w:after="0" w:line="176" w:lineRule="exact"/>
        <w:rPr>
          <w:sz w:val="20"/>
          <w:szCs w:val="20"/>
          <w:color w:val="auto"/>
        </w:rPr>
      </w:pPr>
    </w:p>
    <w:p>
      <w:pPr>
        <w:ind w:left="1320" w:hanging="316"/>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Customer Solutions and Innovation (“CS&amp;I”, or “aftermarket”) revenue is</w:t>
      </w:r>
    </w:p>
    <w:p>
      <w:pPr>
        <w:spacing w:after="0" w:line="225" w:lineRule="exact"/>
        <w:rPr>
          <w:rFonts w:ascii="Times New Roman" w:cs="Times New Roman" w:eastAsia="Times New Roman" w:hAnsi="Times New Roman"/>
          <w:sz w:val="18"/>
          <w:szCs w:val="18"/>
          <w:color w:val="auto"/>
        </w:rPr>
      </w:pPr>
    </w:p>
    <w:p>
      <w:pPr>
        <w:ind w:left="1980" w:right="660" w:hanging="328"/>
        <w:spacing w:after="0" w:line="261" w:lineRule="auto"/>
        <w:tabs>
          <w:tab w:leader="none" w:pos="1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systems combined with;</w:t>
      </w:r>
    </w:p>
    <w:p>
      <w:pPr>
        <w:ind w:left="1980" w:hanging="328"/>
        <w:spacing w:after="0"/>
        <w:tabs>
          <w:tab w:leader="none" w:pos="1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which is the labor component of aftermarket revenues</w:t>
      </w:r>
    </w:p>
    <w:p>
      <w:pPr>
        <w:spacing w:after="0" w:line="207" w:lineRule="exact"/>
        <w:rPr>
          <w:sz w:val="20"/>
          <w:szCs w:val="20"/>
          <w:color w:val="auto"/>
        </w:rPr>
      </w:pPr>
    </w:p>
    <w:p>
      <w:pPr>
        <w:ind w:left="1300" w:right="300"/>
        <w:spacing w:after="0" w:line="282" w:lineRule="auto"/>
        <w:rPr>
          <w:sz w:val="20"/>
          <w:szCs w:val="20"/>
          <w:color w:val="auto"/>
        </w:rPr>
      </w:pPr>
      <w:r>
        <w:rPr>
          <w:rFonts w:ascii="Times New Roman" w:cs="Times New Roman" w:eastAsia="Times New Roman" w:hAnsi="Times New Roman"/>
          <w:sz w:val="18"/>
          <w:szCs w:val="18"/>
          <w:color w:val="auto"/>
        </w:rPr>
        <w:t>Aftermarket revenue reflects current fab utilization as opposed to System revenue, which reflects capital investment decisions by our customers, which have differing economic drivers;</w:t>
      </w:r>
    </w:p>
    <w:p>
      <w:pPr>
        <w:spacing w:after="0" w:line="162" w:lineRule="exact"/>
        <w:rPr>
          <w:sz w:val="20"/>
          <w:szCs w:val="20"/>
          <w:color w:val="auto"/>
        </w:rPr>
      </w:pPr>
    </w:p>
    <w:p>
      <w:pPr>
        <w:ind w:left="1320" w:right="40" w:hanging="316"/>
        <w:spacing w:after="0" w:line="282" w:lineRule="auto"/>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pacing w:after="0" w:line="161" w:lineRule="exact"/>
        <w:rPr>
          <w:rFonts w:ascii="Times New Roman" w:cs="Times New Roman" w:eastAsia="Times New Roman" w:hAnsi="Times New Roman"/>
          <w:sz w:val="18"/>
          <w:szCs w:val="18"/>
          <w:color w:val="auto"/>
        </w:rPr>
      </w:pPr>
    </w:p>
    <w:p>
      <w:pPr>
        <w:ind w:left="1320" w:right="140" w:hanging="316"/>
        <w:spacing w:after="0" w:line="261" w:lineRule="auto"/>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customers’ end markets, since they tend to be subject to different economic environments at different periods of time, impacting a customer’s likelihood of purchasing capital equipment during any particular period; currently, management uses three end market categories: Memory, mature process technology and leading edge foundry and logic.</w:t>
      </w:r>
    </w:p>
    <w:p>
      <w:pPr>
        <w:spacing w:after="0" w:line="18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CS&amp;I/aftermarket revenue categories for the twelve month periods ended December 31, 2025 and 2024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CS&amp;I/Aftermarket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Revenue from our aftermarket business was $268.0 million in 2025, compared to $235.3 million for 2024. Aftermarket revenue generally increases with the expansion of the installed base of systems but can fluctuate from period to period based on capacity utilization at customers’ manufacturing facilities which affects the sale of spare parts and demand for equipment service.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4"/>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3"/>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center"/>
              <w:ind w:right="79"/>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0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4"/>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8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379,259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452,430</w:t>
            </w:r>
          </w:p>
        </w:tc>
        <w:tc>
          <w:tcPr>
            <w:tcW w:w="76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(16.2)</w:t>
            </w: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i w:val="1"/>
                <w:iCs w:val="1"/>
                <w:color w:val="auto"/>
              </w:rPr>
              <w:t>47.9 %</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i w:val="1"/>
                <w:iCs w:val="1"/>
                <w:color w:val="auto"/>
              </w:rPr>
              <w:t>46.3 %</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(208.4)</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i w:val="1"/>
                <w:iCs w:val="1"/>
                <w:color w:val="auto"/>
              </w:rPr>
              <w:t>(5.1)%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i w:val="1"/>
                <w:iCs w:val="1"/>
                <w:color w:val="auto"/>
              </w:rPr>
              <w:t>5.4 %</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gross profit</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376,848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454,654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(17.1)</w:t>
            </w: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44.9</w:t>
            </w: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44.7</w:t>
            </w:r>
          </w:p>
        </w:tc>
        <w:tc>
          <w:tcPr>
            <w:tcW w:w="2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-1120140</wp:posOffset>
            </wp:positionV>
            <wp:extent cx="57861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product revenue was 47.9% for the twelve months ended December 31, 2025, compared to 46.3% for the twelve months ended December 31, 2024. The increase in gross margin resulted from an increased mix of higher margin parts and upgrades.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Gross margin from services revenue was (5.1)% for the twelve months ended December 31, 2025, compared to 5.4% for the twelve months ended December 31, 2024. The decrease in gross margin is attributable to changes in the mix of service contracts and fluctuations of service expenses. Occasionally, we experience negative gross margin on service revenue as contract costs can vary significantly from one period to another based on customer demand.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2"/>
          </w:tcPr>
          <w:p>
            <w:pPr>
              <w:jc w:val="right"/>
              <w:ind w:right="428"/>
              <w:spacing w:after="0" w:line="129"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36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108,958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2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105,497</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1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3,461</w:t>
            </w:r>
          </w:p>
        </w:tc>
        <w:tc>
          <w:tcPr>
            <w:tcW w:w="660" w:type="dxa"/>
            <w:vAlign w:val="bottom"/>
            <w:gridSpan w:val="2"/>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3.3 </w:t>
            </w: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51"/>
              <w:spacing w:after="0" w:line="149" w:lineRule="exact"/>
              <w:rPr>
                <w:sz w:val="20"/>
                <w:szCs w:val="20"/>
                <w:color w:val="auto"/>
              </w:rPr>
            </w:pPr>
            <w:r>
              <w:rPr>
                <w:rFonts w:ascii="Times New Roman" w:cs="Times New Roman" w:eastAsia="Times New Roman" w:hAnsi="Times New Roman"/>
                <w:sz w:val="14"/>
                <w:szCs w:val="14"/>
                <w:i w:val="1"/>
                <w:iCs w:val="1"/>
                <w:color w:val="auto"/>
              </w:rPr>
              <w:t>13.0 %</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i w:val="1"/>
                <w:iCs w:val="1"/>
                <w:color w:val="auto"/>
              </w:rPr>
              <w:t>10.4 %</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65,368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68,046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(2,678)</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(3.9)</w:t>
            </w: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51"/>
              <w:spacing w:after="0" w:line="149" w:lineRule="exact"/>
              <w:rPr>
                <w:sz w:val="20"/>
                <w:szCs w:val="20"/>
                <w:color w:val="auto"/>
              </w:rPr>
            </w:pPr>
            <w:r>
              <w:rPr>
                <w:rFonts w:ascii="Times New Roman" w:cs="Times New Roman" w:eastAsia="Times New Roman" w:hAnsi="Times New Roman"/>
                <w:sz w:val="14"/>
                <w:szCs w:val="14"/>
                <w:i w:val="1"/>
                <w:iCs w:val="1"/>
                <w:color w:val="auto"/>
              </w:rPr>
              <w:t>7.8 %</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i w:val="1"/>
                <w:iCs w:val="1"/>
                <w:color w:val="auto"/>
              </w:rPr>
              <w:t>6.7 %</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83,207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70,317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12,890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18.3 </w:t>
            </w: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51"/>
              <w:spacing w:after="0" w:line="149" w:lineRule="exact"/>
              <w:rPr>
                <w:sz w:val="20"/>
                <w:szCs w:val="20"/>
                <w:color w:val="auto"/>
              </w:rPr>
            </w:pPr>
            <w:r>
              <w:rPr>
                <w:rFonts w:ascii="Times New Roman" w:cs="Times New Roman" w:eastAsia="Times New Roman" w:hAnsi="Times New Roman"/>
                <w:sz w:val="14"/>
                <w:szCs w:val="14"/>
                <w:i w:val="1"/>
                <w:iCs w:val="1"/>
                <w:color w:val="auto"/>
              </w:rPr>
              <w:t>9.9 %</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i w:val="1"/>
                <w:iCs w:val="1"/>
                <w:color w:val="auto"/>
              </w:rPr>
              <w:t>6.9 %</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257,533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243,860</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13,673</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5.6 </w:t>
            </w: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51"/>
              <w:spacing w:after="0"/>
              <w:rPr>
                <w:sz w:val="20"/>
                <w:szCs w:val="20"/>
                <w:color w:val="auto"/>
              </w:rPr>
            </w:pPr>
            <w:r>
              <w:rPr>
                <w:rFonts w:ascii="Times New Roman" w:cs="Times New Roman" w:eastAsia="Times New Roman" w:hAnsi="Times New Roman"/>
                <w:sz w:val="13"/>
                <w:szCs w:val="13"/>
                <w:i w:val="1"/>
                <w:iCs w:val="1"/>
                <w:color w:val="auto"/>
                <w:w w:val="73"/>
              </w:rPr>
              <w:t>%</w:t>
            </w: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30.7</w:t>
            </w: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24.0</w:t>
            </w:r>
          </w:p>
        </w:tc>
        <w:tc>
          <w:tcPr>
            <w:tcW w:w="2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including salaries, commissions, bonuses, stock-based compensation and related benefits and taxes; project material costs related to the design and development of new products and enhancement of existing products; and professional fees, facilities and amortization and depreciation expenses. Personnel costs are our largest expense, representing $146.1 million, or 56.7% of our total operating expenses, for the year ended December 31, 2025; and $144.2 million, or 59.1% of our total operating expenses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60"/>
          </w:cols>
          <w:pgMar w:left="1380" w:top="513" w:right="135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3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90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r>
      <w:tr>
        <w:trPr>
          <w:trHeight w:val="358"/>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108,958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105,497  ​​​   $</w:t>
            </w:r>
          </w:p>
        </w:tc>
        <w:tc>
          <w:tcPr>
            <w:tcW w:w="128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3,461  ​​​</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6"/>
                <w:szCs w:val="16"/>
                <w:i w:val="1"/>
                <w:iCs w:val="1"/>
                <w:color w:val="auto"/>
              </w:rPr>
              <w:t xml:space="preserve">3.3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7"/>
                <w:szCs w:val="17"/>
                <w:color w:val="auto"/>
              </w:rPr>
              <w:t>​​​</w:t>
            </w:r>
          </w:p>
        </w:tc>
      </w:tr>
      <w:tr>
        <w:trPr>
          <w:trHeight w:val="212"/>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13.0 %</w:t>
            </w:r>
          </w:p>
        </w:tc>
        <w:tc>
          <w:tcPr>
            <w:tcW w:w="3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i w:val="1"/>
                <w:iCs w:val="1"/>
                <w:color w:val="auto"/>
              </w:rPr>
              <w:t>10.4 %</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-271145</wp:posOffset>
            </wp:positionV>
            <wp:extent cx="57861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181" w:lineRule="exact"/>
        <w:rPr>
          <w:sz w:val="20"/>
          <w:szCs w:val="20"/>
          <w:color w:val="auto"/>
        </w:rPr>
      </w:pPr>
    </w:p>
    <w:p>
      <w:pPr>
        <w:ind w:left="20" w:right="120" w:firstLine="648"/>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drive competitive advantages.</w:t>
      </w:r>
    </w:p>
    <w:p>
      <w:pPr>
        <w:spacing w:after="0" w:line="180" w:lineRule="exact"/>
        <w:rPr>
          <w:sz w:val="20"/>
          <w:szCs w:val="20"/>
          <w:color w:val="auto"/>
        </w:rPr>
      </w:pPr>
    </w:p>
    <w:p>
      <w:pPr>
        <w:ind w:left="20" w:right="1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was $109.0 million in 2025, an increase of $3.5 million, or 3.3%, compared with $105.5 million in 2024. The increase was primarily due to higher variable compensation, stock compensation and expense related to early retirement programs and severance costs associated with global cost-saving initiatives.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8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40" w:type="dxa"/>
            <w:vAlign w:val="bottom"/>
            <w:gridSpan w:val="6"/>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vMerge w:val="continue"/>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780" w:type="dxa"/>
            <w:vAlign w:val="bottom"/>
            <w:gridSpan w:val="4"/>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 $   65,368  ​​​ $</w:t>
            </w:r>
          </w:p>
        </w:tc>
        <w:tc>
          <w:tcPr>
            <w:tcW w:w="10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68,046  ​​​ $</w:t>
            </w:r>
          </w:p>
        </w:tc>
        <w:tc>
          <w:tcPr>
            <w:tcW w:w="1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(2,678) ​​​</w:t>
            </w:r>
          </w:p>
        </w:tc>
        <w:tc>
          <w:tcPr>
            <w:tcW w:w="1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i w:val="1"/>
                <w:iCs w:val="1"/>
                <w:color w:val="auto"/>
              </w:rPr>
              <w:t>(3.9)</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5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7.8 %</w:t>
            </w:r>
          </w:p>
        </w:tc>
        <w:tc>
          <w:tcPr>
            <w:tcW w:w="240" w:type="dxa"/>
            <w:vAlign w:val="bottom"/>
          </w:tcPr>
          <w:p>
            <w:pPr>
              <w:spacing w:after="0"/>
              <w:rPr>
                <w:sz w:val="18"/>
                <w:szCs w:val="18"/>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i w:val="1"/>
                <w:iCs w:val="1"/>
                <w:color w:val="auto"/>
              </w:rPr>
              <w:t>6.7 %</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20" w:right="32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Sales and marketing expense was $65.4 million in 2025, a decrease of $2.7 million, or 3.9%, compared 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$68.0 million in 2024. The decrease was primarily due to a decrease in the labor expenses related to evaluation systems.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6"/>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4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880" w:type="dxa"/>
            <w:vAlign w:val="bottom"/>
            <w:gridSpan w:val="2"/>
          </w:tcPr>
          <w:p>
            <w:pPr>
              <w:jc w:val="right"/>
              <w:ind w:right="266"/>
              <w:spacing w:after="0" w:line="129"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83,207  ​​​ $</w:t>
            </w:r>
          </w:p>
        </w:tc>
        <w:tc>
          <w:tcPr>
            <w:tcW w:w="10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70,317  ​​​ $</w:t>
            </w:r>
          </w:p>
        </w:tc>
        <w:tc>
          <w:tcPr>
            <w:tcW w:w="11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12,890  ​​​</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i w:val="1"/>
                <w:iCs w:val="1"/>
                <w:color w:val="auto"/>
              </w:rPr>
              <w:t xml:space="preserve">18.3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7"/>
                <w:szCs w:val="17"/>
                <w:color w:val="auto"/>
              </w:rPr>
              <w:t>​​​</w:t>
            </w:r>
          </w:p>
        </w:tc>
      </w:tr>
      <w:tr>
        <w:trPr>
          <w:trHeight w:val="212"/>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9.9 %</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6.9 %</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201" w:lineRule="exact"/>
        <w:rPr>
          <w:sz w:val="20"/>
          <w:szCs w:val="20"/>
          <w:color w:val="auto"/>
        </w:rPr>
      </w:pPr>
    </w:p>
    <w:p>
      <w:pPr>
        <w:ind w:left="20" w:right="48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pacing w:after="0" w:line="162" w:lineRule="exact"/>
        <w:rPr>
          <w:sz w:val="20"/>
          <w:szCs w:val="20"/>
          <w:color w:val="auto"/>
        </w:rPr>
      </w:pPr>
    </w:p>
    <w:p>
      <w:pPr>
        <w:jc w:val="both"/>
        <w:ind w:left="20" w:right="3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$83.2 million in 2025, an increase of $12.9 million, or 18.3%, compared with $70.3 million in 2024. The increase was primarily due to an increase in merger-related professional and filing fees of $16.3, partially offset by a decrease in bad debt expense $3.0.</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ind w:left="20" w:right="400" w:firstLine="648"/>
        <w:spacing w:after="0" w:line="312" w:lineRule="auto"/>
        <w:rPr>
          <w:sz w:val="20"/>
          <w:szCs w:val="20"/>
          <w:color w:val="auto"/>
        </w:rPr>
      </w:pPr>
      <w:r>
        <w:rPr>
          <w:rFonts w:ascii="Times New Roman" w:cs="Times New Roman" w:eastAsia="Times New Roman" w:hAnsi="Times New Roman"/>
          <w:sz w:val="17"/>
          <w:szCs w:val="17"/>
          <w:color w:val="auto"/>
        </w:rPr>
        <w:t>Other income (expense) consists of interest earned and accretion on our invested cash balances, interest expense relating to the finance lease obligation we incurred in connection with the 2015 sale of our headquarters facility (“sale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57950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40"/>
          </w:cols>
          <w:pgMar w:left="1360" w:top="513" w:right="1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leaseback”) as well as foreign exchange gains and losses attributable to both fluctuations of the U.S. dollar against the local currencies of certain of the countries in which we operate and forward currency exchange contracts.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3"/>
        </w:trPr>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5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i w:val="1"/>
                <w:iCs w:val="1"/>
                <w:color w:val="auto"/>
              </w:rPr>
              <w:t>(2.8)</w:t>
            </w:r>
            <w:r>
              <w:rPr>
                <w:rFonts w:ascii="Times New Roman" w:cs="Times New Roman" w:eastAsia="Times New Roman" w:hAnsi="Times New Roman"/>
                <w:sz w:val="16"/>
                <w:szCs w:val="16"/>
                <w:color w:val="auto"/>
              </w:rPr>
              <w:t>%</w:t>
            </w:r>
          </w:p>
        </w:tc>
      </w:tr>
      <w:tr>
        <w:trPr>
          <w:trHeight w:val="212"/>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2.3 %</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2.0 %</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r>
    </w:tbl>
    <w:p>
      <w:pPr>
        <w:spacing w:after="0" w:line="201" w:lineRule="exact"/>
        <w:rPr>
          <w:sz w:val="20"/>
          <w:szCs w:val="20"/>
          <w:color w:val="auto"/>
        </w:rPr>
      </w:pPr>
    </w:p>
    <w:p>
      <w:pPr>
        <w:ind w:right="240" w:firstLine="648"/>
        <w:spacing w:after="0" w:line="274" w:lineRule="auto"/>
        <w:rPr>
          <w:sz w:val="20"/>
          <w:szCs w:val="20"/>
          <w:color w:val="auto"/>
        </w:rPr>
      </w:pPr>
      <w:r>
        <w:rPr>
          <w:rFonts w:ascii="Times New Roman" w:cs="Times New Roman" w:eastAsia="Times New Roman" w:hAnsi="Times New Roman"/>
          <w:sz w:val="17"/>
          <w:szCs w:val="17"/>
          <w:color w:val="auto"/>
        </w:rPr>
        <w:t>Other income for the year ended December 31, 2025 was $18.9 million, which includes $21.5 million of interest income on our investments, partially offset by $5.4 million of interest expense related to our sale leaseback obligation and $4.5 million of foreign exchange gains, partially offset by $2.1 million of foreign exchange losses from forward exchange contracts. Other expense for the year ended December 31, 2024 was $19.5 million, which includes $24.4 million of interest income on our investments, partially offset by $5.5 million of interest expense related to our sale leaseback obligation and $9.1 million of foreign exchange losses, offset by $9.1 million of foreign exchange gains from forward exchange contracts.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4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406"/>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7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(11,271)</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i w:val="1"/>
                <w:iCs w:val="1"/>
                <w:color w:val="auto"/>
              </w:rPr>
              <w:t>(38.5)</w:t>
            </w:r>
            <w:r>
              <w:rPr>
                <w:rFonts w:ascii="Times New Roman" w:cs="Times New Roman" w:eastAsia="Times New Roman" w:hAnsi="Times New Roman"/>
                <w:sz w:val="16"/>
                <w:szCs w:val="16"/>
                <w:color w:val="auto"/>
              </w:rPr>
              <w:t>%</w:t>
            </w:r>
          </w:p>
        </w:tc>
      </w:tr>
      <w:tr>
        <w:trPr>
          <w:trHeight w:val="212"/>
        </w:trPr>
        <w:tc>
          <w:tcPr>
            <w:tcW w:w="402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2.1 %</w:t>
            </w:r>
          </w:p>
        </w:tc>
        <w:tc>
          <w:tcPr>
            <w:tcW w:w="4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2.9 %</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20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$18.0 million for the year ended December 31, 2025, compared to $29.3 million in 2024. The effective tax rate for the year ended December 31, 2025 was 13.0% compared to 12.7% for year the ended December 31, 2024. The increase in the effective tax rate in 2025 is primarily due to a decrease in the deduction related to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our sales and other factors are influenced by the uncertainties of global economies, including the availability of credit and the condition of the overall semiconductor capital equipment industry. Our industry requires ongoing investments in operations and research and development that are not easily adjusted to reflect changes in revenue. As a result, profitability and cash flows can fluctuate more widely than revenue.</w:t>
      </w:r>
    </w:p>
    <w:p>
      <w:pPr>
        <w:spacing w:after="0" w:line="183"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18"/>
          <w:szCs w:val="18"/>
          <w:color w:val="auto"/>
        </w:rPr>
        <w:t>In 2025, $118.3 million of cash was provided by operating activities. This compares to $140.8 million of cash provided by operations in 2024. Cash and cash equivalents at December 31, 2025 was $145.5 million, compared to $123.5 million at December 31, 2024. Approximately $51.8 million of cash was located in foreign jurisdictions as of December 31, 2025. In addition to the cash and cash equivalent balance at December 31, 2025, we had $10.6 million in restricted cash which relates to a $5.9 million cash collateral relating to our lease for our headquarters in Beverly, Massachusetts, a $3.9 million letter of credit for customs purposes, a $0.7 million letter of credit relating to workers’ compensation insurance and a $0.1 million deposit relating to customs activity. Working capital at December 31, 2025 was $745.5 million. At December 31, 2025, we had no bank debt.</w:t>
      </w:r>
    </w:p>
    <w:p>
      <w:pPr>
        <w:spacing w:after="0" w:line="19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2025, $29.9 million of cash was used in investing activities, $11.3 million of which was used for capital expenditures. We used $646.0 million of cash for purchases of short-term and long-term investments, offset by maturities of short-term investment of $687.2 million. We held $228.8 million of short-term investments and $182.4 million of long-term investments at December 31, 2025. These short-term and long-term investments consist of U.S. Government securities and agency investments. In 2024, $108.7 million of cash was used in investing activities, $12.2 million of which was used for capital expenditures. We used $539.1 million of cash for purchases of short-term investments, partially offset by maturities of short-term investments of $442.6 million. Total capital expenditures for 2026 are projected to be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approximately $18 million. Future capital expenditures beyond 2026 will depend on a number of factors, including the timing and rate of expansion of our business and our ability to generate cash to fund them.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in financing activities for the year ended December 31, 2025 was $124.5 million, which consisted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$121.1 million related to our stock repurchase program, $4.5 million related to net settlement of restricted stock issuances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related to principal reduction on our finance lease. These amounts were partially offset by $2.5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our employee stock purchase plan. Cash used in financing activities was $71.2 million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which consisted of $60.5 million related to our stock repurchase program, $11.6 million related to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restricted stock issuances, and $1.5 million of principal reduction on our finance lease. These amounts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$2.4 million in proceeds from our employee stock purchase plan.</w:t>
      </w:r>
    </w:p>
    <w:p>
      <w:pPr>
        <w:spacing w:after="0" w:line="20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outstanding letters of credit, surety bonds and deposits in the amount of $25.3 million to cover the security deposit under the lease of our headquarters, our workers’ compensation insurance program, customs and bank deposits and certain value added tax claims in Europe.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our commercial commitments as of December 31, 2025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Commercial Commitments</w:t>
            </w:r>
          </w:p>
        </w:tc>
        <w:tc>
          <w:tcPr>
            <w:tcW w:w="8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7"/>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Expiration by Period</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2027</w:t>
            </w:r>
          </w:p>
        </w:tc>
        <w:tc>
          <w:tcPr>
            <w:tcW w:w="80" w:type="dxa"/>
            <w:vAlign w:val="bottom"/>
          </w:tcPr>
          <w:p>
            <w:pPr>
              <w:spacing w:after="0"/>
              <w:rPr>
                <w:sz w:val="12"/>
                <w:szCs w:val="12"/>
                <w:color w:val="auto"/>
              </w:rPr>
            </w:pPr>
          </w:p>
        </w:tc>
        <w:tc>
          <w:tcPr>
            <w:tcW w:w="26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Surety bonds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$ 14,724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 and deposits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$ 25,263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our contractual obligations as of December 31, 2025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​​​2027-2028  ​​​2029-2030</w:t>
            </w:r>
          </w:p>
        </w:tc>
        <w:tc>
          <w:tcPr>
            <w:tcW w:w="9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​​​2031-Beyond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leaseback obligation</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$ 12,379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$ 12,879</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Purchase order commitments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291,094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183,299</w:t>
            </w: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$ 26,882</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$ 18,236</w:t>
            </w:r>
          </w:p>
        </w:tc>
        <w:tc>
          <w:tcPr>
            <w:tcW w:w="160" w:type="dxa"/>
            <w:vAlign w:val="bottom"/>
            <w:gridSpan w:val="2"/>
          </w:tcPr>
          <w:p>
            <w:pPr>
              <w:spacing w:after="0"/>
              <w:rPr>
                <w:sz w:val="18"/>
                <w:szCs w:val="18"/>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as of December 31, 2025. See Note 18 – Income Taxes in the Notes to the Consolidated Financial Statements for information related to our unrecognized tax benefits and Note 19 – Merger for contractual termination fees associated with our pending acquisition.</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consider the undistributed earnings of our foreign subsidiaries as of December 31, 2025 to be indefinitely reinvested and, accordingly, no U.S. income taxes have been provided thereon. As of December 31, 2025, there was no cash associated with indefinitely reinvested foreign earnings. We have not, nor do we anticipate the need to, repatriate funds to the United States to satisfy domestic liquidity needs arising in the ordinary course of business. Upon repatriation of those earnings, in the form of dividends or otherwise, we could be subject to withholding taxes payable to the various foreign tax jurisdictions.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the rules of the SEC, we qualify as a “well-known seasoned issuer,” which allows us to file shelf registration statements to register an unspecified amount of securities that are effective upon filing. On August 3, 2023,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expire in August 2026. We may file another shelf registration statement to maintain the availability of this financing option.</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have a cash collateralized letter of credit of $5.9 million, which is classified as long-term restricted cash on our balance sheet at December 31, 2025.</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cash equivalents, short-term and long-term investments will be sufficient to satisfy our anticipated cash requirements for the short and long-term.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are no significant related-party transactions that require disclosure in the consolidated financial statements for the year ended December 31, 2025, or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 discussion of recent accounting pronouncements, the impact of some of which may be material, is included in Note 2 to the consolidated financial statements for the year ended December 31, 2025 included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Our exposure to market risk for changes in interest rates relates primarily to our investment portfolio, which consists of cash equivalents, short-term investments, and long-term investments at December 31, 2025. The primary objective of our investment activities is to preserve principal. This is accomplished by investing in marketable investment grade securities. We do not use derivative financial instruments in managing our investment portfolio. Due to the nature of our investments, we do not expect our operating results or cash flows to be affected to any significant degree by any change in market interest rates.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sales are billed in U.S. dollars, thereby reducing the impact of fluctuations in foreign exchange rates on our results. We are exposed to certain risks relating to our ongoing business operations, including market risks relating to fluctuations in foreign currency exchange rates. Operating margins of certain foreign operations can fluctuate with changes in foreign exchange rates to the extent revenue is billed in U.S. dollars and operating expenses are incurred in the local currency. We have entered forward exchange contracts in order to mitigate risks associated with fluctuations in exchange rates on forecasted transactions denominated in foreign currencies and to minimize the impact of foreign currency fluctuations on our earnings and cash flows. These contracts have month-to-month settlement dates. During the years ended December 31, 2025 and 2024, approximately 11.4% and 6.2% of our revenue, respectively, were derived in local currencies from foreign operations with this inherent risk. In addition, at December 31, 2025 and 2024, our operations outside the United States accounted for approximately 11.9% and 9.2% of our total assets, respectively, the majority of which was denominated in currencies other than the U.S. dollar.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Response to this Item is submitted as a separate section of this report immediately following Item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Exchange Act as of the end of the period covered by this Annual Report on Form 10-K (the “Evaluation Date”). Based on this evaluation, our principal executive officer and principal financial officer concluded that, as of the Evaluation Date, these disclosure controls and procedures are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13a-15(f) under the Exchange Act. Because of its inherent limitations, internal control over financial reporting may not prevent or detect all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2025. In making this assessment, management used the criteria set forth in the Committee of Sponsoring Organizations of the Treadway Commission (“COSO”) Internal Control—2013 Integrated Framework.</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Based on this assessment, management has concluded that, as of December 31, 2025, our internal control over financial reporting is effective based on those criteria.</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of Ernst &amp; Young LLP, as auditors of our consolidated financial statements, has issued an attestation report on its assessment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Axcelis Technologies,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Axcelis Technologies, Inc’s internal control over financial reporting as of December 31, 2025, based on criteria established in Internal Control—Integrated Framework issued by the Committee of Sponsoring Organizations of the Treadway Commission (2013 framework) (the COSO criteria). In our opinion, Axcelis Technologies, Inc. (the Company) maintained, in all material respects, effective internal control over financial reporting as of December 31, 2025, based on the COSO criteria.</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2025 consolidated financial statements of the Company and our report dated February 26, 2026 expressed an unqualified opinion thereon.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59"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the evaluation of our internal control that occurred during our fourth quarter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139" w:firstLine="648"/>
        <w:spacing w:after="0" w:line="258" w:lineRule="auto"/>
        <w:rPr>
          <w:sz w:val="20"/>
          <w:szCs w:val="20"/>
          <w:color w:val="auto"/>
        </w:rPr>
      </w:pPr>
      <w:r>
        <w:rPr>
          <w:rFonts w:ascii="Times New Roman" w:cs="Times New Roman" w:eastAsia="Times New Roman" w:hAnsi="Times New Roman"/>
          <w:sz w:val="18"/>
          <w:szCs w:val="18"/>
          <w:color w:val="auto"/>
        </w:rPr>
        <w:t>During the quarter ended December 31, 2025, Russell J. Low adopted a 10b5-1 Preset Diversification Program. No other director or officer adopted, modified or terminated any contract, instrument or written plan for the purchase or sale of Axcelis securities intended to satisfy the affirmative defense conditions of Rule 10b5-1(c) under the Exchange Act or any non-Rule 10b5-1 trading arrangement as defined in Item 408(c) of Regulation S-K during the quarter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portion of the information required by Item 10 of Form 10-K is incorporated by reference from the information responsive thereto contained in the sections in the Axcelis Proxy Statement for the Annual Meeting of Stockholders to be held May 5, 2026 (the “Proxy Statement”) captioned:</w:t>
      </w:r>
    </w:p>
    <w:p>
      <w:pPr>
        <w:spacing w:after="0" w:line="176" w:lineRule="exact"/>
        <w:rPr>
          <w:sz w:val="20"/>
          <w:szCs w:val="20"/>
          <w:color w:val="auto"/>
        </w:rPr>
      </w:pPr>
    </w:p>
    <w:p>
      <w:pPr>
        <w:ind w:left="1000" w:hanging="320"/>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Directors,”</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Committees,”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remainder of such information is set forth under the heading “Information about Our Executive Officers” at the end of Item 1 in Part I of this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Form 10-K is incorporated by reference from the information responsive thereto contained in the sections in the Proxy Statement captioned:</w:t>
      </w:r>
    </w:p>
    <w:p>
      <w:pPr>
        <w:spacing w:after="0" w:line="162" w:lineRule="exact"/>
        <w:rPr>
          <w:sz w:val="20"/>
          <w:szCs w:val="20"/>
          <w:color w:val="auto"/>
        </w:rPr>
      </w:pPr>
    </w:p>
    <w:p>
      <w:pPr>
        <w:ind w:left="1000" w:hanging="320"/>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Committees—Compensation Committee Interlocks and Insider Participation.”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of Form 10-K is incorporated by reference from the information responsive thereto contained in the sections in the Proxy Statement captioned:</w:t>
      </w:r>
    </w:p>
    <w:p>
      <w:pPr>
        <w:spacing w:after="0" w:line="162" w:lineRule="exact"/>
        <w:rPr>
          <w:sz w:val="20"/>
          <w:szCs w:val="20"/>
          <w:color w:val="auto"/>
        </w:rPr>
      </w:pPr>
    </w:p>
    <w:p>
      <w:pPr>
        <w:ind w:left="1000" w:hanging="320"/>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of 5% Stockholders,”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of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of Form 10-K is incorporated by reference from the information responsive thereto contained in the sections in the Proxy Statement captioned:</w:t>
      </w:r>
    </w:p>
    <w:p>
      <w:pPr>
        <w:spacing w:after="0" w:line="162" w:lineRule="exact"/>
        <w:rPr>
          <w:sz w:val="20"/>
          <w:szCs w:val="20"/>
          <w:color w:val="auto"/>
        </w:rPr>
      </w:pPr>
    </w:p>
    <w:p>
      <w:pPr>
        <w:ind w:left="1000" w:hanging="320"/>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Governance—Certain Relationships and Related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14 of Form 10-K is incorporated by reference from the information responsive thereto contained in the section captioned “Proposal 2: Ratification of the Appointment of our Independent Registered Public Accounting Firm” in the Proxy Statement.</w:t>
      </w:r>
    </w:p>
    <w:p>
      <w:pPr>
        <w:sectPr>
          <w:pgSz w:w="11900" w:h="16838" w:orient="portrait"/>
          <w:cols w:equalWidth="0" w:num="1">
            <w:col w:w="9100"/>
          </w:cols>
          <w:pgMar w:left="1380" w:top="513" w:right="14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660" w:hanging="655"/>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1320" w:hanging="640"/>
        <w:spacing w:after="0"/>
        <w:tabs>
          <w:tab w:leader="none" w:pos="13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7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43</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 For the years ended December 31, 2025, 2024 and</w:t>
            </w:r>
          </w:p>
        </w:tc>
        <w:tc>
          <w:tcPr>
            <w:tcW w:w="5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70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00" w:type="dxa"/>
            <w:vAlign w:val="bottom"/>
          </w:tcPr>
          <w:p>
            <w:pPr>
              <w:spacing w:after="0"/>
              <w:rPr>
                <w:sz w:val="17"/>
                <w:szCs w:val="17"/>
                <w:color w:val="auto"/>
              </w:rPr>
            </w:pPr>
          </w:p>
        </w:tc>
        <w:tc>
          <w:tcPr>
            <w:tcW w:w="69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 For the years ended December 31, 2025,</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2024 and 2023</w:t>
            </w:r>
          </w:p>
        </w:tc>
        <w:tc>
          <w:tcPr>
            <w:tcW w:w="576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00" w:type="dxa"/>
            <w:vAlign w:val="bottom"/>
          </w:tcPr>
          <w:p>
            <w:pPr>
              <w:spacing w:after="0"/>
              <w:rPr>
                <w:sz w:val="17"/>
                <w:szCs w:val="17"/>
                <w:color w:val="auto"/>
              </w:rPr>
            </w:pPr>
          </w:p>
        </w:tc>
        <w:tc>
          <w:tcPr>
            <w:tcW w:w="4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 December 31, 2025 and 2024</w:t>
            </w:r>
          </w:p>
        </w:tc>
        <w:tc>
          <w:tcPr>
            <w:tcW w:w="2520" w:type="dxa"/>
            <w:vAlign w:val="bottom"/>
            <w:gridSpan w:val="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00" w:type="dxa"/>
            <w:vAlign w:val="bottom"/>
          </w:tcPr>
          <w:p>
            <w:pPr>
              <w:spacing w:after="0"/>
              <w:rPr>
                <w:sz w:val="17"/>
                <w:szCs w:val="17"/>
                <w:color w:val="auto"/>
              </w:rPr>
            </w:pPr>
          </w:p>
        </w:tc>
        <w:tc>
          <w:tcPr>
            <w:tcW w:w="7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 For the years ended December 31, 2025,</w:t>
            </w:r>
          </w:p>
        </w:tc>
        <w:tc>
          <w:tcPr>
            <w:tcW w:w="5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2024 and 2023</w:t>
            </w:r>
          </w:p>
        </w:tc>
        <w:tc>
          <w:tcPr>
            <w:tcW w:w="5480" w:type="dxa"/>
            <w:vAlign w:val="bottom"/>
            <w:tcBorders>
              <w:top w:val="single" w:sz="8" w:color="0000EE"/>
            </w:tcBorders>
            <w:gridSpan w:val="5"/>
          </w:tcPr>
          <w:p>
            <w:pPr>
              <w:spacing w:after="0"/>
              <w:rPr>
                <w:sz w:val="17"/>
                <w:szCs w:val="17"/>
                <w:color w:val="auto"/>
              </w:rPr>
            </w:pPr>
          </w:p>
        </w:tc>
        <w:tc>
          <w:tcPr>
            <w:tcW w:w="28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00" w:type="dxa"/>
            <w:vAlign w:val="bottom"/>
          </w:tcPr>
          <w:p>
            <w:pPr>
              <w:spacing w:after="0"/>
              <w:rPr>
                <w:sz w:val="17"/>
                <w:szCs w:val="17"/>
                <w:color w:val="auto"/>
              </w:rPr>
            </w:pPr>
          </w:p>
        </w:tc>
        <w:tc>
          <w:tcPr>
            <w:tcW w:w="7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 For the years ended December 31, 2025, 2024 and</w:t>
            </w:r>
          </w:p>
        </w:tc>
        <w:tc>
          <w:tcPr>
            <w:tcW w:w="5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70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0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86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453"/>
        </w:trPr>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79"/>
              </w:rPr>
              <w:t>2)</w:t>
            </w:r>
          </w:p>
        </w:tc>
        <w:tc>
          <w:tcPr>
            <w:tcW w:w="360" w:type="dxa"/>
            <w:vAlign w:val="bottom"/>
          </w:tcPr>
          <w:p>
            <w:pPr>
              <w:spacing w:after="0"/>
              <w:rPr>
                <w:sz w:val="24"/>
                <w:szCs w:val="24"/>
                <w:color w:val="auto"/>
              </w:rPr>
            </w:pPr>
          </w:p>
        </w:tc>
        <w:tc>
          <w:tcPr>
            <w:tcW w:w="64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580" w:type="dxa"/>
            <w:vAlign w:val="bottom"/>
          </w:tcPr>
          <w:p>
            <w:pPr>
              <w:spacing w:after="0"/>
              <w:rPr>
                <w:sz w:val="24"/>
                <w:szCs w:val="24"/>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Schedule II—Valuation and Qualifying Accounts for the years ended December 31, 2025, 2024 and 2023.</w:t>
      </w:r>
    </w:p>
    <w:p>
      <w:pPr>
        <w:spacing w:after="0" w:line="225" w:lineRule="exact"/>
        <w:rPr>
          <w:sz w:val="20"/>
          <w:szCs w:val="20"/>
          <w:color w:val="auto"/>
        </w:rPr>
      </w:pPr>
    </w:p>
    <w:p>
      <w:pPr>
        <w:ind w:left="1320" w:hanging="640"/>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300" w:right="139"/>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Annual Report on Form 10-K are listed on the Exhibit Index immediately preceding the signature page, which Exhibit Index is incorporated herein by reference.</w:t>
      </w:r>
    </w:p>
    <w:p>
      <w:pPr>
        <w:spacing w:after="0" w:line="162" w:lineRule="exact"/>
        <w:rPr>
          <w:sz w:val="20"/>
          <w:szCs w:val="20"/>
          <w:color w:val="auto"/>
        </w:rPr>
      </w:pPr>
    </w:p>
    <w:p>
      <w:pPr>
        <w:ind w:left="1300" w:right="39"/>
        <w:spacing w:after="0" w:line="266"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regulation of the Securities and Exchange Commission are not required under the related instructions or are inapplicable, and therefore have been omitted.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300" w:firstLine="2307"/>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Axcelis Technologies,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Axcelis Technologies, Inc. (the Company) as of December 31, 2025 and 2024, the related consolidated statements of operations, comprehensive income, stockholders' equity and cash flows for each of the three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ASU 2023-09 Improvements to Income Tax Disclosures (Topic 740)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income tax disclosures in 2024 and 2023 due to the adoption of ASU No. 2023-09, Improvements to Income Tax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Systems Revenue recognition</w:t>
      </w:r>
    </w:p>
    <w:p>
      <w:pPr>
        <w:spacing w:after="0" w:line="376"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discussed in Note 2 and Note 3 to the consolidated financial statements, the Company generates</w:t>
      </w:r>
    </w:p>
    <w:p>
      <w:pPr>
        <w:spacing w:after="0" w:line="29" w:lineRule="exact"/>
        <w:rPr>
          <w:sz w:val="20"/>
          <w:szCs w:val="20"/>
          <w:color w:val="auto"/>
        </w:rPr>
      </w:pPr>
    </w:p>
    <w:p>
      <w:pPr>
        <w:jc w:val="both"/>
        <w:ind w:left="1640" w:hanging="1639"/>
        <w:spacing w:after="0" w:line="253" w:lineRule="auto"/>
        <w:tabs>
          <w:tab w:leader="none" w:pos="162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revenue from the sale of ion implantation and other processing equipment used in the manufacture of semiconductor chips (“systems revenue”). The Company’s revenue contracts for systems have multiple performance obligations, including the systems themselves and obligations that are not delivered simultaneously with the systems. Systems revenue accounted for $571 million of the Company’s total</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revenue of $839 million in 2025.</w:t>
      </w:r>
    </w:p>
    <w:p>
      <w:pPr>
        <w:spacing w:after="0" w:line="158" w:lineRule="exact"/>
        <w:rPr>
          <w:sz w:val="20"/>
          <w:szCs w:val="20"/>
          <w:color w:val="auto"/>
        </w:rPr>
      </w:pPr>
    </w:p>
    <w:p>
      <w:pPr>
        <w:jc w:val="both"/>
        <w:ind w:left="1640"/>
        <w:spacing w:after="0" w:line="258" w:lineRule="auto"/>
        <w:rPr>
          <w:sz w:val="20"/>
          <w:szCs w:val="20"/>
          <w:color w:val="auto"/>
        </w:rPr>
      </w:pPr>
      <w:r>
        <w:rPr>
          <w:rFonts w:ascii="Times New Roman" w:cs="Times New Roman" w:eastAsia="Times New Roman" w:hAnsi="Times New Roman"/>
          <w:sz w:val="18"/>
          <w:szCs w:val="18"/>
          <w:color w:val="auto"/>
        </w:rPr>
        <w:t>Auditing management’s recognition of revenue was challenging because of the higher extent of audit effort and because the amounts are material to the consolidated financial statements and related disclosures. During our risk assessment process, we identified a higher inherent risk related to revenue primarily due to the size of the account, as well as the focus on revenue from readers of the financial statements.</w:t>
      </w:r>
    </w:p>
    <w:p>
      <w:pPr>
        <w:spacing w:after="0" w:line="1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How We Addressed </w:t>
      </w:r>
      <w:r>
        <w:rPr>
          <w:rFonts w:ascii="Times New Roman" w:cs="Times New Roman" w:eastAsia="Times New Roman" w:hAnsi="Times New Roman"/>
          <w:sz w:val="18"/>
          <w:szCs w:val="18"/>
          <w:color w:val="auto"/>
        </w:rPr>
        <w:t>We obtained an understanding, evaluated the design and tested the operating effectiveness of controls</w:t>
      </w:r>
      <w:r>
        <w:rPr>
          <w:rFonts w:ascii="Times New Roman" w:cs="Times New Roman" w:eastAsia="Times New Roman" w:hAnsi="Times New Roman"/>
          <w:sz w:val="18"/>
          <w:szCs w:val="18"/>
          <w:i w:val="1"/>
          <w:iCs w:val="1"/>
          <w:color w:val="auto"/>
        </w:rPr>
        <w:t xml:space="preserve"> the Matter in Our </w:t>
      </w:r>
      <w:r>
        <w:rPr>
          <w:rFonts w:ascii="Times New Roman" w:cs="Times New Roman" w:eastAsia="Times New Roman" w:hAnsi="Times New Roman"/>
          <w:sz w:val="18"/>
          <w:szCs w:val="18"/>
          <w:color w:val="auto"/>
        </w:rPr>
        <w:t>over the Company’s systems revenue recognition process, including controls designed to mitigate the</w:t>
      </w:r>
    </w:p>
    <w:p>
      <w:pPr>
        <w:ind w:left="1640" w:hanging="1639"/>
        <w:spacing w:after="0" w:line="260" w:lineRule="auto"/>
        <w:tabs>
          <w:tab w:leader="none" w:pos="162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risk of override of controls. This included testing controls over management’s review of manual journal entries and revenue related account reconciliations.</w:t>
      </w:r>
    </w:p>
    <w:p>
      <w:pPr>
        <w:spacing w:after="0" w:line="114" w:lineRule="exact"/>
        <w:rPr>
          <w:sz w:val="20"/>
          <w:szCs w:val="20"/>
          <w:color w:val="auto"/>
        </w:rPr>
      </w:pPr>
    </w:p>
    <w:p>
      <w:pPr>
        <w:jc w:val="both"/>
        <w:ind w:left="1640"/>
        <w:spacing w:after="0" w:line="256" w:lineRule="auto"/>
        <w:rPr>
          <w:sz w:val="20"/>
          <w:szCs w:val="20"/>
          <w:color w:val="auto"/>
        </w:rPr>
      </w:pPr>
      <w:r>
        <w:rPr>
          <w:rFonts w:ascii="Times New Roman" w:cs="Times New Roman" w:eastAsia="Times New Roman" w:hAnsi="Times New Roman"/>
          <w:sz w:val="18"/>
          <w:szCs w:val="18"/>
          <w:color w:val="auto"/>
        </w:rPr>
        <w:t>To test systems revenue recognition, we reconciled revenue recognized to the Company’s general ledger to test completeness and performed substantive test of details over significant transactions deemed to be key items and a representative sample of the remaining transactions. For example, we selected and read a sample of arrangements to evaluate the completeness of the promised products and services and the related revenue recognized. We also confirmed directly with certain of the Company’s customers the terms of the selected system revenue arrangements.</w:t>
      </w:r>
    </w:p>
    <w:p>
      <w:pPr>
        <w:spacing w:after="0" w:line="19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Estimate of Excess Inventory</w:t>
      </w:r>
    </w:p>
    <w:p>
      <w:pPr>
        <w:spacing w:after="0" w:line="376"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The Company’s inventories totaled $329 million, net, as of December 31, 2025. As described in Note 2</w:t>
      </w:r>
    </w:p>
    <w:p>
      <w:pPr>
        <w:spacing w:after="0" w:line="29" w:lineRule="exact"/>
        <w:rPr>
          <w:sz w:val="20"/>
          <w:szCs w:val="20"/>
          <w:color w:val="auto"/>
        </w:rPr>
      </w:pPr>
    </w:p>
    <w:p>
      <w:pPr>
        <w:jc w:val="both"/>
        <w:ind w:left="1640" w:hanging="1639"/>
        <w:spacing w:after="0" w:line="255" w:lineRule="auto"/>
        <w:tabs>
          <w:tab w:leader="none" w:pos="162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and Note 6 to the consolidated financial statements, the Company records a provision for estimated excess inventory. Management determines the provision using its assumptions of future materials usage, based on estimates of demand and market conditions.</w:t>
      </w:r>
    </w:p>
    <w:p>
      <w:pPr>
        <w:spacing w:after="0" w:line="118" w:lineRule="exact"/>
        <w:rPr>
          <w:sz w:val="20"/>
          <w:szCs w:val="20"/>
          <w:color w:val="auto"/>
        </w:rPr>
      </w:pPr>
    </w:p>
    <w:p>
      <w:pPr>
        <w:jc w:val="both"/>
        <w:ind w:left="1640"/>
        <w:spacing w:after="0" w:line="258" w:lineRule="auto"/>
        <w:rPr>
          <w:sz w:val="20"/>
          <w:szCs w:val="20"/>
          <w:color w:val="auto"/>
        </w:rPr>
      </w:pPr>
      <w:r>
        <w:rPr>
          <w:rFonts w:ascii="Times New Roman" w:cs="Times New Roman" w:eastAsia="Times New Roman" w:hAnsi="Times New Roman"/>
          <w:sz w:val="18"/>
          <w:szCs w:val="18"/>
          <w:color w:val="auto"/>
        </w:rPr>
        <w:t>Auditing the Company’s provision for excess inventory is complex due to the judgmental nature of the factors used to estimate demand and market conditions. Specifically, the Company’s estimated materials usage may be significantly affected by the expected utilization period by customers of installed systems. Management’s estimate of the expected utilization period could be affected by future economic and market conditions that could have a significant effect on the excess inventory reserve.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How We Addressed </w:t>
      </w:r>
      <w:r>
        <w:rPr>
          <w:rFonts w:ascii="Times New Roman" w:cs="Times New Roman" w:eastAsia="Times New Roman" w:hAnsi="Times New Roman"/>
          <w:sz w:val="18"/>
          <w:szCs w:val="18"/>
          <w:color w:val="auto"/>
        </w:rPr>
        <w:t>We obtained an understanding, evaluated the design, and tested the operating effectiveness of internal</w:t>
      </w:r>
      <w:r>
        <w:rPr>
          <w:rFonts w:ascii="Times New Roman" w:cs="Times New Roman" w:eastAsia="Times New Roman" w:hAnsi="Times New Roman"/>
          <w:sz w:val="18"/>
          <w:szCs w:val="18"/>
          <w:i w:val="1"/>
          <w:iCs w:val="1"/>
          <w:color w:val="auto"/>
        </w:rPr>
        <w:t xml:space="preserve"> the Matter in Our </w:t>
      </w:r>
      <w:r>
        <w:rPr>
          <w:rFonts w:ascii="Times New Roman" w:cs="Times New Roman" w:eastAsia="Times New Roman" w:hAnsi="Times New Roman"/>
          <w:sz w:val="18"/>
          <w:szCs w:val="18"/>
          <w:color w:val="auto"/>
        </w:rPr>
        <w:t>controls, including management review controls over the Company’s excess inventory reserve</w:t>
      </w:r>
    </w:p>
    <w:p>
      <w:pPr>
        <w:jc w:val="both"/>
        <w:ind w:left="1640" w:right="20" w:hanging="1639"/>
        <w:spacing w:after="0" w:line="253" w:lineRule="auto"/>
        <w:tabs>
          <w:tab w:leader="none" w:pos="162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estimation process. This included management’s assessment of the assumptions and data underlying the excess inventory provision. For example, we tested controls over management’s review of the assumption relating to the expected utilization period of installed systems. We also tested management’s controls over the completeness and accuracy of the data used in the estimation model.</w:t>
      </w:r>
    </w:p>
    <w:p>
      <w:pPr>
        <w:spacing w:after="0" w:line="121" w:lineRule="exact"/>
        <w:rPr>
          <w:sz w:val="20"/>
          <w:szCs w:val="20"/>
          <w:color w:val="auto"/>
        </w:rPr>
      </w:pPr>
    </w:p>
    <w:p>
      <w:pPr>
        <w:jc w:val="both"/>
        <w:ind w:left="1640"/>
        <w:spacing w:after="0" w:line="254" w:lineRule="auto"/>
        <w:rPr>
          <w:sz w:val="20"/>
          <w:szCs w:val="20"/>
          <w:color w:val="auto"/>
        </w:rPr>
      </w:pPr>
      <w:r>
        <w:rPr>
          <w:rFonts w:ascii="Times New Roman" w:cs="Times New Roman" w:eastAsia="Times New Roman" w:hAnsi="Times New Roman"/>
          <w:sz w:val="18"/>
          <w:szCs w:val="18"/>
          <w:color w:val="auto"/>
        </w:rPr>
        <w:t>Our substantive audit procedures included, among others, evaluating the expected utilization period of installed systems used by Management and testing the accuracy and completeness of the underlying data used by management to compute the value of excess inventory. For example, we compared the quantities of on-hand inventories to historical and forecasted materials usage and evaluated adjustments to forecasts for specific product considerations, such as technological changes or alternative uses. We also assessed the historical accuracy of management’s estimates and performed sensitivity analyses over the significant assumptions used by Management to evaluate the changes in the excess inventory estimate that would result from changes in the underlying assumption.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0" w:type="dxa"/>
            <w:vAlign w:val="bottom"/>
            <w:gridSpan w:val="4"/>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vMerge w:val="restart"/>
          </w:tcPr>
          <w:p>
            <w:pPr>
              <w:ind w:left="46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4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792,045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976,881</w:t>
            </w:r>
          </w:p>
        </w:tc>
        <w:tc>
          <w:tcPr>
            <w:tcW w:w="100" w:type="dxa"/>
            <w:vAlign w:val="bottom"/>
          </w:tcPr>
          <w:p>
            <w:pPr>
              <w:spacing w:after="0"/>
              <w:rPr>
                <w:sz w:val="18"/>
                <w:szCs w:val="18"/>
                <w:color w:val="auto"/>
              </w:rPr>
            </w:pP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839,048</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1,130,604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412,786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49,414</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462,200</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639,303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83,207</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257,533</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225,506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income</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120,238</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3.80</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7.43</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32,758</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of common stock</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31,668</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32,704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33,165</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960" w:type="dxa"/>
            <w:vAlign w:val="bottom"/>
            <w:gridSpan w:val="2"/>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9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90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2023</w:t>
            </w:r>
          </w:p>
        </w:tc>
        <w:tc>
          <w:tcPr>
            <w:tcW w:w="4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$ 120,238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$ 200,992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$ 246,263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2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actuarial net gain and other adjustments from pension plan, net of</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gains on available-for-sale investments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$ 124,250</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$ 196,624</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$ 246,385</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6"/>
                <w:szCs w:val="16"/>
                <w:b w:val="1"/>
                <w:bCs w:val="1"/>
                <w:color w:val="auto"/>
              </w:rPr>
              <w:t>December 31,</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ind w:left="4160"/>
              <w:spacing w:after="0" w:line="19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1,361,351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25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30,717 shares issued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2025; 32,365 shares issued and outstanding at December 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1,034,677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1,361,351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358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vMerge w:val="restart"/>
          </w:tcPr>
          <w:p>
            <w:pPr>
              <w:spacing w:after="0"/>
              <w:rPr>
                <w:sz w:val="12"/>
                <w:szCs w:val="12"/>
                <w:color w:val="auto"/>
              </w:rPr>
            </w:pPr>
          </w:p>
        </w:tc>
        <w:tc>
          <w:tcPr>
            <w:tcW w:w="760" w:type="dxa"/>
            <w:vAlign w:val="bottom"/>
            <w:vMerge w:val="continue"/>
          </w:tcPr>
          <w:p>
            <w:pPr>
              <w:spacing w:after="0"/>
              <w:rPr>
                <w:sz w:val="12"/>
                <w:szCs w:val="12"/>
                <w:color w:val="auto"/>
              </w:rPr>
            </w:pPr>
          </w:p>
        </w:tc>
        <w:tc>
          <w:tcPr>
            <w:tcW w:w="10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Deficit /</w:t>
            </w:r>
          </w:p>
        </w:tc>
        <w:tc>
          <w:tcPr>
            <w:tcW w:w="18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Shares  ​​​Amount</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Earnings</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582041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0410" cy="14541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tbl>
      <w:tblPr>
        <w:tblLayout w:type="fixed"/>
        <w:tblInd w:w="0" w:type="dxa"/>
        <w:tblCellMar>
          <w:top w:w="0" w:type="dxa"/>
          <w:left w:w="0" w:type="dxa"/>
          <w:bottom w:w="0" w:type="dxa"/>
          <w:right w:w="0" w:type="dxa"/>
        </w:tblCellMar>
      </w:tblPr>
      <w:tr>
        <w:trPr>
          <w:trHeight w:val="20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r>
      <w:tr>
        <w:trPr>
          <w:trHeight w:val="191"/>
        </w:trPr>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Change in pension obligation, net of tax</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under Employee Stock</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shares of 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32,685</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r>
      <w:tr>
        <w:trPr>
          <w:trHeight w:val="191"/>
        </w:trPr>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Change in pension obligation, net of tax</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under Employee Stock</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shares of 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(544)</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32,365</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r>
      <w:tr>
        <w:trPr>
          <w:trHeight w:val="191"/>
        </w:trPr>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available-for-sale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Change in pension obligation, net of tax</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under Employee Stock</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shares of 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(1,827)</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30,717</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w:t>
            </w:r>
          </w:p>
        </w:tc>
        <w:tc>
          <w:tcPr>
            <w:tcW w:w="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-4045585</wp:posOffset>
            </wp:positionV>
            <wp:extent cx="582041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041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-3771265</wp:posOffset>
            </wp:positionV>
            <wp:extent cx="582041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041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-3359785</wp:posOffset>
            </wp:positionV>
            <wp:extent cx="582041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041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-3085465</wp:posOffset>
            </wp:positionV>
            <wp:extent cx="582041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041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-2802890</wp:posOffset>
            </wp:positionV>
            <wp:extent cx="582041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0410"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-2519680</wp:posOffset>
            </wp:positionV>
            <wp:extent cx="582041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041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-2108200</wp:posOffset>
            </wp:positionV>
            <wp:extent cx="582041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041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-1833880</wp:posOffset>
            </wp:positionV>
            <wp:extent cx="582041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041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-1550670</wp:posOffset>
            </wp:positionV>
            <wp:extent cx="582041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0410"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-1268095</wp:posOffset>
            </wp:positionV>
            <wp:extent cx="582041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0410" cy="2743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-856615</wp:posOffset>
            </wp:positionV>
            <wp:extent cx="582041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0410" cy="2743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-445135</wp:posOffset>
            </wp:positionV>
            <wp:extent cx="582041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041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-170815</wp:posOffset>
            </wp:positionV>
            <wp:extent cx="582041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041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89"/>
        </w:trPr>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550,299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118,892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(1,968)</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667,256</w:t>
            </w:r>
          </w:p>
        </w:tc>
      </w:tr>
      <w:tr>
        <w:trPr>
          <w:trHeight w:val="191"/>
        </w:trPr>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246,263</w:t>
            </w: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246,263</w:t>
            </w:r>
          </w:p>
        </w:tc>
      </w:tr>
      <w:tr>
        <w:trPr>
          <w:trHeight w:val="216"/>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16"/>
        </w:trPr>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(16,611)</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r>
      <w:tr>
        <w:trPr>
          <w:trHeight w:val="216"/>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w:t>
            </w:r>
          </w:p>
        </w:tc>
      </w:tr>
      <w:tr>
        <w:trPr>
          <w:trHeight w:val="234"/>
        </w:trPr>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(6,850)</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(45,649)</w:t>
            </w: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(52,499)</w:t>
            </w:r>
          </w:p>
        </w:tc>
      </w:tr>
      <w:tr>
        <w:trPr>
          <w:trHeight w:val="209"/>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547,189</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319,506</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864,882</w:t>
            </w:r>
          </w:p>
        </w:tc>
      </w:tr>
      <w:tr>
        <w:trPr>
          <w:trHeight w:val="191"/>
        </w:trPr>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200,992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200,992</w:t>
            </w:r>
          </w:p>
        </w:tc>
      </w:tr>
      <w:tr>
        <w:trPr>
          <w:trHeight w:val="216"/>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r>
      <w:tr>
        <w:trPr>
          <w:trHeight w:val="234"/>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16"/>
        </w:trPr>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(11,563)</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w:t>
            </w:r>
          </w:p>
        </w:tc>
      </w:tr>
      <w:tr>
        <w:trPr>
          <w:trHeight w:val="216"/>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w:t>
            </w:r>
          </w:p>
        </w:tc>
      </w:tr>
      <w:tr>
        <w:trPr>
          <w:trHeight w:val="234"/>
        </w:trPr>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(10,308)</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(50,180)</w:t>
            </w: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(60,489)</w:t>
            </w:r>
          </w:p>
        </w:tc>
      </w:tr>
      <w:tr>
        <w:trPr>
          <w:trHeight w:val="210"/>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548,654</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470,318</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1,012,790</w:t>
            </w:r>
          </w:p>
        </w:tc>
      </w:tr>
      <w:tr>
        <w:trPr>
          <w:trHeight w:val="191"/>
        </w:trPr>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120,238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120,238</w:t>
            </w:r>
          </w:p>
        </w:tc>
      </w:tr>
      <w:tr>
        <w:trPr>
          <w:trHeight w:val="234"/>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r>
      <w:tr>
        <w:trPr>
          <w:trHeight w:val="414"/>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4"/>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16"/>
        </w:trPr>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(4,514)</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16"/>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20,773</w:t>
            </w:r>
          </w:p>
        </w:tc>
      </w:tr>
      <w:tr>
        <w:trPr>
          <w:trHeight w:val="234"/>
        </w:trPr>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(34,063)</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(87,017)</w:t>
            </w: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(121,081)</w:t>
            </w:r>
          </w:p>
        </w:tc>
      </w:tr>
      <w:tr>
        <w:trPr>
          <w:trHeight w:val="210"/>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$ 533,309</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503,539</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1,034,677</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4900" w:space="140"/>
            <w:col w:w="4080"/>
          </w:cols>
          <w:pgMar w:left="1380" w:top="513" w:right="13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7"/>
          </w:tcPr>
          <w:p>
            <w:pPr>
              <w:jc w:val="center"/>
              <w:ind w:left="460"/>
              <w:spacing w:after="0" w:line="160"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80" w:type="dxa"/>
            <w:vAlign w:val="bottom"/>
            <w:vMerge w:val="restart"/>
          </w:tcPr>
          <w:p>
            <w:pPr>
              <w:ind w:left="61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260" w:type="dxa"/>
            <w:vAlign w:val="bottom"/>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200,992</w:t>
            </w: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of discounts and premiums on short-term and long-term investments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currency gain on foreign denominated transactions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Mark-to-market adjustment on forward exchange contracts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(71,097)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(10,513)</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Expenditures for property, plant and equipment and capitalized software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short-term and long-term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Maturities and sales of short-term investments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687,220</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(108,726)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settlement on restricted stock grants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Employee Stock Purchase Plan purchases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Principal payments on finance lease obligation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(124,493)</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(71,192)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156,078</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131,064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“We” or the “Company”) was incorporated in Delaware in 1995, and is a worldwide producer of ion implantation and other processing equipment used in the fabrication of semiconductor chips in the United States, Europe and Asia. In addition to equipment, we provide extensive aftermarket lifecycle products and services, including spare parts, equipment upgrades, maintenance services and customer training.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application of certain significant accounting policies as described in this note and elsewhere in the footnotes.</w:t>
      </w:r>
    </w:p>
    <w:p>
      <w:pPr>
        <w:spacing w:after="0" w:line="158" w:lineRule="exact"/>
        <w:rPr>
          <w:sz w:val="20"/>
          <w:szCs w:val="20"/>
          <w:color w:val="auto"/>
        </w:rPr>
      </w:pPr>
    </w:p>
    <w:p>
      <w:pPr>
        <w:ind w:left="660" w:hanging="655"/>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consolidated accounts of the Company and its wholly-owned, controlled subsidiaries. All intercompany balances and transactions have been eliminated in consolidation.</w:t>
      </w:r>
    </w:p>
    <w:p>
      <w:pPr>
        <w:spacing w:after="0" w:line="14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Events occurring subsequent to December 31, 2025 have been evaluated for potential recognition or disclosure in the consolidated financial statements.</w:t>
      </w:r>
    </w:p>
    <w:p>
      <w:pPr>
        <w:spacing w:after="0" w:line="158" w:lineRule="exact"/>
        <w:rPr>
          <w:sz w:val="20"/>
          <w:szCs w:val="20"/>
          <w:color w:val="auto"/>
        </w:rPr>
      </w:pPr>
    </w:p>
    <w:p>
      <w:pPr>
        <w:ind w:left="680" w:hanging="675"/>
        <w:spacing w:after="0"/>
        <w:tabs>
          <w:tab w:leader="none" w:pos="6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periods. On an ongoing basis, we evaluate our estimates and judgments, including those related to revenue recognition, the realizable value of accounts receivable and inventories, warranty reserves, valuing stock-based compensation instruments and reserves relating to tax assets and liabilities. Actual amounts could differ from these estimates. Changes in estimates are recorded in the period in which they become known.</w:t>
      </w:r>
    </w:p>
    <w:p>
      <w:pPr>
        <w:spacing w:after="0" w:line="188" w:lineRule="exact"/>
        <w:rPr>
          <w:sz w:val="20"/>
          <w:szCs w:val="20"/>
          <w:color w:val="auto"/>
        </w:rPr>
      </w:pPr>
    </w:p>
    <w:p>
      <w:pPr>
        <w:ind w:left="660" w:hanging="655"/>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for substantially all operations outside the United States is the local currency. Financial statements for these operations are translated into United States dollars at year-end rates as to assets and liabilities and average exchange rates during the year as to revenue and expenses. The resulting translation adjustments are recorded in stockholders’ equity as an element of accumulated other comprehensive income (loss). Foreign currency transaction gains and losses are included in other income (expense) in the Consolidated Statements of Operations.</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we had foreign exchange gains of $4.5 million and foreign exchange losses of $9.1 million, and $0.5 million, respectively.</w:t>
      </w:r>
    </w:p>
    <w:p>
      <w:pPr>
        <w:spacing w:after="0" w:line="158" w:lineRule="exact"/>
        <w:rPr>
          <w:sz w:val="20"/>
          <w:szCs w:val="20"/>
          <w:color w:val="auto"/>
        </w:rPr>
      </w:pPr>
    </w:p>
    <w:p>
      <w:pPr>
        <w:ind w:left="680" w:hanging="675"/>
        <w:spacing w:after="0"/>
        <w:tabs>
          <w:tab w:leader="none" w:pos="6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are exposed to certain risks relating to our ongoing business operations, including market risks relating to fluctuations in foreign currency exchange rates. We have entered into forward exchange contracts in order to mitigate risks associated with fluctuations in exchange rates on forecasted transactions denominated in foreign currencies and to minimize the impact of foreign currency fluctuations on our earnings and cash flows. These contracts have month-to-month settlement dates. As of December 31, 2025, we had open contracts with a notional value of $162.0 million. We measure these instruments at fair value and recognize assets or liabilities associated with the fair value on these open contracts on the Consolidated Balance Sheets at the end of each reporting period. At December 31, 2025, the recognized unrealized gain</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these forward exchange contracts was approximately $0.4 million. Unrealized gains and losses are shown in our cash flows from operating activities within our Consolidated Statement of Cash Flows. We have not designated these forward exchange contracts as hedging instruments and we record changes in the fair values at each measurement date in Other, net on the Consolidated Statements of Operations. For the years ended December 31, 2025 and 2024, we recorded $2.1 million of losses and $9.1 million of gains on forward currency exchange contracts, respectively.</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do not offset fair value amounts of derivative instruments. We do not use derivative instruments for speculative purposes.</w:t>
      </w:r>
    </w:p>
    <w:p>
      <w:pPr>
        <w:spacing w:after="0" w:line="158" w:lineRule="exact"/>
        <w:rPr>
          <w:sz w:val="20"/>
          <w:szCs w:val="20"/>
          <w:color w:val="auto"/>
        </w:rPr>
      </w:pPr>
    </w:p>
    <w:p>
      <w:pPr>
        <w:ind w:left="660" w:hanging="655"/>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Cash and cash equivalents consist of cash on hand and highly liquid investments with original maturities of 90 days or less. Cash equivalents consist primarily of money market funds, U.S. Government and Agency Securities and deposit accounts. Cash equivalents are carried on the balance sheet at fair market value. Short-term investments are highly liquid investments with original maturities of greater than 90 days but less than one year from date of purchase. Beginning as of March 31, 2025, our short-term investments are classified as available-for-sale as a result of the below noted sale of securities. In prior periods, our short-term investments were classified as held-to-maturity. We evaluate if any declines in fair value below amortized cost are caused by expected credit losses, as well as our ability and intent to hold the investment until a forecasted recovery occurs. Any unrealized gains and losses are included in accumulated other comprehensive loss in the Consolidated Statement of Stockholders’ Equity. Income related to these securities is recorded in interest income in the Consolidated Statements of Operations. As of December 31, 2025, the amortized cost and fair value of the available-for-sale short-term investments was $228.7 million and $228.8 million, respectively. As of December 31, 2025, we had no allowances for credit loss on our investments.</w:t>
      </w:r>
    </w:p>
    <w:p>
      <w:pPr>
        <w:spacing w:after="0" w:line="1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February 2025, we sold securities classified as held-to-maturity with a total net carrying value of $199.5 million. The majority of the proceeds were reinvested back into short-term investments during the three months ended March 31, 2025. Due to this sale, the remaining held-to-maturity securities were reclassified as available-for-sale, resulting in a remeasurement increase in short-term investments for balance sheet presentation purposes with a corresponding adjustment to accumulated other comprehensive loss of $81.0 thousand as of March 31, 2025.</w:t>
      </w:r>
    </w:p>
    <w:p>
      <w:pPr>
        <w:spacing w:after="0" w:line="179" w:lineRule="exact"/>
        <w:rPr>
          <w:sz w:val="20"/>
          <w:szCs w:val="20"/>
          <w:color w:val="auto"/>
        </w:rPr>
      </w:pPr>
    </w:p>
    <w:p>
      <w:pPr>
        <w:ind w:left="660" w:hanging="655"/>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w:t>
      </w:r>
    </w:p>
    <w:p>
      <w:pPr>
        <w:spacing w:after="0" w:line="22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Long-term investments consist of U.S. government and agency securities with original maturities greater than one year from the date of purchase and are classified as available-for-sale. We classify our long-term investments as non-current based on the security’s contractual maturity. We evaluate if any declines in fair value below amortized cost are caused by expected credit losses, as well as our ability and intent to hold the investment until a forecasted recovery occurs. Any unrealized gains and losses are included in accumulated other comprehensive loss in the Consolidated Statement of Stockholders’ Equity. Income related to these securities is recorded in interest income in the Consolidated Statements</w:t>
      </w:r>
    </w:p>
    <w:p>
      <w:pPr>
        <w:spacing w:after="0" w:line="5"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of Operations. As of December 31, 2025, the amortized cost and fair value of the long-term investments was $182.1 million and $182.4 million, respectively. As of December 31, 2025, we had no allowances for credit loss on our investments.</w:t>
      </w:r>
    </w:p>
    <w:p>
      <w:pPr>
        <w:spacing w:after="0" w:line="153" w:lineRule="exact"/>
        <w:rPr>
          <w:sz w:val="20"/>
          <w:szCs w:val="20"/>
          <w:color w:val="auto"/>
        </w:rPr>
      </w:pPr>
    </w:p>
    <w:p>
      <w:pPr>
        <w:ind w:left="660" w:hanging="655"/>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Inventories are carried at the lower of cost or net realizable value, determined using the first-in, first-out (“FIFO”) method. We periodically review our inventories and make provisions as necessary for estimated obsolescence or damaged goods to ensure values approximate lower of cost or net realizable value. The amount of such markdowns is equal to the difference between cost of inventory and the estimated market value based upon assumptions about future demands, selling prices, and market conditions.</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record a provision for estimated excess inventory. The provision is determined using management’s assumptions of materials usage, based on estimates of demand, market conditions, and the size and utilization of our installed base. If actual market conditions become less favorable than those projected by management, additional inventory write-downs may be required.</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0" w:hanging="675"/>
        <w:spacing w:after="0"/>
        <w:tabs>
          <w:tab w:leader="none" w:pos="6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and Leased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amortization.</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As part of this sale, we also entered into a 22-year lease agreement. We accounted for the sale leaseback transaction as a financing arrangement for financial reporting purposes. We retained the historical costs of the property and the related accumulated depreciation on our financial books within property, plant and equipment and will continue to depreciate the property for financial reporting purposes over the lesser of its remaining useful life or its initial lease term of 22 years.</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are recorded using the straight-line method over the estimated useful lives of the related assets as follows: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3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1"/>
        </w:trPr>
        <w:tc>
          <w:tcPr>
            <w:tcW w:w="3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0" w:type="dxa"/>
            <w:vAlign w:val="bottom"/>
            <w:tcBorders>
              <w:top w:val="single" w:sz="8" w:color="auto"/>
            </w:tcBorders>
            <w:shd w:val="clear" w:color="auto" w:fill="CCEEFF"/>
          </w:tcPr>
          <w:p>
            <w:pPr>
              <w:ind w:left="140"/>
              <w:spacing w:after="0" w:line="191" w:lineRule="exact"/>
              <w:rPr>
                <w:sz w:val="20"/>
                <w:szCs w:val="20"/>
                <w:color w:val="auto"/>
              </w:rPr>
            </w:pPr>
            <w:r>
              <w:rPr>
                <w:rFonts w:ascii="Times New Roman" w:cs="Times New Roman" w:eastAsia="Times New Roman" w:hAnsi="Times New Roman"/>
                <w:sz w:val="18"/>
                <w:szCs w:val="18"/>
                <w:color w:val="auto"/>
              </w:rPr>
              <w:t>Lesser of the lease term or</w:t>
            </w:r>
          </w:p>
        </w:tc>
      </w:tr>
      <w:tr>
        <w:trPr>
          <w:trHeight w:val="23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buildings and equipment (under lease)</w:t>
            </w:r>
          </w:p>
        </w:tc>
        <w:tc>
          <w:tcPr>
            <w:tcW w:w="160" w:type="dxa"/>
            <w:vAlign w:val="bottom"/>
            <w:shd w:val="clear" w:color="auto" w:fill="CCEEFF"/>
          </w:tcPr>
          <w:p>
            <w:pPr>
              <w:spacing w:after="0"/>
              <w:rPr>
                <w:sz w:val="20"/>
                <w:szCs w:val="20"/>
                <w:color w:val="auto"/>
              </w:rPr>
            </w:pP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estimated useful life of the asset</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20"/>
                <w:szCs w:val="20"/>
                <w:color w:val="auto"/>
              </w:rPr>
            </w:pPr>
          </w:p>
        </w:tc>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17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Repairs and maintenance costs are expensed as incurred. Expenditures greater than $2.5 thousand for renewals and betterments are capitalized and depreciated over their useful lives.</w:t>
      </w:r>
    </w:p>
    <w:p>
      <w:pPr>
        <w:spacing w:after="0" w:line="158" w:lineRule="exact"/>
        <w:rPr>
          <w:sz w:val="20"/>
          <w:szCs w:val="20"/>
          <w:color w:val="auto"/>
        </w:rPr>
      </w:pPr>
    </w:p>
    <w:p>
      <w:pPr>
        <w:ind w:left="620" w:hanging="615"/>
        <w:spacing w:after="0"/>
        <w:tabs>
          <w:tab w:leader="none" w:pos="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record impairment losses on long-lived assets when events and circumstances indicate that these assets might not be recoverable. Recoverability is assessed by a comparison of the assets’ carrying amount to their expected future undiscounted net cash flows. If such assets are considered to be impaired, the impairment is measured based on the amount by which the carrying value exceeds its fair value.</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did not have any indicators of impairment during the period ending December 31, 2025. We did not record an impairment charge in the years ended December 31, 2025, 2024, or 2023.</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Actual performance could be materially different from our current forecasts, which could impact estimates of undiscounted cash flows and may result in the impairment of the carrying amount of the long-lived assets in the future. This could be caused by strategic decisions made in response to economic and competitive conditions, the impact of the economic environment on our customer base, or a material adverse change in our relationships with significant customers.</w:t>
      </w:r>
    </w:p>
    <w:p>
      <w:pPr>
        <w:spacing w:after="0" w:line="176" w:lineRule="exact"/>
        <w:rPr>
          <w:sz w:val="20"/>
          <w:szCs w:val="20"/>
          <w:color w:val="auto"/>
        </w:rPr>
      </w:pPr>
    </w:p>
    <w:p>
      <w:pPr>
        <w:ind w:left="640" w:hanging="590"/>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Risk and Off-Balance Sheet Risk</w:t>
      </w:r>
    </w:p>
    <w:p>
      <w:pPr>
        <w:spacing w:after="0" w:line="229"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are principally cash equivalents, short-term investments, long-term investments and accounts receivable. Our cash equivalents, short-term investments and long-term investments are principally maintained in investment grade money-market funds, U.S. Government and Agency Securities and deposit accounts.</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our currency exchange contracts, we have no significant off-balance sheet risk relating to option contracts or other hedging arrangements.</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cash equivalents, short-term and long-term investments. The primary objective of our investment activities is to preserve principal without significantly increasing risk. This is accomplished by investing in marketable investment grade securities. We do not use derivative financial instruments to manage our investment portfolio and do not expect operating results or cash flows to be affected to any significant degree by any change in market interest rates.</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perform ongoing credit evaluations of our customers’ financial condition and generally require no collateral to secure accounts receivable. For selected overseas sales, we require customers to obtain letters of credit before product is</w:t>
      </w:r>
    </w:p>
    <w:p>
      <w:pPr>
        <w:sectPr>
          <w:pgSz w:w="11900" w:h="16838" w:orient="portrait"/>
          <w:cols w:equalWidth="0" w:num="1">
            <w:col w:w="9100"/>
          </w:cols>
          <w:pgMar w:left="1380" w:top="513" w:right="14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shipped. We maintain an allowance for doubtful accounts based on our assessment of the collectability of accounts receivable. We review the allowance for doubtful accounts quarterly. We do not have any off-balance sheet credit exposure related to our customers.</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customers consist of semiconductor chip manufacturers located throughout the world and net sales to our ten largest customers accounted for 55.2%, 45.9% and 51.7% of revenue in 2025, 2024 and 2023, respectively.</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had one customer representing 11.0% of total revenue. For the years ended December 31, 2024 and December 31, 2023, we had no customers representing 10% or greater of total revenue.</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three customers account for 14.7%, 13.5% and 10.3% of consolidated accounts receivable, respectively. As of December 31, 2024, we had one customer account for 10.0% of consolidated accounts receivable.</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Some of the components and sub-assemblies included in our products are obtained either from a sole source or a limited group of suppliers. Disruption to our supply source, resulting either from economic conditions or other factors, could affect our ability to deliver products to our customers.</w:t>
      </w:r>
    </w:p>
    <w:p>
      <w:pPr>
        <w:spacing w:after="0" w:line="172" w:lineRule="exact"/>
        <w:rPr>
          <w:sz w:val="20"/>
          <w:szCs w:val="20"/>
          <w:color w:val="auto"/>
        </w:rPr>
      </w:pPr>
    </w:p>
    <w:p>
      <w:pPr>
        <w:ind w:left="680" w:hanging="675"/>
        <w:spacing w:after="0"/>
        <w:tabs>
          <w:tab w:leader="none" w:pos="6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or (“ASC 606”). Under ASC 606, revenue is recognized when a customer obtains control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promised goods or services in an amount that reflects the consideration we expect to receive in exchange for those goods or services. We measure revenue based on the consideration specified in the customer arrangement, and revenue is recognized when the performance obligations in the customer arrangement are satisfied. A performance obligation is a promise in a contract to transfer a distinct product or service to the customer. The transaction price of a contract is allocated to each distinct performance obligation based upon the relative standalone selling price for each performance obligation and recognized as revenue when, or as, the customer receives the benefit of the performance obligation. To account for and measure revenue, we apply the following five steps:</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1)</w:t>
        <w:tab/>
        <w:t>Identify the contract with the customer</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w:t>
      </w:r>
    </w:p>
    <w:p>
      <w:pPr>
        <w:spacing w:after="0" w:line="1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2)</w:t>
        <w:tab/>
        <w:t>Identify the performance obligations in the contract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we must apply judgment to determine whether promised goods and services are capable of being distinct and distinct in the context of the contract. If these criteria are not met, the promised goods and services are accounted for as a combined performance obligation.</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Systems sales consist of multiple performance obligations, including the system itself and obligations that are not delivered simultaneously with the system. These undelivered obligations might include a combination of installation services, extended warranty and support and spare parts, all of which are generally covered by a single sales price.</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Aftermarket business includes both products and services type arrangements. Performance obligations in these contracts consist of used tools, spare parts, equipment upgrades, maintenance services and customer training.</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Customers who purchase new systems are provided an assurance-type warranty for one year after acceptance of the tool. For aftermarket transactions, we provide customers an assurance-type warranty for 90 days. Customers can choose to purchase extended warranty terms with enhanced support similar to a service-type warranty ranging from one to three years. In accordance with ASC 606, assurance-type warranties are not considered a performance obligation, whereas service-type warranties are.</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3)</w:t>
        <w:tab/>
        <w:t>Determine the transaction price</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 Any estimates, including the effect of the constraint on variable consideration, are evaluated at each reporting period for any changes. In applying this guidance, Companies must also consider whether any significant financing components exist.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 price for all transactions is based on the price reflected in the individual customer’s purchase order.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consideration has not been identified as a significant component of the transaction price for any of our transactions.</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 those transactions where all performance obligations will be satisfied within one year or less, we apply the practical expedient outlined in ASC 606-10-32-18. This practical expedient allows us not to adjust promised consideration for the effects of a significant financing component if we expect at contract inception that the period between when we transfer the promised good or service to a customer and when the customer pays for that good or service will be one year or less. For those transactions that are expected to be completed after one year, we have assessed that there are no significant financing components because any difference between the promised consideration and the cash selling price of the good or service is for reasons other than the provision of financing.</w:t>
      </w:r>
    </w:p>
    <w:p>
      <w:pPr>
        <w:spacing w:after="0" w:line="1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4)</w:t>
        <w:tab/>
        <w:t>Allocate the transaction price to performance obligations in the contract</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w:t>
      </w:r>
    </w:p>
    <w:p>
      <w:pPr>
        <w:spacing w:after="0" w:line="18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Where required, we determine standalone selling price (“SSP”) for each obligation based on consideration of both market and Company specific factors, including the selling price and profit margin for similar products, the cost to produce, and the anticipated margin.</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those contracts that contain multiple performance obligations (primarily systems sales, as well as some aftermarket contracts requiring both time and material inputs), we must determine the SSP. We use a cost plus margin approach in determining the SSP for any materials related performance obligations (such as upgrades, spare parts, systems). To determine the SSP for labor related performance obligations (such as the labor component of installation), we use directly observable inputs based on the standalone sale prices for these services.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5)</w:t>
      </w:r>
      <w:r>
        <w:rPr>
          <w:sz w:val="20"/>
          <w:szCs w:val="20"/>
          <w:color w:val="auto"/>
        </w:rPr>
        <w:tab/>
      </w:r>
      <w:r>
        <w:rPr>
          <w:rFonts w:ascii="Times New Roman" w:cs="Times New Roman" w:eastAsia="Times New Roman" w:hAnsi="Times New Roman"/>
          <w:sz w:val="17"/>
          <w:szCs w:val="17"/>
          <w:i w:val="1"/>
          <w:iCs w:val="1"/>
          <w:color w:val="auto"/>
        </w:rPr>
        <w:t>Recognize revenue when or as we have satisfied a performance obligation</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satisfy performance obligations either over time or at a point in time. Revenue is recognized over time if either 1) the customer simultaneously receives and consumes the benefits provided by the entity’s performance, 2) the entity’s performance creates or enhances an asset that the customer controls as the asset is created or enhanced, or 3) the entity’s performance does not create an asset with an alternative use to the entity and the entity has an enforceable right to payment for performance completed to date. If the entity does not satisfy a performance obligation over time, the related</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performance obligation is satisfied at a point in time by transferring the control of a promised good or service to a customer. Examples of control are using the asset to produce goods or services, enhance the value of other assets or settle liabilities, and holding or selling the asset. For over time recognition, ASC 606 requires us to select a single revenue recognition method for the performance obligation that faithfully depicts our performance in transferring control of the goods and services. The guidance allows entities to choose between two methods to measure progress toward complete satisfaction of a performance obligation:</w:t>
      </w:r>
    </w:p>
    <w:p>
      <w:pPr>
        <w:spacing w:after="0" w:line="187"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Output methods - recognize revenue on the basis of direct measurements of the value to the customer of the goods or services transferred to date relative to the remaining goods or services promised under the contract (e.g., surveys of performance completed to date, appraisals of results achieved, milestones reached, time elapsed, and units produced or units delivered); and</w:t>
      </w:r>
    </w:p>
    <w:p>
      <w:pPr>
        <w:spacing w:after="0" w:line="180"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Input methods - recognize revenue on the basis of the entity’s efforts or inputs to the satisfaction of a performance obligation (e.g., resources consumed, labor hours expended, costs incurred, or time elapsed) relative to the total expected inputs to the satisfaction of that performance obligation.</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the right to consideration from a customer in an amount that corresponds directly with the value to the customer of the entity’s performance completed to date (i.e., certain aftermarket contracts), as such we have elected a practical expedient to recognize revenue in the amount to which the entity has a right to invoice for such services.</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Product related revenues (whether for systems or aftermarket business) are recognized at a point in time, when they are shipped or delivered, depending on shipping terms.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installation services, revenue is recognized at a point in time, once the installation of the tool is complete. The nature of the installation services is such that the customer does not simultaneously receive and consume the benefits provided by the entity’s performance, nor does performance of installation services create or enhance an asset that the customer controls. Installation services do not create an asset with an alternative use to the entity, and the entity does not have an enforceable right to payment for performance completed to date.</w:t>
      </w:r>
    </w:p>
    <w:p>
      <w:pPr>
        <w:spacing w:after="0" w:line="18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 Contract liabilities relate to payments invoiced or received in advance of completion of performance obligations under a contract. Contract liabilities are recognized as revenue upon the fulfillment of performance obligations.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Service-type warranties for any product are recognized over time, as these represent a stand ready obligation to service the product during the warranty period. Progress in the satisfaction of these performance obligations is measured using an input method of time elapsed.</w:t>
      </w:r>
    </w:p>
    <w:p>
      <w:pPr>
        <w:spacing w:after="0" w:line="176"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Maintenance and service contracts are recognized over time. Progress in the satisfaction of these performance obligations is measured using an input method of either time elapsed in the case of fixed period contracts, or labor hours expended, in the case of project-based contracts.</w:t>
      </w:r>
    </w:p>
    <w:p>
      <w:pPr>
        <w:spacing w:after="0" w:line="172" w:lineRule="exact"/>
        <w:rPr>
          <w:sz w:val="20"/>
          <w:szCs w:val="20"/>
          <w:color w:val="auto"/>
        </w:rPr>
      </w:pPr>
    </w:p>
    <w:p>
      <w:pPr>
        <w:ind w:left="620" w:hanging="615"/>
        <w:spacing w:after="0"/>
        <w:tabs>
          <w:tab w:leader="none" w:pos="6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Recognizing Assets related to Recoverable Customer Contract Costs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recognize an asset related to incremental costs incurred by us to obtain a contract with a customer if we expect to recover those costs. We will recognize an asset from costs incurred to fulfill a contract only if such costs relate directly to a contract with an entity that we can specifically identify, the costs incurred will generate or enhance resources that will be used in satisfying performance obligations in the future, and the costs are expected to be recovered. Any assets recognized related to costs to obtain or fulfill a contract are amortized on a systematic basis that is consistent with the transfer to the customer of the goods or services to which the asset relates.</w:t>
      </w:r>
    </w:p>
    <w:p>
      <w:pPr>
        <w:spacing w:after="0" w:line="22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substantially all of our business transactions, we incur incremental costs to obtain contracts with customers, in the form of sales commissions. We maintain a commission program which awards our employees for System sales, aftermarket activity and other individual goals. Under ASC 606, an asset is amortized on a systematic basis that is consistent with the transfer to the customer of the goods or services to which the asset relates. However, ASC 606 provides</w:t>
      </w:r>
    </w:p>
    <w:p>
      <w:pPr>
        <w:sectPr>
          <w:pgSz w:w="11900" w:h="16838" w:orient="portrait"/>
          <w:cols w:equalWidth="0" w:num="1">
            <w:col w:w="9100"/>
          </w:cols>
          <w:pgMar w:left="1380" w:top="513" w:right="14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practical expedient to allow for the recognition of commission expense when incurred if the amortization period of the asset that the entity otherwise would have recognized is one year or less. Based on the nature of our commission agreements, all commissions are expensed as incurred based upon the expectation that the amortization period would be one year or less.</w:t>
      </w:r>
    </w:p>
    <w:p>
      <w:pPr>
        <w:spacing w:after="0" w:line="172" w:lineRule="exact"/>
        <w:rPr>
          <w:sz w:val="20"/>
          <w:szCs w:val="20"/>
          <w:color w:val="auto"/>
        </w:rPr>
      </w:pPr>
    </w:p>
    <w:p>
      <w:pPr>
        <w:ind w:left="720" w:hanging="715"/>
        <w:spacing w:after="0"/>
        <w:tabs>
          <w:tab w:leader="none" w:pos="7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Shipping and Handling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Shipping and handling costs are included in cost of revenue.</w:t>
      </w:r>
    </w:p>
    <w:p>
      <w:pPr>
        <w:spacing w:after="0" w:line="221" w:lineRule="exact"/>
        <w:rPr>
          <w:sz w:val="20"/>
          <w:szCs w:val="20"/>
          <w:color w:val="auto"/>
        </w:rPr>
      </w:pPr>
    </w:p>
    <w:p>
      <w:pPr>
        <w:ind w:left="680" w:hanging="675"/>
        <w:spacing w:after="0"/>
        <w:tabs>
          <w:tab w:leader="none" w:pos="6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generally recognize compensation expense for all stock-based payments to employees and directors, including grants of stock options and restricted stock units, based on the grant-date fair value of those stock-based payments. For stock option awards, we use the Black-Scholes option pricing model, adjusted for expected forfeitures. Other valuation models may be utilized in the limited circumstances where awards with market-based vesting considerations, such as the price of our common stock, or performance-based awards, are granted. Stock-based compensation expense is recognized ratably over the requisite service period. For each stock option or restricted stock unit grant with vesting based on a combination of time, market or performance conditions, where vesting will occur if either condition is met, the related compensation costs are recognized over the shorter of the explicit service period or the derived service period.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13 for additional information relating to stock-based compensation.</w:t>
      </w:r>
    </w:p>
    <w:p>
      <w:pPr>
        <w:spacing w:after="0" w:line="221" w:lineRule="exact"/>
        <w:rPr>
          <w:sz w:val="20"/>
          <w:szCs w:val="20"/>
          <w:color w:val="auto"/>
        </w:rPr>
      </w:pPr>
    </w:p>
    <w:p>
      <w:pPr>
        <w:ind w:left="620" w:hanging="615"/>
        <w:spacing w:after="0"/>
        <w:tabs>
          <w:tab w:leader="none" w:pos="6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operating loss and tax credit carryforwards.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establish a valuation allowance if the likelihood of realization of the deferred tax assets is reduced based on an evaluation of objective verifiable evidence. Significant management judgment is required in determining our provision for income taxes, our deferred tax assets and liabilities and any valuation allowance recorded against those net deferred tax assets. We evaluate the weight of all available evidence to determine whether it is more likely than not that some portion or all of the net deferred income tax assets will not be realized.</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Income taxes include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 change to the effective tax rate. We recognize accrued interest related to unrecognized tax benefits as interest expense and penalties within operating expense in the consolidated statements of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18 for additional information relating to income taxes.</w:t>
      </w:r>
    </w:p>
    <w:p>
      <w:pPr>
        <w:spacing w:after="0" w:line="221" w:lineRule="exact"/>
        <w:rPr>
          <w:sz w:val="20"/>
          <w:szCs w:val="20"/>
          <w:color w:val="auto"/>
        </w:rPr>
      </w:pPr>
    </w:p>
    <w:p>
      <w:pPr>
        <w:ind w:left="620" w:hanging="615"/>
        <w:spacing w:after="0"/>
        <w:tabs>
          <w:tab w:leader="none" w:pos="6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Computation of Net Income per Share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shares of common stock outstanding (the denominator) for the period. The computation of diluted earnings per share is similar to basic earnings per share, except that the denominator is increased to include the number of additional shares of common stock that would have been outstanding if the potentially dilutive shares of common stock had been issued, calculated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income per share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gridSpan w:val="7"/>
          </w:tcPr>
          <w:p>
            <w:pPr>
              <w:jc w:val="center"/>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120,238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Weighted average shares of common stock outstanding used in computing basic income per</w:t>
            </w: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32,552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Incremental RSUs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shares of common stock used in computing diluted net income per share</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31,668</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32,704</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Diluted weighted average shares of common stock outstanding does not include restricted stock units outstanding to purchase 221,204, 122,294 and 6,025 common equivalent shares for the periods ended December 31, 2025, 2024 and 2023, respectively, as their effect would have been anti-dilutive.</w:t>
      </w:r>
    </w:p>
    <w:p>
      <w:pPr>
        <w:spacing w:after="0" w:line="172" w:lineRule="exact"/>
        <w:rPr>
          <w:sz w:val="20"/>
          <w:szCs w:val="20"/>
          <w:color w:val="auto"/>
        </w:rPr>
      </w:pPr>
    </w:p>
    <w:p>
      <w:pPr>
        <w:ind w:left="660" w:hanging="655"/>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the changes in accumulated other comprehensive loss, by component, for the year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520" w:type="dxa"/>
            <w:vAlign w:val="bottom"/>
            <w:gridSpan w:val="2"/>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 on</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12"/>
                <w:szCs w:val="12"/>
                <w:color w:val="auto"/>
              </w:rPr>
            </w:pP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4"/>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(6,253)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(6,214)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 and reclassifications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(2,657)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(2,202)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0" w:hanging="595"/>
        <w:spacing w:after="0"/>
        <w:tabs>
          <w:tab w:leader="none" w:pos="6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Guidance</w:t>
      </w:r>
    </w:p>
    <w:p>
      <w:pPr>
        <w:spacing w:after="0" w:line="25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2023-09, </w:t>
      </w:r>
      <w:r>
        <w:rPr>
          <w:rFonts w:ascii="Times New Roman" w:cs="Times New Roman" w:eastAsia="Times New Roman" w:hAnsi="Times New Roman"/>
          <w:sz w:val="18"/>
          <w:szCs w:val="18"/>
          <w:i w:val="1"/>
          <w:iCs w:val="1"/>
          <w:color w:val="auto"/>
        </w:rPr>
        <w:t xml:space="preserve">Income Taxes (Topic 740): Improvements to Income Tax Disclosures </w:t>
      </w:r>
      <w:r>
        <w:rPr>
          <w:rFonts w:ascii="Times New Roman" w:cs="Times New Roman" w:eastAsia="Times New Roman" w:hAnsi="Times New Roman"/>
          <w:sz w:val="18"/>
          <w:szCs w:val="18"/>
          <w:color w:val="auto"/>
        </w:rPr>
        <w:t>("ASU 2023-09")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1D1C1D"/>
        </w:rPr>
        <w:t>We adopted ASU 2023-09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Annual Report on Form 10-K and we applied the update retrospectively for all prior periods presented in the consolidated financial statements. See Note 18 for related disclosures. </w:t>
      </w:r>
      <w:r>
        <w:rPr>
          <w:rFonts w:ascii="Times New Roman" w:cs="Times New Roman" w:eastAsia="Times New Roman" w:hAnsi="Times New Roman"/>
          <w:sz w:val="18"/>
          <w:szCs w:val="18"/>
          <w:color w:val="1D1C1D"/>
        </w:rPr>
        <w:t>ASU 2023-09 is intended to enhance the transparency and decision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usefulness of income tax disclosures. ASU 2023-09 addresses investor requests for enhanced income tax information primarily through changes to the rate reconciliation and income taxes paid information.</w:t>
      </w:r>
    </w:p>
    <w:p>
      <w:pPr>
        <w:spacing w:after="0" w:line="22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1D1C1D"/>
        </w:rPr>
        <w:t xml:space="preserve">In November 2024 the FASB issued Accounting Standards Update 2024-03, </w:t>
      </w:r>
      <w:r>
        <w:rPr>
          <w:rFonts w:ascii="Times New Roman" w:cs="Times New Roman" w:eastAsia="Times New Roman" w:hAnsi="Times New Roman"/>
          <w:sz w:val="18"/>
          <w:szCs w:val="18"/>
          <w:i w:val="1"/>
          <w:iCs w:val="1"/>
          <w:color w:val="1D1C1D"/>
        </w:rPr>
        <w:t>Income Statement—Reporting</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i w:val="1"/>
          <w:iCs w:val="1"/>
          <w:color w:val="1D1C1D"/>
        </w:rPr>
        <w:t xml:space="preserve">Comprehensive Income—Expense Disaggregation Disclosures (Subtopic 220-40): Disaggregation of Income Statement Expenses </w:t>
      </w:r>
      <w:r>
        <w:rPr>
          <w:rFonts w:ascii="Times New Roman" w:cs="Times New Roman" w:eastAsia="Times New Roman" w:hAnsi="Times New Roman"/>
          <w:sz w:val="18"/>
          <w:szCs w:val="18"/>
          <w:color w:val="1D1C1D"/>
        </w:rPr>
        <w:t>(“ASU 2024-03”). ASU 2024-03 is intended to enhance the disclosures for expenses for all public entities in</w:t>
      </w:r>
      <w:r>
        <w:rPr>
          <w:rFonts w:ascii="Times New Roman" w:cs="Times New Roman" w:eastAsia="Times New Roman" w:hAnsi="Times New Roman"/>
          <w:sz w:val="18"/>
          <w:szCs w:val="18"/>
          <w:i w:val="1"/>
          <w:iCs w:val="1"/>
          <w:color w:val="1D1C1D"/>
        </w:rPr>
        <w:t xml:space="preserve"> </w:t>
      </w:r>
      <w:r>
        <w:rPr>
          <w:rFonts w:ascii="Times New Roman" w:cs="Times New Roman" w:eastAsia="Times New Roman" w:hAnsi="Times New Roman"/>
          <w:sz w:val="18"/>
          <w:szCs w:val="18"/>
          <w:color w:val="1D1C1D"/>
        </w:rPr>
        <w:t xml:space="preserve">accordance with ASC Topic 220, </w:t>
      </w:r>
      <w:r>
        <w:rPr>
          <w:rFonts w:ascii="Times New Roman" w:cs="Times New Roman" w:eastAsia="Times New Roman" w:hAnsi="Times New Roman"/>
          <w:sz w:val="18"/>
          <w:szCs w:val="18"/>
          <w:i w:val="1"/>
          <w:iCs w:val="1"/>
          <w:color w:val="1D1C1D"/>
        </w:rPr>
        <w:t>Income Statement-Reporting Comprehensive Income</w:t>
      </w:r>
      <w:r>
        <w:rPr>
          <w:rFonts w:ascii="Times New Roman" w:cs="Times New Roman" w:eastAsia="Times New Roman" w:hAnsi="Times New Roman"/>
          <w:sz w:val="18"/>
          <w:szCs w:val="18"/>
          <w:color w:val="1D1C1D"/>
        </w:rPr>
        <w:t xml:space="preserve">. ASU 2024-03 addresses investor requests for more detailed information about expenses, specifically cost of sales and selling, general, and administrative expenses (“SG&amp;A”). ASU 2024-03 requires a public entity to 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presented on the face of the income statement as well as a qualitative description of the amounts remaining in the relevant expense captions that are not separately disaggregated quantitatively. ASU 2024-03 also requires a public entity to disclose the total amount of selling expenses and the entity’s definition of selling expenses. </w:t>
      </w:r>
      <w:r>
        <w:rPr>
          <w:rFonts w:ascii="Times New Roman" w:cs="Times New Roman" w:eastAsia="Times New Roman" w:hAnsi="Times New Roman"/>
          <w:sz w:val="18"/>
          <w:szCs w:val="18"/>
          <w:color w:val="000000"/>
        </w:rPr>
        <w:t>ASU 2024-03 is effective for</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color w:val="000000"/>
        </w:rPr>
        <w:t>fiscal years beginning after December 15, 2026, and interim periods within fiscal years beginning after December 15, 2027. Early adoption is permitted. A public entity should apply ASU 2024-03 either prospectively to</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financial statements issued for reporting periods after the effective date of this ASU or retrospectively to all prior periods presented in the financial statements. The Company is currently evaluating the impact of ASU 2024-03 on its future consolidated financial statements and related disclosures.</w:t>
      </w:r>
    </w:p>
    <w:p>
      <w:pPr>
        <w:spacing w:after="0" w:line="20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2025-06 </w:t>
      </w:r>
      <w:r>
        <w:rPr>
          <w:rFonts w:ascii="Times New Roman" w:cs="Times New Roman" w:eastAsia="Times New Roman" w:hAnsi="Times New Roman"/>
          <w:sz w:val="18"/>
          <w:szCs w:val="18"/>
          <w:i w:val="1"/>
          <w:iCs w:val="1"/>
          <w:color w:val="auto"/>
        </w:rPr>
        <w:t>ASU No. 2025-06, 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 – Internal-Use Software (Subtopic 350-40): Targeted Improvements to the Accounting for Internal-Use Software </w:t>
      </w:r>
      <w:r>
        <w:rPr>
          <w:rFonts w:ascii="Times New Roman" w:cs="Times New Roman" w:eastAsia="Times New Roman" w:hAnsi="Times New Roman"/>
          <w:sz w:val="18"/>
          <w:szCs w:val="18"/>
          <w:color w:val="auto"/>
        </w:rPr>
        <w:t>(“ASU 2025-06”). ASU 2025-06 requires companies to start capitalizing eligible software costs when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authorized and committed to funding the software project, and it is probable that the project will be completed and the software will be used to perform the function intended. The guidance is effective for annual reporting periods beginning after December 15, 2027, and interim reporting periods within those annual reporting periods. Early adoption is permitted and may be applied using a prospective, retrospective or modified transition approach. The Company is currently evaluating the impact of ASU 2025-06 on its future consolidated financial statements and related disclosures.</w:t>
      </w:r>
    </w:p>
    <w:p>
      <w:pPr>
        <w:spacing w:after="0" w:line="185"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w:t>
      </w:r>
      <w:r>
        <w:rPr>
          <w:rFonts w:ascii="Times New Roman" w:cs="Times New Roman" w:eastAsia="Times New Roman" w:hAnsi="Times New Roman"/>
          <w:sz w:val="18"/>
          <w:szCs w:val="18"/>
          <w:i w:val="1"/>
          <w:iCs w:val="1"/>
          <w:color w:val="auto"/>
        </w:rPr>
        <w:t>ASU No. 2025-07, Derivatives and Hedging (Topic 815) and 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(Topic 606) – Derivatives Scope Refinements and Scope Clarification for Share-Based Noncash Consideration from a Customer in a Revenue Contract </w:t>
      </w:r>
      <w:r>
        <w:rPr>
          <w:rFonts w:ascii="Times New Roman" w:cs="Times New Roman" w:eastAsia="Times New Roman" w:hAnsi="Times New Roman"/>
          <w:sz w:val="18"/>
          <w:szCs w:val="18"/>
          <w:color w:val="auto"/>
        </w:rPr>
        <w:t>(“ASU 2025-07”). ASU 2025-07 applies to all entities that enter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non-exchange-traded contracts with underlying content based on operations or activities specific to one of the parties to the contract. The new guidance excludes from derivative accounting non-exchange-traded contracts with underlying content based on operations or activities specific to one of the parties to the contract. ASU 2025-07 is effective for annual reporting periods beginning after December 15, 2026, and interim periods within those annual reporting periods. Early adoption is permitted. The Company is currently evaluating the impact of ASU 2025-07 on its future consolidated financial statements and related disclosures.</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FASB issued </w:t>
      </w:r>
      <w:r>
        <w:rPr>
          <w:rFonts w:ascii="Times New Roman" w:cs="Times New Roman" w:eastAsia="Times New Roman" w:hAnsi="Times New Roman"/>
          <w:sz w:val="18"/>
          <w:szCs w:val="18"/>
          <w:i w:val="1"/>
          <w:iCs w:val="1"/>
          <w:color w:val="auto"/>
        </w:rPr>
        <w:t>ASU No. 2025-11, Interim Reporting (Topic 270) – Narrow-Scope Improvements</w:t>
      </w:r>
      <w:r>
        <w:rPr>
          <w:rFonts w:ascii="Times New Roman" w:cs="Times New Roman" w:eastAsia="Times New Roman" w:hAnsi="Times New Roman"/>
          <w:sz w:val="18"/>
          <w:szCs w:val="18"/>
          <w:color w:val="auto"/>
        </w:rPr>
        <w:t xml:space="preserve"> (“ASU 2025-11”). ASU 2025-11 applies to all entities that provide interim financial statements and notes in accordance with generally accepted accounting principles. The new guidance improves the navigability of the required interim disclosures, clarifies when that guidance is applicable and provides additional guidance on what disclosures should be provided in interim reporting periods. ASU 2025-11 also adds a principle that requires entities to disclose events since the end of the last annual reporting period that have a material impact on the entity. ASU 2025-11 is effective for interim and annual reporting periods beginning after December 15, 2027. Early adoption is permitted. The Company is currently evaluating the impact of ASU 2025-11 on its future consolidated financial statements and related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design, manufacture and service ion implantation and other processing equipment used in the fabrication of semiconductor chips and sell our products to leading semiconductor chip manufacturers worldwide. We offer a complete line of high energy, high current and medium current implanters for all application requirements. In addition, we provide extensive aftermarket lifecycle products and services, including used tools, spare parts, equipment upgrades, maintenance service and customer training. Our revenue recognition policies are set forth in Section (k) of Note 2, Summary of Significant Accounting Policies.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Alternative Operational Revenue Categories used by Management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management reviews revenue in two categories: revenue from sales of new systems and revenue arising from the sale of used systems, parts and labor to customers who own systems, which we refer to as Customer Solutions &amp; Innovation (“CS&amp;I”) or “aftermarket.”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are the revenues by categories used by management for the periods covered in this report: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2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571,019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782,559</w:t>
            </w:r>
          </w:p>
        </w:tc>
        <w:tc>
          <w:tcPr>
            <w:tcW w:w="4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883,604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Aftermarket</w:t>
            </w:r>
          </w:p>
        </w:tc>
        <w:tc>
          <w:tcPr>
            <w:tcW w:w="19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268,029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235,306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839,048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1,017,865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Economic Factors Affecting our Revenue: Geographic Breakdown of Revenue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Global economic conditions have a direct impact on our revenue. We are substantially dependent on sales of our products and services to customers outside of the United States. Adverse economic conditions, political instability, potential adverse tax consequences, regulatory changes and volatility in currency exchange rates pose a risk that our customers may reduce, postpone or cancel spending for our products and services, which would impact our revenue.</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Revenue by geographic markets is determined based upon the location to which our products are shipped and where our services are performed. Revenue in our principal geographic markets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26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137,078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144,066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781,039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811,308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91,759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144,486</w:t>
            </w:r>
          </w:p>
        </w:tc>
        <w:tc>
          <w:tcPr>
            <w:tcW w:w="0" w:type="dxa"/>
            <w:vAlign w:val="bottom"/>
          </w:tcPr>
          <w:p>
            <w:pPr>
              <w:spacing w:after="0"/>
              <w:rPr>
                <w:sz w:val="1"/>
                <w:szCs w:val="1"/>
                <w:color w:val="auto"/>
              </w:rPr>
            </w:pPr>
          </w:p>
        </w:tc>
      </w:tr>
      <w:tr>
        <w:trPr>
          <w:trHeight w:val="196"/>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36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839,048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1,017,865</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 Recognition of Deferred Revenue from Contract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24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gridSpan w:val="3"/>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Deferral of revenue</w:t>
            </w: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adjustments *</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20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(70,377)</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20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108,939</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138,174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560" w:firstLine="5"/>
        <w:spacing w:after="0" w:line="302" w:lineRule="auto"/>
        <w:tabs>
          <w:tab w:leader="none" w:pos="11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contracts with customers are assessed to determine if amounts paid by customers represent deferred revenue or liabilities payable to customers and such amounts are accordingly reclassified pursuant to our revenue recognition policy and ASC 606.</w:t>
      </w:r>
    </w:p>
    <w:p>
      <w:pPr>
        <w:spacing w:after="0" w:line="13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 Contract liabilities relate to payments received or amounts invoiced in advance of completion of performance obligations under a contract. Contract liabilities are recognized as revenue upon the fulfillment of performance obligations.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deferred revenue of $108.9 million. This represents the portion of the transaction price for contracts with customers allocated to the performance obligations that remain unsatisfied or partially unsatisfied. Short-term deferred revenue of $65.5 million as of December 31, 2025 represents performance obligations that are expected to be satisfied within the next 12 months. This amount relates primarily to prepayments made prior to system</w:t>
      </w:r>
    </w:p>
    <w:p>
      <w:pPr>
        <w:sectPr>
          <w:pgSz w:w="11900" w:h="16838" w:orient="portrait"/>
          <w:cols w:equalWidth="0" w:num="1">
            <w:col w:w="9120"/>
          </w:cols>
          <w:pgMar w:left="1380" w:top="513" w:right="13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delivery as well as to installation and non-standard warranty performance obligations for system sales. Long-term deferred revenue of $43.4 million as of December 31, 2025 relates to prepayments made prior to system delivery as well as to extended warranty performance obligations that we expect to be completed in excess of the next 12 months but within the next 24 months.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system transactions have either (1) payment terms that are 90% due upon shipment of the system and 10% due upon acceptance or (2) a pre-shipment deposit ranging from 20% to 60%, with the remainder due upon shipment, less 10% due at acceptance. Aftermarket transaction payment terms are such that payment is due either within 30 or 60 days of service provided or parts delivered.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145,451</w:t>
            </w:r>
          </w:p>
        </w:tc>
        <w:tc>
          <w:tcPr>
            <w:tcW w:w="5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123,512</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10,627</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7,552</w:t>
            </w:r>
          </w:p>
        </w:tc>
        <w:tc>
          <w:tcPr>
            <w:tcW w:w="1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156,078</w:t>
            </w: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$10.6 million in restricted cash which relates to a $5.9 million cash collateral relating to our lease for our headquarters in Beverly, Massachusetts, a $3.9 million letter of credit for customs purposes, a $0.7 million letter of credit relating to workers’ compensation insurance and a $0.1 million deposit relating to customs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 and Allowance for Credit Losses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Axcelis maintains an allowance for credit losses, which represents an estimate of expected losses over the remaining contractual life of its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its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delinquency trends, collection experience, current economic conditions, estimates for supportable forecasts, when appropriate, and credit risk characteristics.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Axcelis evaluates the credit risk of the customer when extending credit based on a combination of various financial and qualitative factors that may affect its customers’ ability to pay. These factors may include the customer’s financial condition, past payment experience, and credit ratings from credit bureaus, as well as the value of the underlying collateral.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performs detailed reviews of its receivables on a quarterly basis to assess the adequacy of the allowances and to determine if any impairment has occurred. Amounts determined to be uncollectable are charged directly against the allowance, while amounts recovered on previously written-off accounts increase the allowance. Changes to the allowance for credit losses are maintained through adjustments to the provision for credit losses, which are charged to current period earnings.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changes of the allowances for credit losses related to trade receivables for the twelve months ended December 31, 2025 and 2024,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12"/>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1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1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year</w:t>
            </w:r>
          </w:p>
        </w:tc>
        <w:tc>
          <w:tcPr>
            <w:tcW w:w="138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Charge-offs</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 of year</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The components of accounts receivable are as follows:</w:t>
            </w: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1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1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$ 168,479</w:t>
            </w:r>
          </w:p>
        </w:tc>
        <w:tc>
          <w:tcPr>
            <w:tcW w:w="1060" w:type="dxa"/>
            <w:vAlign w:val="bottom"/>
            <w:gridSpan w:val="9"/>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$ 203,149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receivables, net</w:t>
            </w:r>
          </w:p>
        </w:tc>
        <w:tc>
          <w:tcPr>
            <w:tcW w:w="1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$ 168,479</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$ 203,149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Inventories, net</w:t>
            </w: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16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gridSpan w:val="2"/>
          </w:tcPr>
          <w:p>
            <w:pPr>
              <w:spacing w:after="0"/>
              <w:rPr>
                <w:sz w:val="15"/>
                <w:szCs w:val="15"/>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2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gridSpan w:val="5"/>
          </w:tcPr>
          <w:p>
            <w:pPr>
              <w:spacing w:after="0"/>
              <w:rPr>
                <w:sz w:val="15"/>
                <w:szCs w:val="15"/>
                <w:color w:val="auto"/>
              </w:rPr>
            </w:pPr>
          </w:p>
        </w:tc>
        <w:tc>
          <w:tcPr>
            <w:tcW w:w="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10"/>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38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51,761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11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116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329,010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color w:val="auto"/>
        </w:rPr>
        <w:t>When recorded, inventory reserves are intended to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our ability to realize the value of inventories based on a combination of factors including the following: forecasted sales and the size and utilization of our installed base, estimated product end of life dates, estimated current and future market value and new product introductions. Purchasing and usage alternatives are also explored to mitigate inventory exposure. In 2025, we recorded an increase of $0.7 million in inventory reserves. At December 31, 2025 and 2024, inventories are stated net of inventory reserves of $6.5 million and $5.8 million, respectively.</w:t>
      </w:r>
    </w:p>
    <w:p>
      <w:pPr>
        <w:spacing w:after="0" w:line="18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we recorded charges to cost of sales of $3.9 million, $6.0 million and $5.2 million, respectively, to adjust inventories to their lower of cost or net realizable value.</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have inventory on consignment at customer locations at December 31, 2025 and 2024, of $4.7 million and $5.6 million, respectively.</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property, plant and equipment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26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8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6"/>
          </w:tcPr>
          <w:p>
            <w:pPr>
              <w:jc w:val="right"/>
              <w:ind w:right="4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31,051</w:t>
            </w:r>
          </w:p>
        </w:tc>
        <w:tc>
          <w:tcPr>
            <w:tcW w:w="3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56,146</w:t>
            </w:r>
          </w:p>
        </w:tc>
        <w:tc>
          <w:tcPr>
            <w:tcW w:w="220" w:type="dxa"/>
            <w:vAlign w:val="bottom"/>
            <w:gridSpan w:val="2"/>
          </w:tcPr>
          <w:p>
            <w:pPr>
              <w:spacing w:after="0"/>
              <w:rPr>
                <w:sz w:val="18"/>
                <w:szCs w:val="18"/>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$8.7 million, $7.7 million and $6.2 million for the years ended December 31, 2025,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Assets Manufactured for Internal Use, net</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Assets manufactured for internal use, included in other assets, are depreciated using the straight-line method over their 10-20 year estimated useful life. Their components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06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78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5"/>
          </w:tcPr>
          <w:p>
            <w:pPr>
              <w:jc w:val="right"/>
              <w:ind w:right="3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use assets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88,575</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Assets manufactured for internal use, net</w:t>
            </w:r>
          </w:p>
        </w:tc>
        <w:tc>
          <w:tcPr>
            <w:tcW w:w="2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products are used for research and development, training, and customer demonstration purposes.</w:t>
      </w:r>
    </w:p>
    <w:p>
      <w:pPr>
        <w:spacing w:after="0" w:line="158"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$7.7 million, $6.8 million and $5.6 million for the years ended December 31, 2025,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62"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the use of a specific physical space or a specific physical item.</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recognize operating lease obligations under Accounting Standards Codification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The value of the right-of-use asset is initially determined based on the net present value of the associated liability, and is adjusted for deferred costs and possible impairments, if any.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1 to 3 years. The exercise of lease renewal options is at our sole discretion. For lease extensions that are reasonably certain to occur, we have included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renewal periods in our calculation of the net present value of the lease obligation and related right-of-use asset. Certain leases also include options to purchase the leased property. The depreciable life of certain assets and leasehold improvements are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5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382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Operating lease assets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28,927</w:t>
            </w:r>
          </w:p>
        </w:tc>
        <w:tc>
          <w:tcPr>
            <w:tcW w:w="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820" w:type="dxa"/>
            <w:vAlign w:val="bottom"/>
            <w:tcBorders>
              <w:bottom w:val="single" w:sz="8" w:color="CCEEFF"/>
            </w:tcBorders>
            <w:gridSpan w:val="2"/>
          </w:tcPr>
          <w:p>
            <w:pPr>
              <w:ind w:left="1720"/>
              <w:spacing w:after="0"/>
              <w:rPr>
                <w:sz w:val="20"/>
                <w:szCs w:val="20"/>
                <w:color w:val="auto"/>
              </w:rPr>
            </w:pPr>
            <w:r>
              <w:rPr>
                <w:rFonts w:ascii="Times New Roman" w:cs="Times New Roman" w:eastAsia="Times New Roman" w:hAnsi="Times New Roman"/>
                <w:sz w:val="14"/>
                <w:szCs w:val="14"/>
                <w:color w:val="auto"/>
              </w:rPr>
              <w:t>Finance lease assets*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15,346</w:t>
            </w: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leased assets</w:t>
            </w:r>
          </w:p>
        </w:tc>
        <w:tc>
          <w:tcPr>
            <w:tcW w:w="3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43,081</w:t>
            </w:r>
          </w:p>
        </w:tc>
        <w:tc>
          <w:tcPr>
            <w:tcW w:w="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44,967</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960" w:type="dxa"/>
            <w:vAlign w:val="bottom"/>
            <w:vMerge w:val="continue"/>
          </w:tcPr>
          <w:p>
            <w:pPr>
              <w:spacing w:after="0"/>
              <w:rPr>
                <w:sz w:val="16"/>
                <w:szCs w:val="16"/>
                <w:color w:val="auto"/>
              </w:rPr>
            </w:pPr>
          </w:p>
        </w:tc>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82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4,859</w:t>
            </w:r>
          </w:p>
        </w:tc>
        <w:tc>
          <w:tcPr>
            <w:tcW w:w="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Finance</w:t>
            </w:r>
          </w:p>
        </w:tc>
        <w:tc>
          <w:tcPr>
            <w:tcW w:w="3820" w:type="dxa"/>
            <w:vAlign w:val="bottom"/>
            <w:gridSpan w:val="2"/>
          </w:tcPr>
          <w:p>
            <w:pPr>
              <w:ind w:left="172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3820" w:type="dxa"/>
            <w:vAlign w:val="bottom"/>
            <w:gridSpan w:val="2"/>
          </w:tcPr>
          <w:p>
            <w:pPr>
              <w:ind w:left="1720"/>
              <w:spacing w:after="0"/>
              <w:rPr>
                <w:sz w:val="20"/>
                <w:szCs w:val="20"/>
                <w:color w:val="auto"/>
              </w:rPr>
            </w:pPr>
            <w:r>
              <w:rPr>
                <w:rFonts w:ascii="Times New Roman" w:cs="Times New Roman" w:eastAsia="Times New Roman" w:hAnsi="Times New Roman"/>
                <w:sz w:val="14"/>
                <w:szCs w:val="14"/>
                <w:color w:val="auto"/>
              </w:rPr>
              <w:t>lease obligation</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Operating</w:t>
            </w:r>
          </w:p>
        </w:tc>
        <w:tc>
          <w:tcPr>
            <w:tcW w:w="3820" w:type="dxa"/>
            <w:vAlign w:val="bottom"/>
            <w:gridSpan w:val="2"/>
          </w:tcPr>
          <w:p>
            <w:pPr>
              <w:ind w:left="17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25,321</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82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Finance lease obligation</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40,754</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42,329</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71,801</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73,465</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0"/>
        <w:spacing w:after="0" w:line="241" w:lineRule="auto"/>
        <w:rPr>
          <w:sz w:val="20"/>
          <w:szCs w:val="20"/>
          <w:color w:val="auto"/>
        </w:rPr>
      </w:pPr>
      <w:r>
        <w:rPr>
          <w:rFonts w:ascii="Times New Roman" w:cs="Times New Roman" w:eastAsia="Times New Roman" w:hAnsi="Times New Roman"/>
          <w:sz w:val="14"/>
          <w:szCs w:val="14"/>
          <w:color w:val="auto"/>
        </w:rPr>
        <w:t>*Finance lease assets are recorded net of accumulated depreciation of $47.7 million and include $0.5 million of prepaid financing costs as of December 31, 2025. Finance lease assets are recorded net of accumulated depreciation of $47.4 million and include $0.5 million of prepaid financing costs as of December 31, 2024.</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lease office locations support local selling and servicing functions. Our Axcelis Asia Operations Center facility in South Korea is used to manufacture our products for Asia-based customers. We lease a logistics and flex manufacturing center in Beverly, Massachusetts to support our principal product manufacturing operations at our corporate headquarters. Lease expense, depreciation expense relating to finance leased assets and interest expense relating to our finance lease obligation recognized within our consolidated statement of operations for the twelve-month periods ended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vMerge w:val="continue"/>
          </w:tcPr>
          <w:p>
            <w:pPr>
              <w:spacing w:after="0"/>
              <w:rPr>
                <w:sz w:val="17"/>
                <w:szCs w:val="17"/>
                <w:color w:val="auto"/>
              </w:rPr>
            </w:pPr>
          </w:p>
        </w:tc>
        <w:tc>
          <w:tcPr>
            <w:tcW w:w="352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3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 services*</w:t>
            </w:r>
          </w:p>
        </w:tc>
        <w:tc>
          <w:tcPr>
            <w:tcW w:w="35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Cost of revenue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52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35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520" w:type="dxa"/>
            <w:vAlign w:val="bottom"/>
            <w:tcBorders>
              <w:bottom w:val="single" w:sz="8" w:color="CCEEFF"/>
            </w:tcBorders>
          </w:tcPr>
          <w:p>
            <w:pPr>
              <w:ind w:left="122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35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10,035</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10,328</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10,669</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vMerge w:val="continue"/>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3520" w:type="dxa"/>
            <w:vAlign w:val="bottom"/>
            <w:shd w:val="clear" w:color="auto" w:fill="CCEEFF"/>
          </w:tcPr>
          <w:p>
            <w:pPr>
              <w:ind w:left="1220"/>
              <w:spacing w:after="0" w:line="126" w:lineRule="exact"/>
              <w:rPr>
                <w:sz w:val="20"/>
                <w:szCs w:val="20"/>
                <w:color w:val="auto"/>
              </w:rPr>
            </w:pPr>
            <w:r>
              <w:rPr>
                <w:rFonts w:ascii="Times New Roman" w:cs="Times New Roman" w:eastAsia="Times New Roman" w:hAnsi="Times New Roman"/>
                <w:sz w:val="14"/>
                <w:szCs w:val="14"/>
                <w:color w:val="auto"/>
              </w:rPr>
              <w:t>Cost of revenue, Research and</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3520" w:type="dxa"/>
            <w:vAlign w:val="bottom"/>
            <w:shd w:val="clear" w:color="auto" w:fill="CCEEFF"/>
          </w:tcPr>
          <w:p>
            <w:pPr>
              <w:ind w:left="1220"/>
              <w:spacing w:after="0" w:line="149" w:lineRule="exact"/>
              <w:rPr>
                <w:sz w:val="20"/>
                <w:szCs w:val="20"/>
                <w:color w:val="auto"/>
              </w:rPr>
            </w:pPr>
            <w:r>
              <w:rPr>
                <w:rFonts w:ascii="Times New Roman" w:cs="Times New Roman" w:eastAsia="Times New Roman" w:hAnsi="Times New Roman"/>
                <w:sz w:val="14"/>
                <w:szCs w:val="14"/>
                <w:color w:val="auto"/>
              </w:rPr>
              <w:t>development, Sales and marketing and</w:t>
            </w:r>
          </w:p>
        </w:tc>
        <w:tc>
          <w:tcPr>
            <w:tcW w:w="2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2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vMerge w:val="continue"/>
            <w:shd w:val="clear" w:color="auto" w:fill="CCEEFF"/>
          </w:tcPr>
          <w:p>
            <w:pPr>
              <w:spacing w:after="0"/>
              <w:rPr>
                <w:sz w:val="14"/>
                <w:szCs w:val="14"/>
                <w:color w:val="auto"/>
              </w:rPr>
            </w:pPr>
          </w:p>
        </w:tc>
        <w:tc>
          <w:tcPr>
            <w:tcW w:w="35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520" w:type="dxa"/>
            <w:vAlign w:val="bottom"/>
            <w:tcBorders>
              <w:bottom w:val="single" w:sz="8" w:color="CCEEFF"/>
            </w:tcBorders>
          </w:tcPr>
          <w:p>
            <w:pPr>
              <w:ind w:left="12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35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Borders>
              <w:bottom w:val="single" w:sz="8" w:color="CCEEFF"/>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35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15,801</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16,340</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16,853</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20" w:firstLine="5"/>
        <w:spacing w:after="0" w:line="261" w:lineRule="auto"/>
        <w:tabs>
          <w:tab w:leader="none" w:pos="10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 services, sales and marketing and general and administrative expense also includes short-term lease and variable lease costs of approximately $1.8 million, $2.1 million and $2.1 million for the years ended December 31, 2025, 2024 and 2023, respectively.</w:t>
      </w:r>
    </w:p>
    <w:p>
      <w:pPr>
        <w:spacing w:after="0" w:line="16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shown below under finance leases, has an original lease term of 22 years. All other locations are treated as operating leases, with lease terms ranging from 1 to 16 years. The tables below reflect the minimum cash outflow regarding our current lease obligations as well as the weighted-average remaining lease term and weighted-average discount rates used in our calculation of our lease obligations and right-of-use assets: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6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42,456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20,217</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(41,314)</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208"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options to renew lease terms that are not reasonably certain of being exercised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7460" w:type="dxa"/>
            <w:vAlign w:val="bottom"/>
            <w:vMerge w:val="continue"/>
          </w:tcPr>
          <w:p>
            <w:pPr>
              <w:spacing w:after="0"/>
              <w:rPr>
                <w:sz w:val="17"/>
                <w:szCs w:val="17"/>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7"/>
              </w:rPr>
              <w:t>10.3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w w:val="97"/>
              </w:rPr>
              <w:t>11.1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Our cash outflows from our operating leases include rent expense and other charges associated with these leases. These cash flows are included within the operating section of our statement of cash flows. Our cash flows from our finance lease include an interest and payment of principal component. The table below shows our cash outflows, by lease type and related section of our statement of cash flows, as well as the non-cash amount capitalized on our balance sheet in relation to our operating lease right-of-use assets: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57861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861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21590</wp:posOffset>
            </wp:positionV>
            <wp:extent cx="35744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cash outflows from operating leases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cash outflows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57861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Financing cash outflows from finance leases</w:t>
      </w:r>
    </w:p>
    <w:p>
      <w:pPr>
        <w:spacing w:after="0" w:line="55" w:lineRule="exact"/>
        <w:rPr>
          <w:sz w:val="20"/>
          <w:szCs w:val="20"/>
          <w:color w:val="auto"/>
        </w:rPr>
      </w:pPr>
    </w:p>
    <w:p>
      <w:pPr>
        <w:ind w:right="780"/>
        <w:spacing w:after="0" w:line="362" w:lineRule="auto"/>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 Finance lease assets obtained in exchange for new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-198755</wp:posOffset>
            </wp:positionV>
            <wp:extent cx="57861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7620</wp:posOffset>
            </wp:positionV>
            <wp:extent cx="20148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r>
      <w:tr>
        <w:trPr>
          <w:trHeight w:val="216"/>
        </w:trPr>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10,035</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10,669</w:t>
            </w:r>
          </w:p>
        </w:tc>
      </w:tr>
      <w:tr>
        <w:trPr>
          <w:trHeight w:val="216"/>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r>
      <w:tr>
        <w:trPr>
          <w:trHeight w:val="216"/>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r>
      <w:tr>
        <w:trPr>
          <w:trHeight w:val="216"/>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26,890</w:t>
            </w:r>
          </w:p>
        </w:tc>
      </w:tr>
      <w:tr>
        <w:trPr>
          <w:trHeight w:val="216"/>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81" w:lineRule="exact"/>
        <w:rPr>
          <w:sz w:val="20"/>
          <w:szCs w:val="20"/>
          <w:color w:val="auto"/>
        </w:rPr>
      </w:pPr>
    </w:p>
    <w:p>
      <w:pPr>
        <w:sectPr>
          <w:pgSz w:w="11900" w:h="16838" w:orient="portrait"/>
          <w:cols w:equalWidth="0" w:num="2">
            <w:col w:w="5020" w:space="720"/>
            <w:col w:w="3380"/>
          </w:cols>
          <w:pgMar w:left="1380" w:top="513" w:right="139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Product Warranty</w:t>
      </w:r>
    </w:p>
    <w:p>
      <w:pPr>
        <w:spacing w:after="0" w:line="229"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our product warranty liability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8"/>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(end of year)</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Amount classified as long-term (within other long-term liabilities)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jc w:val="right"/>
              <w:ind w:right="1059"/>
              <w:spacing w:after="0"/>
              <w:rPr>
                <w:sz w:val="20"/>
                <w:szCs w:val="20"/>
                <w:color w:val="auto"/>
              </w:rPr>
            </w:pPr>
            <w:r>
              <w:rPr>
                <w:rFonts w:ascii="Times New Roman" w:cs="Times New Roman" w:eastAsia="Times New Roman" w:hAnsi="Times New Roman"/>
                <w:sz w:val="18"/>
                <w:szCs w:val="18"/>
                <w:color w:val="auto"/>
              </w:rPr>
              <w:t>65</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58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Financing Arrangements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for the sale price of $48.9 million. As part of the sale, we also entered into a 22-year lease agreement with the buyer. The sale leaseback is accounted for as a financing arrangement for financial reporting purposes and, as such, we recorded a financing obligation of $42.3 million as of December 31, 2025, $1.6 million of which is classified within current liabilities. The associated lease payments include both an interest component and payment of principal, with the underlying liability being extinguished at the end of the original lease term. As of December 31, 2025, we had a security deposit of $5.9 million related to this lease in the form of a cash collateralized letter of credit issued with UBS Bank USA, which is classified as long-term restricted cash on our balance sheet at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Plans</w:t>
      </w:r>
    </w:p>
    <w:p>
      <w:pPr>
        <w:spacing w:after="0" w:line="225" w:lineRule="exact"/>
        <w:rPr>
          <w:sz w:val="20"/>
          <w:szCs w:val="20"/>
          <w:color w:val="auto"/>
        </w:rPr>
      </w:pPr>
    </w:p>
    <w:p>
      <w:pPr>
        <w:ind w:left="660" w:hanging="655"/>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maintain the Axcelis Long-Term Investment Plan, a defined contribution plan. Eligible employees may contribute up to 35% of their compensation on a before-tax basis subject to Internal Revenue Service (“IRS”) limitations. Highly compensated employees may contribute up to 16% of their compensation on a before-tax basis subject to IRS limitations. In 2025, 2024 and 2023, we provided an employer match of 50% of employees’ pre-tax contributions on the first 6% of eligible compensation. Total related matching contribution expense was $3.1 million, $3.4 million and $3.4 million, for 2025, 2024 and 2023, respectively.</w:t>
      </w:r>
    </w:p>
    <w:p>
      <w:pPr>
        <w:spacing w:after="0" w:line="183" w:lineRule="exact"/>
        <w:rPr>
          <w:sz w:val="20"/>
          <w:szCs w:val="20"/>
          <w:color w:val="auto"/>
        </w:rPr>
      </w:pPr>
    </w:p>
    <w:p>
      <w:pPr>
        <w:ind w:left="680" w:hanging="675"/>
        <w:spacing w:after="0"/>
        <w:tabs>
          <w:tab w:leader="none" w:pos="6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Compensation Plans</w:t>
      </w:r>
    </w:p>
    <w:p>
      <w:pPr>
        <w:spacing w:after="0" w:line="229" w:lineRule="exact"/>
        <w:rPr>
          <w:sz w:val="20"/>
          <w:szCs w:val="20"/>
          <w:color w:val="auto"/>
        </w:rPr>
      </w:pPr>
    </w:p>
    <w:p>
      <w:pPr>
        <w:ind w:right="580" w:firstLine="648"/>
        <w:spacing w:after="0" w:line="312" w:lineRule="auto"/>
        <w:rPr>
          <w:sz w:val="20"/>
          <w:szCs w:val="20"/>
          <w:color w:val="auto"/>
        </w:rPr>
      </w:pPr>
      <w:r>
        <w:rPr>
          <w:rFonts w:ascii="Times New Roman" w:cs="Times New Roman" w:eastAsia="Times New Roman" w:hAnsi="Times New Roman"/>
          <w:sz w:val="17"/>
          <w:szCs w:val="17"/>
          <w:color w:val="auto"/>
        </w:rPr>
        <w:t>We operate in foreign jurisdictions that require lump sum benefits, payable based on statutory regulations, for voluntary or involuntary termination. Where required, an annual actuarial valuation of the benefit plans is obtained.</w:t>
      </w:r>
    </w:p>
    <w:p>
      <w:pPr>
        <w:spacing w:after="0" w:line="140"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have recorded an unfunded liability of $3.6 million and $3.1 million at December 31, 2025 and 2024, respectively, for costs associated with these compensation plans in foreign jurisdictions. The following table presents the classification of these liabilities in the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72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2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3,623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3,623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expense recorded in connection with these plans was $1.7 million for each of the years ended December 31, 2025,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 Award Plans and Stock-Based Compensation</w:t>
      </w:r>
    </w:p>
    <w:p>
      <w:pPr>
        <w:spacing w:after="0" w:line="225" w:lineRule="exact"/>
        <w:rPr>
          <w:sz w:val="20"/>
          <w:szCs w:val="20"/>
          <w:color w:val="auto"/>
        </w:rPr>
      </w:pPr>
    </w:p>
    <w:p>
      <w:pPr>
        <w:ind w:left="660" w:hanging="655"/>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(the “2012 Equity Plan” or the “Plan”), which became effective on May 2, 2012.</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2012 Equity Plan, as amended, reserves 12.5 million shares of common stock, $0.001 par value, for grant and permits the issuance of options, stock appreciation rights, restricted stock, restricted stock units, stock equivalents and awards of shares of common stock that are not subject to restrictions or forfeiture to selected employees, directors, and consultants of the Company. The total number of shares reserved for issuance under the Plan is the sum of 10.76 million shares approved by the shareholders, and 1.78 million shares added in accordance with the terms of the Plan as a result of</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expiration or forfeiture of awards granted under our prior equity plan. Shares that are not issued under an award (because such award expires, is terminated unexercised or is forfeited) revert back to the Plan.</w:t>
      </w:r>
    </w:p>
    <w:p>
      <w:pPr>
        <w:spacing w:after="0" w:line="162"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The term of stock options granted under the Plan is specified in the award agreements. Unless a lesser term is otherwise specified by the Compensation Committee of the Company’s Board of Directors, option awards under the 2012 Equity Plan will expire seven years from the date of grant. Under the terms of the Plan, the exercise price of a stock option may not be less than the fair market value of a share of the Company’s common stock on the date of grant. Under the 2012 Equity Plan, fair market value is defined as the last reported sale price of a share of the Company’s common stock on a national securities exchange as of any applicable date, as long as the Company’s shares are traded on such exchange.</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Stock options granted to employees generally vest over a period of four years, while stock options granted to non-employee members of the Company’s Board of Directors generally vest over a period of six months and, once vested, are not affected by the director’s termination of service to the Company. In limited circumstances, the Company may grant stock option awards with market-based vesting conditions, such as the Company’s common stock price, or other performance conditions. Termination of service by an employee will cause options to cease vesting as of the date of termination, and in most cases, employees will have 90 days after termination to exercise options that were vested as of the termination of employment. In general, retiring employees will have one year after termination of employment to exercise vested options. The Company settles stock option exercises with newly issued shares of common stock.</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Restricted stock units granted to employees during 2025 had both service-based vesting provisions and performance-based vesting provisions. Restricted stock units granted to employees generally vest over a service period of four years, while restricted stock units granted to non-employee members of the Company’s Board of Directors in 2025 vest over a service period of one year. We have granted restricted stock units to executive officers and other senior employees with performance vesting conditions, which may be subject to further service-based vesting terms. Unvested restricted stock unit awards expire upon termination of service to the Company. We settle restricted stock units upon vesting with newly issued shares of common stock.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there were 2.7 million shares available for grant under the 2012 Equity Plan.</w:t>
      </w:r>
    </w:p>
    <w:p>
      <w:pPr>
        <w:spacing w:after="0" w:line="22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no options outstanding and 0.7 million unvested restricted stock units outstanding under the 2012 Stock Plan.</w:t>
      </w:r>
    </w:p>
    <w:p>
      <w:pPr>
        <w:spacing w:after="0" w:line="158" w:lineRule="exact"/>
        <w:rPr>
          <w:sz w:val="20"/>
          <w:szCs w:val="20"/>
          <w:color w:val="auto"/>
        </w:rPr>
      </w:pPr>
    </w:p>
    <w:p>
      <w:pPr>
        <w:ind w:left="680" w:hanging="675"/>
        <w:spacing w:after="0"/>
        <w:tabs>
          <w:tab w:leader="none" w:pos="6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2020 Employee Stock Purchase Plan (the “2020 ESPP”) provides our employees an opportunity to purchase common stock of the Company at less than market prices. Purchases are made through payroll deductions of up to 10% of the employee’s salary as elected by the participant, subject to certain caps set forth in the 2020 ESPP. Employees may purchase the Company’s common stock at 85% of its market price on the day the stock is purchased.</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2020 ESPP is considered compensatory and as such, compensation expense has been recognized based on the benefit of the discounted stock price, amortized to compensation expense over each offering period of six months. Compensation expense relating to the 2020 ESPP was approximately $0.4 million for each of the years ended December 31, 2025, 2024 and 2023.</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there were approximately 0.8 million shares reserved for issuance and available for purchase under the 2020 ESPP, with 18 thousand shares purchased on that date to be issued pending settlement. 38 thousand shares, 30 thousand shares, and 16 thousand shares were purchased under the 2020 ESPP for the year ended December 31, 2025, 2024 and 2023, respectively.</w:t>
      </w:r>
    </w:p>
    <w:p>
      <w:pPr>
        <w:spacing w:after="0" w:line="176" w:lineRule="exact"/>
        <w:rPr>
          <w:sz w:val="20"/>
          <w:szCs w:val="20"/>
          <w:color w:val="auto"/>
        </w:rPr>
      </w:pPr>
    </w:p>
    <w:p>
      <w:pPr>
        <w:ind w:left="660" w:hanging="655"/>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of Restricted Stock Units</w:t>
      </w:r>
    </w:p>
    <w:p>
      <w:pPr>
        <w:spacing w:after="0" w:line="22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restricted stock units is calculated based upon the fair market value of the Company’s stock at the date of grant.</w:t>
      </w:r>
    </w:p>
    <w:p>
      <w:pPr>
        <w:sectPr>
          <w:pgSz w:w="11900" w:h="16838" w:orient="portrait"/>
          <w:cols w:equalWidth="0" w:num="1">
            <w:col w:w="9080"/>
          </w:cols>
          <w:pgMar w:left="1380" w:top="513" w:right="14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0" w:hanging="675"/>
        <w:spacing w:after="0"/>
        <w:tabs>
          <w:tab w:leader="none" w:pos="6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Stock-based Compensation Expense</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use the straight-line attribution method to recognize expense for stock-based awards such that the expense associated with awards is evenly recognized throughout the period.</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amount of stock-based compensation recognized is based on the value of the portion of the awards that are ultimately expected to vest. We estimate forfeitures at the time of grant and revise them, if necessary, in subsequent periods, if actual forfeitures differ from those estimates. The term “forfeitures” is distinct from “cancellations” or “expirations” and represents only the unvested portion of the surrendered stock-based award. Based on a historical analysis, a forfeiture rate of 5% per year was applied to stock-based awards, including executive officer awards, for the years ended December 31, 2025, 2024 and 2023.</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we recognized stock-based compensation expense of $20.8 million, $21.0 million and $18.3 million, respectively. We present the expenses related to stock-based compensation in the same expense line items as cash compensation paid to our employees. For the years ended December 31, 2025, 2024 and 2023, we used restricted stock units in our annual equity compensation program.</w:t>
      </w:r>
    </w:p>
    <w:p>
      <w:pPr>
        <w:spacing w:after="0" w:line="18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With regard to stock-based compensation, the statement of cash flows will report a net benefit related to tax deductions in excess of recognized compensation cost or a net charge related to non-deductible compensation cost. For the year ended December 31, 2025, the net charge related to non-deductible stock compensation was $1.2 million.</w:t>
      </w:r>
    </w:p>
    <w:p>
      <w:pPr>
        <w:spacing w:after="0" w:line="172" w:lineRule="exact"/>
        <w:rPr>
          <w:sz w:val="20"/>
          <w:szCs w:val="20"/>
          <w:color w:val="auto"/>
        </w:rPr>
      </w:pPr>
    </w:p>
    <w:p>
      <w:pPr>
        <w:ind w:left="560" w:hanging="555"/>
        <w:spacing w:after="0"/>
        <w:tabs>
          <w:tab w:leader="none" w:pos="5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 and Restricted Stock</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Restricted stock units represent the Company’s unfunded and unsecured promise to issue shares of the common stock at a future date, subject to the terms of the Award Agreement issued under the 2012 Equity Incentive Plan. Restricted stock unit awards granted in 2025 included time vested share awards and awards with performance vesting conditions. Restricted stock awards are issued shares of common stock that are subject to forfeiture on terms described in the Award Agreement, and may be granted under the 2012 Equity Incentive Plan. No restricted stock awards were granted, or vested, during the years ended December 31, 2025, 2024 and 2023. The fair value of a restricted stock unit and restricted stock award is charged to expense ratably over the applicable service period. The purpose of these awards is to assist in attracting and retaining highly competent employees and directors and to act as an incentive in motivating selected employees and directors to achieve long-term corporate objectives.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Company’s non-vested restricted stock units for the year ended December 31, 2025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12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140" w:type="dxa"/>
            <w:vAlign w:val="bottom"/>
          </w:tcPr>
          <w:p>
            <w:pPr>
              <w:spacing w:after="0"/>
              <w:rPr>
                <w:sz w:val="12"/>
                <w:szCs w:val="12"/>
                <w:color w:val="auto"/>
              </w:rPr>
            </w:pPr>
          </w:p>
        </w:tc>
        <w:tc>
          <w:tcPr>
            <w:tcW w:w="12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weighted average grant-date fair value of restricted stock units granted for the years ended December 31, 2025, 2024 and 2023 was $65.30, $112.45 and $125.11, respectively. Most restricted stock units provide for net share settlement to cover the employee’s personal income tax withholding obligations on vesting of the employee’s restricted stock units. Vesting activity above reflects shares vested before net share settlement. As of December 31, 2025, there was $43.7 million of total forfeiture-adjusted unrecognized compensation cost related to non-vested restricted stock units granted under the 2012 Equity Incentive Plan. That cost is expected to be recognized over a weighted-average period of 2.6 years.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229" w:lineRule="exact"/>
        <w:rPr>
          <w:sz w:val="20"/>
          <w:szCs w:val="20"/>
          <w:color w:val="auto"/>
        </w:rPr>
      </w:pPr>
    </w:p>
    <w:p>
      <w:pPr>
        <w:ind w:right="199" w:firstLine="648"/>
        <w:spacing w:after="0" w:line="282" w:lineRule="auto"/>
        <w:rPr>
          <w:sz w:val="20"/>
          <w:szCs w:val="20"/>
          <w:color w:val="auto"/>
        </w:rPr>
      </w:pPr>
      <w:r>
        <w:rPr>
          <w:rFonts w:ascii="Times New Roman" w:cs="Times New Roman" w:eastAsia="Times New Roman" w:hAnsi="Times New Roman"/>
          <w:sz w:val="18"/>
          <w:szCs w:val="18"/>
          <w:color w:val="auto"/>
        </w:rPr>
        <w:t>We may issue up to 75 million shares of common stock without additional shareholder approval. At December 31, 2025 and 2024, there were 30.7 million and 32.4 million outstanding shares of common stock,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229" w:lineRule="exact"/>
        <w:rPr>
          <w:sz w:val="20"/>
          <w:szCs w:val="20"/>
          <w:color w:val="auto"/>
        </w:rPr>
      </w:pPr>
    </w:p>
    <w:p>
      <w:pPr>
        <w:ind w:right="17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2" w:lineRule="exact"/>
        <w:rPr>
          <w:sz w:val="20"/>
          <w:szCs w:val="20"/>
          <w:color w:val="auto"/>
        </w:rPr>
      </w:pPr>
    </w:p>
    <w:p>
      <w:pPr>
        <w:ind w:left="660" w:hanging="655"/>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right="39"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1" w:lineRule="exact"/>
        <w:rPr>
          <w:sz w:val="20"/>
          <w:szCs w:val="20"/>
          <w:color w:val="auto"/>
        </w:rPr>
      </w:pPr>
    </w:p>
    <w:p>
      <w:pPr>
        <w:ind w:left="660" w:right="3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—applies to assets or liabilities for which there are quoted prices in active markets for identical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w:t>
      </w:r>
    </w:p>
    <w:p>
      <w:pPr>
        <w:spacing w:after="0" w:line="158" w:lineRule="exact"/>
        <w:rPr>
          <w:sz w:val="20"/>
          <w:szCs w:val="20"/>
          <w:color w:val="auto"/>
        </w:rPr>
      </w:pPr>
    </w:p>
    <w:p>
      <w:pPr>
        <w:ind w:left="6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—applies to assets or liabilities for which there are inputs other than quoted prices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3" w:lineRule="exact"/>
        <w:rPr>
          <w:sz w:val="20"/>
          <w:szCs w:val="20"/>
          <w:color w:val="auto"/>
        </w:rPr>
      </w:pPr>
    </w:p>
    <w:p>
      <w:pPr>
        <w:ind w:left="660" w:right="93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—applies to assets or liabilities for which there are unobservable inputs to the 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methodology that are significant to the measurement of the fair value of the assets or liabilities.</w:t>
      </w:r>
    </w:p>
    <w:p>
      <w:pPr>
        <w:spacing w:after="0" w:line="133" w:lineRule="exact"/>
        <w:rPr>
          <w:sz w:val="20"/>
          <w:szCs w:val="20"/>
          <w:color w:val="auto"/>
        </w:rPr>
      </w:pPr>
    </w:p>
    <w:p>
      <w:pPr>
        <w:ind w:left="660" w:hanging="655"/>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sz w:val="20"/>
          <w:szCs w:val="20"/>
          <w:color w:val="auto"/>
        </w:rPr>
      </w:pPr>
    </w:p>
    <w:p>
      <w:pPr>
        <w:ind w:right="79" w:firstLine="648"/>
        <w:spacing w:after="0" w:line="261" w:lineRule="auto"/>
        <w:rPr>
          <w:sz w:val="20"/>
          <w:szCs w:val="20"/>
          <w:color w:val="auto"/>
        </w:rPr>
      </w:pPr>
      <w:r>
        <w:rPr>
          <w:rFonts w:ascii="Times New Roman" w:cs="Times New Roman" w:eastAsia="Times New Roman" w:hAnsi="Times New Roman"/>
          <w:sz w:val="18"/>
          <w:szCs w:val="18"/>
          <w:color w:val="auto"/>
        </w:rPr>
        <w:t>Our money market funds and short-term investments with maturities of 90 days or less at time of purchase are included in cash and cash equivalents in the consolidated balance sheets. Short-term investments with maturities greater than 90 days but not greater than 365 days are included in short-term investments in the consolidated balance sheets. Investments that have a maturity of greater than one year are included within long-term investments in the consolidated balance sheets.</w:t>
      </w:r>
    </w:p>
    <w:p>
      <w:pPr>
        <w:spacing w:after="0" w:line="180" w:lineRule="exact"/>
        <w:rPr>
          <w:sz w:val="20"/>
          <w:szCs w:val="20"/>
          <w:color w:val="auto"/>
        </w:rPr>
      </w:pPr>
    </w:p>
    <w:p>
      <w:pPr>
        <w:ind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assets which are measured at fair value by level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gridSpan w:val="3"/>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93,348</w:t>
            </w:r>
          </w:p>
        </w:tc>
        <w:tc>
          <w:tcPr>
            <w:tcW w:w="8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228,802</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investments (U.S. Government Securities and Agency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182,396</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$ 504,546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gridSpan w:val="3"/>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w:t>
            </w:r>
          </w:p>
        </w:tc>
        <w:tc>
          <w:tcPr>
            <w:tcW w:w="8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448,296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$ 529,616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529,883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investments as of December 31, 2025:</w:t>
      </w:r>
    </w:p>
    <w:tbl>
      <w:tblPr>
        <w:tblLayout w:type="fixed"/>
        <w:tblInd w:w="0" w:type="dxa"/>
        <w:tblCellMar>
          <w:top w:w="0" w:type="dxa"/>
          <w:left w:w="0" w:type="dxa"/>
          <w:bottom w:w="0" w:type="dxa"/>
          <w:right w:w="0" w:type="dxa"/>
        </w:tblCellMar>
      </w:tblPr>
      <w:tr>
        <w:trPr>
          <w:trHeight w:val="162"/>
        </w:trPr>
        <w:tc>
          <w:tcPr>
            <w:tcW w:w="5320" w:type="dxa"/>
            <w:vAlign w:val="bottom"/>
          </w:tcPr>
          <w:p>
            <w:pPr>
              <w:ind w:left="49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0" w:type="dxa"/>
            <w:vAlign w:val="bottom"/>
            <w:tcBorders>
              <w:bottom w:val="single" w:sz="8" w:color="auto"/>
            </w:tcBorders>
          </w:tcPr>
          <w:p>
            <w:pPr>
              <w:spacing w:after="0"/>
              <w:rPr>
                <w:sz w:val="14"/>
                <w:szCs w:val="14"/>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28"/>
        </w:trPr>
        <w:tc>
          <w:tcPr>
            <w:tcW w:w="5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within one year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322,032</w:t>
            </w:r>
          </w:p>
        </w:tc>
        <w:tc>
          <w:tcPr>
            <w:tcW w:w="10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322,150</w:t>
            </w: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Due after one year through two years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182,078</w:t>
            </w: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182,396</w:t>
            </w:r>
          </w:p>
        </w:tc>
      </w:tr>
      <w:tr>
        <w:trPr>
          <w:trHeight w:val="210"/>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504,110</w:t>
            </w: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504,546</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655"/>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Instruments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and other current and non-current assets, restricted cash, accounts payable and accrued expenses approximate fair value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Forward Currency Exchange Contracts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enter into forward currency exchange contracts to minimize the impact of foreign currency fluctuations on our earnings and cash flows. These contracts have month-to-month settlement dates. Any gains or losses on these contracts are reported within Other, net in our Consolidated Statement of Operations. Any open contracts at period end that have settlement dates within one month after the reported period end are marked-to-market and the valuation adjustments related to these open contracts are recorded in the current asset or current liability account. Any unrealized gain or loss on the open contracts is recognized and recorded within Other, net in our Consolidated Statement of Operations. These contracts are measured at fair value using observable market inputs such as forward currency exchange rates and our counterparties’ credit risks. Based on these inputs, the derivative instruments are classified within Level 2 of the valuation hierarchy. At December 31, 2025, the recognized unrealized gain on these forward exchange contracts was approximately $0.4 million. Based on our continued ability to trade and enter into forward contracts, we consider the markets for our fair value instruments to be active. We evaluated the credit risk associated with the counterparties to these derivative instruments and</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determined that as of December 31, 2025, such credit risks have not had an adverse impact on the fair value of these instruments.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9"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finance and operating leases discussed in Note 9, we have purchase commitments and other contingency considerations. See Footnote 19 for contingency considerations related to the proposed merger with Veeco Instruments Inc.</w:t>
      </w:r>
    </w:p>
    <w:p>
      <w:pPr>
        <w:spacing w:after="0" w:line="172" w:lineRule="exact"/>
        <w:rPr>
          <w:sz w:val="20"/>
          <w:szCs w:val="20"/>
          <w:color w:val="auto"/>
        </w:rPr>
      </w:pPr>
    </w:p>
    <w:p>
      <w:pPr>
        <w:ind w:left="660" w:hanging="655"/>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Commitments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contracts and purchase orders for inventory and other expenditures of $178.0 million at December 31, 2025, approximately $171.0 million of which are expected to occur in 2026.</w:t>
      </w:r>
    </w:p>
    <w:p>
      <w:pPr>
        <w:spacing w:after="0" w:line="158" w:lineRule="exact"/>
        <w:rPr>
          <w:sz w:val="20"/>
          <w:szCs w:val="20"/>
          <w:color w:val="auto"/>
        </w:rPr>
      </w:pPr>
    </w:p>
    <w:p>
      <w:pPr>
        <w:ind w:left="680" w:hanging="675"/>
        <w:spacing w:after="0"/>
        <w:tabs>
          <w:tab w:leader="none" w:pos="6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We are not presently a party to any litigation that we believe might have a material adverse effect on our business operations. We are, from time to time, a party to litigation that arises in the normal course of our business operations.</w:t>
      </w:r>
    </w:p>
    <w:p>
      <w:pPr>
        <w:spacing w:after="0" w:line="136" w:lineRule="exact"/>
        <w:rPr>
          <w:sz w:val="20"/>
          <w:szCs w:val="20"/>
          <w:color w:val="auto"/>
        </w:rPr>
      </w:pPr>
    </w:p>
    <w:p>
      <w:pPr>
        <w:ind w:left="660" w:hanging="655"/>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to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Business Segment and Geographic Region Information</w:t>
      </w:r>
    </w:p>
    <w:p>
      <w:pPr>
        <w:spacing w:after="0" w:line="229" w:lineRule="exact"/>
        <w:rPr>
          <w:sz w:val="20"/>
          <w:szCs w:val="20"/>
          <w:color w:val="auto"/>
        </w:rPr>
      </w:pPr>
    </w:p>
    <w:p>
      <w:pPr>
        <w:jc w:val="both"/>
        <w:ind w:right="400" w:firstLine="648"/>
        <w:spacing w:after="0" w:line="289" w:lineRule="auto"/>
        <w:rPr>
          <w:sz w:val="20"/>
          <w:szCs w:val="20"/>
          <w:color w:val="auto"/>
        </w:rPr>
      </w:pPr>
      <w:r>
        <w:rPr>
          <w:rFonts w:ascii="Times New Roman" w:cs="Times New Roman" w:eastAsia="Times New Roman" w:hAnsi="Times New Roman"/>
          <w:sz w:val="17"/>
          <w:szCs w:val="17"/>
          <w:color w:val="auto"/>
        </w:rPr>
        <w:t>We operate in one business segment, which is the manufacture of capital equipment for the semiconductor chip manufacturing industry. The principal market for semiconductor capital equipment is semiconductor chip manufacturers. Substantially all sales are made directly by us to our customers located in the United States, Europe and Asia Pacific.</w:t>
      </w:r>
    </w:p>
    <w:p>
      <w:pPr>
        <w:spacing w:after="0" w:line="158"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is our chief executive officer. The CODM assesses financial performance for the company and decides how to allocate resources based on consolidated net income, such as determining the amount of resources to allocate to research and development projects, stock repurchases, or other growth opportunities. Segment asset information is provided to the CODM but it is not used to allocate resources.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years ended December 2025,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96"/>
        </w:trPr>
        <w:tc>
          <w:tcPr>
            <w:tcW w:w="4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839,048</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1,017,865</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1,130,604</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639,303</w:t>
            </w: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96,907</w:t>
            </w: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62,805</w:t>
            </w: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65,794</w:t>
            </w: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w:t>
            </w:r>
          </w:p>
        </w:tc>
      </w:tr>
      <w:tr>
        <w:trPr>
          <w:trHeight w:val="216"/>
        </w:trPr>
        <w:tc>
          <w:tcPr>
            <w:tcW w:w="4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32,336</w:t>
            </w:r>
          </w:p>
        </w:tc>
      </w:tr>
      <w:tr>
        <w:trPr>
          <w:trHeight w:val="21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120,238</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246,263</w:t>
            </w:r>
          </w:p>
        </w:tc>
      </w:tr>
      <w:tr>
        <w:trPr>
          <w:trHeight w:val="176"/>
        </w:trPr>
        <w:tc>
          <w:tcPr>
            <w:tcW w:w="4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Reconciliation of profit or loss Adjustments and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6"/>
        </w:trPr>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reconciling items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120,238</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246,263</w:t>
            </w: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above table includes depreciation expense and amortization expense of $17.6 million, $15.8 million and $13.1 million, for the years ended December 31, 2025, 2024, and 2023, respectively.</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ion implantation systems product line includes high current, medium current and high energy implanters. Other legacy processing products include curing and thermal processing systems. In addition to new equipment, we provide post-sales equipment service and support, including spare parts, equipment upgrades, used equipment, maintenance services and customer training.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product lines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30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30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3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Ion implantation systems and services</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$ 824,098</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$ 1,001,045</w:t>
            </w: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$ 1,111,278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systems and services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$ 839,048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$ 1,017,865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$ 1,130,604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500" w:type="dxa"/>
            <w:vAlign w:val="bottom"/>
            <w:vMerge w:val="restart"/>
          </w:tcPr>
          <w:p>
            <w:pPr>
              <w:jc w:val="right"/>
              <w:ind w:right="1375"/>
              <w:spacing w:after="0"/>
              <w:rPr>
                <w:sz w:val="20"/>
                <w:szCs w:val="20"/>
                <w:color w:val="auto"/>
              </w:rPr>
            </w:pPr>
            <w:r>
              <w:rPr>
                <w:rFonts w:ascii="Times New Roman" w:cs="Times New Roman" w:eastAsia="Times New Roman" w:hAnsi="Times New Roman"/>
                <w:sz w:val="18"/>
                <w:szCs w:val="18"/>
                <w:color w:val="auto"/>
              </w:rPr>
              <w:t>72</w:t>
            </w: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Revenue and long-lived assets by geographic region, based on the physical location of the operation recording the sale or the asset,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26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​​​Long-Lived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4"/>
          </w:tcPr>
          <w:p>
            <w:pPr>
              <w:jc w:val="right"/>
              <w:ind w:right="43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jc w:val="right"/>
              <w:ind w:right="3530"/>
              <w:spacing w:after="0"/>
              <w:rPr>
                <w:sz w:val="20"/>
                <w:szCs w:val="20"/>
                <w:color w:val="auto"/>
              </w:rPr>
            </w:pPr>
            <w:r>
              <w:rPr>
                <w:rFonts w:ascii="Times New Roman" w:cs="Times New Roman" w:eastAsia="Times New Roman" w:hAnsi="Times New Roman"/>
                <w:sz w:val="18"/>
                <w:szCs w:val="18"/>
                <w:color w:val="auto"/>
                <w:w w:val="88"/>
              </w:rPr>
              <w:t>2025</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306,453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839,048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jc w:val="right"/>
              <w:ind w:right="3530"/>
              <w:spacing w:after="0"/>
              <w:rPr>
                <w:sz w:val="20"/>
                <w:szCs w:val="20"/>
                <w:color w:val="auto"/>
              </w:rPr>
            </w:pPr>
            <w:r>
              <w:rPr>
                <w:rFonts w:ascii="Times New Roman" w:cs="Times New Roman" w:eastAsia="Times New Roman" w:hAnsi="Times New Roman"/>
                <w:sz w:val="18"/>
                <w:szCs w:val="18"/>
                <w:color w:val="auto"/>
                <w:w w:val="94"/>
              </w:rPr>
              <w:t>2024</w:t>
            </w:r>
          </w:p>
        </w:tc>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vMerge w:val="continue"/>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632,028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347,748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tcBorders>
              <w:bottom w:val="single" w:sz="8" w:color="CCEEFF"/>
            </w:tcBorders>
          </w:tcPr>
          <w:p>
            <w:pPr>
              <w:spacing w:after="0"/>
              <w:rPr>
                <w:sz w:val="21"/>
                <w:szCs w:val="21"/>
                <w:color w:val="auto"/>
              </w:rPr>
            </w:pPr>
          </w:p>
        </w:tc>
        <w:tc>
          <w:tcPr>
            <w:tcW w:w="3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1,017,865</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98,955</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shd w:val="clear" w:color="auto" w:fill="CCEEFF"/>
          </w:tcPr>
          <w:p>
            <w:pPr>
              <w:jc w:val="right"/>
              <w:ind w:right="3530"/>
              <w:spacing w:after="0" w:line="196" w:lineRule="exact"/>
              <w:rPr>
                <w:sz w:val="20"/>
                <w:szCs w:val="20"/>
                <w:color w:val="auto"/>
              </w:rPr>
            </w:pPr>
            <w:r>
              <w:rPr>
                <w:rFonts w:ascii="Times New Roman" w:cs="Times New Roman" w:eastAsia="Times New Roman" w:hAnsi="Times New Roman"/>
                <w:sz w:val="18"/>
                <w:szCs w:val="18"/>
                <w:color w:val="auto"/>
                <w:w w:val="88"/>
              </w:rPr>
              <w:t>2023</w:t>
            </w:r>
          </w:p>
        </w:tc>
        <w:tc>
          <w:tcPr>
            <w:tcW w:w="3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749,288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335,733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1,130,604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Long-lived assets consist of property, plant and equipment, net, and assets manufactured for internal use, net. Operations in Asia Pacific consist of manufacturing, sales and service organizations. Operations in Europe consist of sales and service organizations.</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International revenue, which includes export sales from U.S. manufacturing facilities to foreign customers and sales by foreign subsidiaries and branches, was $702.0 million (83.7% of total revenue), $873.8 million (85.8% of total revenue) and $950.4 million (84.1% of total revenue)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40" w:type="dxa"/>
            <w:vAlign w:val="bottom"/>
          </w:tcPr>
          <w:p>
            <w:pPr>
              <w:spacing w:after="0"/>
              <w:rPr>
                <w:sz w:val="12"/>
                <w:szCs w:val="12"/>
                <w:color w:val="auto"/>
              </w:rPr>
            </w:pPr>
          </w:p>
        </w:tc>
        <w:tc>
          <w:tcPr>
            <w:tcW w:w="2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auto"/>
            </w:tcBorders>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$ 118,896</w:t>
            </w:r>
          </w:p>
        </w:tc>
        <w:tc>
          <w:tcPr>
            <w:tcW w:w="9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$ 222,160</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$ 270,842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19,353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$ 138,249</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$ 230,274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$ 278,599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Provision for income taxes is as follows:</w:t>
            </w: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6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2"/>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2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3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22,762</w:t>
            </w:r>
          </w:p>
        </w:tc>
        <w:tc>
          <w:tcPr>
            <w:tcW w:w="60" w:type="dxa"/>
            <w:vAlign w:val="bottom"/>
            <w:shd w:val="clear" w:color="auto" w:fill="CCEEFF"/>
          </w:tcPr>
          <w:p>
            <w:pPr>
              <w:spacing w:after="0"/>
              <w:rPr>
                <w:sz w:val="18"/>
                <w:szCs w:val="18"/>
                <w:color w:val="auto"/>
              </w:rPr>
            </w:pPr>
          </w:p>
        </w:tc>
        <w:tc>
          <w:tcPr>
            <w:tcW w:w="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w:t>
            </w:r>
          </w:p>
        </w:tc>
        <w:tc>
          <w:tcPr>
            <w:tcW w:w="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left w:val="single" w:sz="8" w:color="CCEEFF"/>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28,708</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left w:val="single" w:sz="8" w:color="CCEEFF"/>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80" w:type="dxa"/>
            <w:vAlign w:val="bottom"/>
          </w:tcPr>
          <w:p>
            <w:pPr>
              <w:spacing w:after="0"/>
              <w:rPr>
                <w:sz w:val="18"/>
                <w:szCs w:val="18"/>
                <w:color w:val="auto"/>
              </w:rPr>
            </w:pPr>
          </w:p>
        </w:tc>
        <w:tc>
          <w:tcPr>
            <w:tcW w:w="120" w:type="dxa"/>
            <w:vAlign w:val="bottom"/>
            <w:gridSpan w:val="3"/>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Reconciliation of income taxes at the United States Federal statutory rate to the effective income tax rate of 13.0%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3"/>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3"/>
                <w:szCs w:val="13"/>
                <w:color w:val="auto"/>
              </w:rPr>
            </w:pPr>
          </w:p>
        </w:tc>
        <w:tc>
          <w:tcPr>
            <w:tcW w:w="1420" w:type="dxa"/>
            <w:vAlign w:val="bottom"/>
            <w:gridSpan w:val="3"/>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40" w:type="dxa"/>
            <w:vAlign w:val="bottom"/>
          </w:tcPr>
          <w:p>
            <w:pPr>
              <w:spacing w:after="0"/>
              <w:rPr>
                <w:sz w:val="11"/>
                <w:szCs w:val="11"/>
                <w:color w:val="auto"/>
              </w:rPr>
            </w:pPr>
          </w:p>
        </w:tc>
        <w:tc>
          <w:tcPr>
            <w:tcW w:w="700" w:type="dxa"/>
            <w:vAlign w:val="bottom"/>
            <w:tcBorders>
              <w:top w:val="single" w:sz="8" w:color="auto"/>
            </w:tcBorders>
          </w:tcPr>
          <w:p>
            <w:pPr>
              <w:jc w:val="right"/>
              <w:ind w:right="12"/>
              <w:spacing w:after="0" w:line="129"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Pre-Tax Book Income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138,249</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230,274</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278,599</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29,032</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48,358</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58,506</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 Taxes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Jurisdictions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(12,241)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(20,439)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(24,052)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Tax Credit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(6,718)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00" w:firstLine="5"/>
        <w:spacing w:after="0" w:line="261" w:lineRule="auto"/>
        <w:tabs>
          <w:tab w:leader="none" w:pos="10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states that contribute to the majority (greater than 50%) of the tax effect in this category include California, Texas, and Utah in 2025, Oregon, New York, and Maine for 2024, and Oregon, Minnesota, and Vermont for 2023.</w:t>
      </w:r>
    </w:p>
    <w:p>
      <w:pPr>
        <w:spacing w:after="0" w:line="16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amounts of cash paid for income taxes (net of refunds) during the years ended December 31, 2025, 2024 and 2023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86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36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w:t>
            </w:r>
          </w:p>
        </w:tc>
        <w:tc>
          <w:tcPr>
            <w:tcW w:w="1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44,495</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California</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Withholding Tax</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Jurisdictions</w:t>
            </w:r>
          </w:p>
        </w:tc>
        <w:tc>
          <w:tcPr>
            <w:tcW w:w="1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16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4"/>
          <w:szCs w:val="14"/>
          <w:color w:val="auto"/>
        </w:rPr>
        <w:t>*The amount of income taxes paid during the years ended December 31, 2024 and 2023 does not meet the 5% disaggregation threshold and is included in ‘Other’.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effect of temporary differences between the carrying amounts of assets and liabilities recognized for financial reporting purposes and the amounts recognized for tax purposes. The tax effects of the temporary differences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98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200" w:type="dxa"/>
            <w:vAlign w:val="bottom"/>
            <w:gridSpan w:val="2"/>
            <w:vMerge w:val="continue"/>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tax credit carryforwards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Warranty</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Costs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Valuation allowance</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taxes, net</w:t>
            </w:r>
          </w:p>
        </w:tc>
        <w:tc>
          <w:tcPr>
            <w:tcW w:w="1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we had a balance of $1.5 million related to deferred tax liabilities recorded within other long-term liabilities on the Consolidated Balance Sheets.</w:t>
      </w:r>
    </w:p>
    <w:p>
      <w:pPr>
        <w:spacing w:after="0" w:line="81" w:lineRule="exact"/>
        <w:rPr>
          <w:sz w:val="20"/>
          <w:szCs w:val="20"/>
          <w:color w:val="auto"/>
        </w:rPr>
      </w:pPr>
    </w:p>
    <w:p>
      <w:pPr>
        <w:jc w:val="both"/>
        <w:ind w:right="40" w:firstLine="648"/>
        <w:spacing w:after="0" w:line="312" w:lineRule="auto"/>
        <w:rPr>
          <w:sz w:val="20"/>
          <w:szCs w:val="20"/>
          <w:color w:val="auto"/>
        </w:rPr>
      </w:pPr>
      <w:r>
        <w:rPr>
          <w:rFonts w:ascii="Times New Roman" w:cs="Times New Roman" w:eastAsia="Times New Roman" w:hAnsi="Times New Roman"/>
          <w:sz w:val="17"/>
          <w:szCs w:val="17"/>
          <w:color w:val="auto"/>
        </w:rPr>
        <w:t>Changes in tax rates and tax laws are accounted for in the period of enactment. Our deferred tax assets and liabilities are measured at the enacted tax rate expected to apply when these temporary differences are expected to be realized or settled.</w:t>
      </w:r>
    </w:p>
    <w:p>
      <w:pPr>
        <w:spacing w:after="0" w:line="7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December 31, 2025, we maintained a $16.0 million valuation allowance in the U.S. against federal and state tax credit carryforwards of the same amount. The valuation allowance was recorded due to the uncertainty of their realization based on long-term Company forecasts and the expiration dates on these attributes. This represents an increase of $1.3 million from the prior year.</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2025, we had research and development and other tax credit carryforwards of $19.3 million. These carry forwards are fully valued and are also subject to an uncertain tax position reserve of $3.4 million. These credits can be used to reduce future federal and state income tax liabilities and expire principally between 2026 and 2040.</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consider the undistributed earnings of our foreign subsidiaries as of December 31, 2025 to be indefinitely reinvested and, accordingly, no U.S. income taxes have been provided thereon. As of December 31, 2025, there is no excess cash associated with indefinitely reinvested foreign earnings. We did not, nor do we anticipate the need to, repatriate funds to the United States to satisfy domestic liquidity needs arising in the ordinary course of business.</w:t>
      </w:r>
    </w:p>
    <w:p>
      <w:pPr>
        <w:spacing w:after="0" w:line="180"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We and our subsidiaries file income tax returns in the U.S. federal jurisdiction and various states and foreign jurisdictions. We and most foreign subsidiaries are subject to income tax examinations by tax authorities for all years dating back to 2022. We are under an IRS income tax audit for the year ended December 31, 2023. Such jurisdictions may assess</w:t>
      </w:r>
    </w:p>
    <w:p>
      <w:pPr>
        <w:sectPr>
          <w:pgSz w:w="11900" w:h="16838" w:orient="portrait"/>
          <w:cols w:equalWidth="0" w:num="1">
            <w:col w:w="9120"/>
          </w:cols>
          <w:pgMar w:left="1380" w:top="513" w:right="139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additional income tax against us. The final determination of tax audits or any administrative appeals relating thereto could be materially different from our income tax provisions and accruals. The ultimate result of any current or future audit could have a material adverse effect on our results of operations and cash flows in the period or periods for which that determination is made. Our policy is to recognize interest related to unrecognized tax benefits as interest expense and penalties as operating expenses. We believe that we have appropriate support for the income tax positions taken and to be taken on our tax returns and that our accruals for tax liabilities are adequate for all open years based on an assessment of many factors including past experience and interpretations of tax law applied to the facts of each matter.</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At December 31, 2025, we had unrecognized tax benefits related to uncertain tax positions of $12.7 million, $9.3 million of which is recorded as a long-term liability, and the remainder of which reduced the Company’s state deferred tax assets and the offsetting valuation allowance. We recognized $0.7 million in interest and penalty expenses for the year ended December 31, 2025 relating to these uncertain tax positions. These unrecognized tax benefits, if recognized, would reduce the effective tax rate and also reverse associated accrued interest and penalty expenses included in profit before tax.</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unrecognized tax benefits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gridSpan w:val="5"/>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Decrease in unrecognized tax benefits as a result of tax positions taken during a prior</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unrecognized tax benefits related to settlements with tax authorities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Increases in unrecognized tax benefits as a result of tax positions taken during the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period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Recorded as other long-term liability</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Recorded as a decrease in deferred tax assets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Merger</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2025, the Company, Victory Merger Sub, Inc., a Delaware corporation and a wholly-owned subsidiary of the Company (“Merger Sub”), and Veeco Instruments Inc., a Delaware corporation (“Veeco”), entered into an Agreement and Plan of Merger (the “Merger Agreement”). Pursuant to the Merger Agreement, and subject to the satisfaction or waiver of the conditions specified therein, Merger Sub shall be merged with and into Veeco (the “Merger”), with Veeco surviving as a wholly-owned subsidiary of the Company.</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of common stock, par value $0.01 per share, of Veeco (“Veeco Common Stock”), issued and outstanding immediately prior to the Effective Time (other than shares that are owned by the Company, Veeco or Merger Sub or any wholly owned subsidiary of the Company, Veeco or Merger Sub) will be converted into the right to receive 0.3575 (the “Exchange Ratio”) newly issued shares of Company common stock (the “Company Common Stock”) (the “Common Stock Merger Consideration”). No fractional shares of the Company will be issued in the Merger, and Veeco stockholders will receive cash in lieu of fractional shares as part of the merger consideration (the “Fractional Shares Cash Amount”, and the Fractional Shares Cash Amount together with the Common Stock Merger Consideration will be referred to as the “Merger Consideration”), as specified in the Merger Agreement.</w:t>
      </w:r>
    </w:p>
    <w:p>
      <w:pPr>
        <w:spacing w:after="0" w:line="2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may be terminated upon the mutual written consent of Axcelis and Veeco. In addition, either Axcelis or Veeco may terminate the Merger Agreement in certain circumstances, including if (a) certain governmental entities have issued a final and non-appealable governmental order or enacted a law prohibiting the Merger or making the closing of the Merger illegal, (b) the Merger is not consummated by September 30, 2026, subject to successive automatic extensions until as late as June 30, 2027 if the only remaining conditions to be satisfied are regulatory approvals,</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5"/>
        <w:spacing w:after="0" w:line="261" w:lineRule="auto"/>
        <w:tabs>
          <w:tab w:leader="none" w:pos="2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Axcelis stockholders fail to approve the Company Stock Issuance, (d) the Veeco stockholders fail to adopt the Merger Agreement, (e) the other party is in breach of the Merger Agreement in a manner that would result in a failure of an applicable closing condition (subject to the applicable cure period set forth in the Merger Agreement) or (f) the other party’s board of directors has changed its recommendation with respect to the Merger.</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the Merger Agreement is terminated by a party following a recommendation change of the board of directors of the other party, the non-terminating party will be required to pay the other party the following termination fee: (i) if the non-terminating party is Axcelis, a termination fee of $108.7 million; and (ii) if the non-terminating party is Veeco, a termination fee of $77.5 million. Each party may also be required to pay such termination fee if such party enters into a competing proposal within twelve months of termination of the Merger Agreement under certain circumstances. In addition, if the Merger Agreement is terminated by a party as a result of the other party’s failure to obtain stockholder approval, or is terminated by a party due to the other party’s breach of the Merger Agreement that would result in a failure of an applicable closing condition (subject to the applicable cure period set forth in the Merger Agreement), then the non-terminating party will be required to pay a fixed expense reimbursement amount of $15.0 million.</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On February 6, 2026, Axcelis held a special meeting of stockholders (the “Special Meeting”) at which the Company Stock Issuance was approved.</w:t>
      </w:r>
    </w:p>
    <w:p>
      <w:pPr>
        <w:spacing w:after="0" w:line="202"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completion of the Merger remains subject to other customary closing conditions, including the final pending regulatory approval from the State Administration for Market Regulation of the People’s Republic of China. Axcelis and Veeco continue to expect that the Merger will be completed in the second half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II—Valuation and Qualifying Accounts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Axcelis Technologies, Inc.</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040" w:type="dxa"/>
            <w:vAlign w:val="bottom"/>
            <w:gridSpan w:val="4"/>
          </w:tcPr>
          <w:p>
            <w:pPr>
              <w:ind w:left="1160"/>
              <w:spacing w:after="0"/>
              <w:rPr>
                <w:sz w:val="20"/>
                <w:szCs w:val="20"/>
                <w:color w:val="auto"/>
              </w:rPr>
            </w:pPr>
            <w:r>
              <w:rPr>
                <w:rFonts w:ascii="Times New Roman" w:cs="Times New Roman" w:eastAsia="Times New Roman" w:hAnsi="Times New Roman"/>
                <w:sz w:val="14"/>
                <w:szCs w:val="14"/>
                <w:b w:val="1"/>
                <w:bCs w:val="1"/>
                <w:color w:val="auto"/>
              </w:rPr>
              <w:t>​​​ Balance at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3"/>
                <w:szCs w:val="13"/>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Balance at</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3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3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tcPr>
          <w:p>
            <w:pPr>
              <w:spacing w:after="0"/>
              <w:rPr>
                <w:sz w:val="18"/>
                <w:szCs w:val="18"/>
                <w:color w:val="auto"/>
              </w:rPr>
            </w:pP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3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40" w:type="dxa"/>
            <w:vAlign w:val="bottom"/>
            <w:gridSpan w:val="25"/>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48"/>
        </w:trPr>
        <w:tc>
          <w:tcPr>
            <w:tcW w:w="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8400" w:type="dxa"/>
            <w:vAlign w:val="bottom"/>
            <w:gridSpan w:val="31"/>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60" w:type="dxa"/>
            <w:vAlign w:val="bottom"/>
            <w:gridSpan w:val="29"/>
          </w:tcPr>
          <w:p>
            <w:pPr>
              <w:spacing w:after="0" w:line="169"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Agreement and Plan of Merger, dated as September 30, 2025, by and among Axcelis Technologies, Inc., Veeco</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Instruments Inc. and Victory Merger Sub, Inc. Incorporated by reference to Exhibit 2.1 of the Company’s Form 8-</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0"/>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K filed with the Commission on October 1, 2025</w:t>
              </w:r>
              <w:r>
                <w:rPr>
                  <w:rFonts w:ascii="Times New Roman" w:cs="Times New Roman" w:eastAsia="Times New Roman" w:hAnsi="Times New Roman"/>
                  <w:sz w:val="18"/>
                  <w:szCs w:val="18"/>
                  <w:color w:val="000000"/>
                </w:rPr>
                <w:t>.</w:t>
              </w:r>
            </w:hyperlink>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7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Restated Certificate of Incorporation of the Company, filed November 2, 2017. Incorporated by reference to</w:t>
              </w:r>
            </w:hyperlink>
          </w:p>
        </w:tc>
        <w:tc>
          <w:tcPr>
            <w:tcW w:w="42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0"/>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Exhibit 3.1 of the Company’s Form 10-Q filed with the Commission on November 3, 2017.</w:t>
              </w:r>
            </w:hyperlink>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81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Bylaws of the Company, as amended and restated as of May 11, 2022. Incorporated by reference to Exhibit 3.1 of</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0"/>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the Company’s Form 8-K filed with the Commission on May 11, 2022</w:t>
              </w:r>
              <w:r>
                <w:rPr>
                  <w:rFonts w:ascii="Times New Roman" w:cs="Times New Roman" w:eastAsia="Times New Roman" w:hAnsi="Times New Roman"/>
                  <w:sz w:val="18"/>
                  <w:szCs w:val="18"/>
                  <w:color w:val="000000"/>
                </w:rPr>
                <w:t>.</w:t>
              </w:r>
            </w:hyperlink>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76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Certificate of Amendment to the Restated Certificate of Incorporation of the Company filed May 9, 2024.</w:t>
              </w:r>
            </w:hyperlink>
          </w:p>
        </w:tc>
        <w:tc>
          <w:tcPr>
            <w:tcW w:w="50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0"/>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Incorporated by reference to Exhibit 3.1 of the Company’s Form 8-K filed with the Commission on May 9, 2024</w:t>
              </w:r>
            </w:hyperlink>
            <w:r>
              <w:rPr>
                <w:rFonts w:ascii="Times New Roman" w:cs="Times New Roman" w:eastAsia="Times New Roman" w:hAnsi="Times New Roman"/>
                <w:sz w:val="18"/>
                <w:szCs w:val="18"/>
                <w:color w:val="000000"/>
                <w:w w:val="99"/>
              </w:rPr>
              <w:t>.</w:t>
            </w:r>
          </w:p>
        </w:tc>
      </w:tr>
      <w:tr>
        <w:trPr>
          <w:trHeight w:val="41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8080" w:type="dxa"/>
            <w:vAlign w:val="bottom"/>
            <w:tcBorders>
              <w:top w:val="single" w:sz="8" w:color="0000EE"/>
            </w:tcBorders>
            <w:gridSpan w:val="28"/>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Description of Securities Registered under Section 12 of the Securities Exchange Act of 1934. Incorporated by</w:t>
              </w:r>
            </w:hyperlink>
          </w:p>
        </w:tc>
        <w:tc>
          <w:tcPr>
            <w:tcW w:w="10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reference to Exhibit 4.4 of the Company’s Form 10-K for the year ended December 31, 2019 filed with the</w:t>
              </w:r>
            </w:hyperlink>
          </w:p>
        </w:tc>
        <w:tc>
          <w:tcPr>
            <w:tcW w:w="300" w:type="dxa"/>
            <w:vAlign w:val="bottom"/>
            <w:tcBorders>
              <w:top w:val="single" w:sz="8" w:color="0000EE"/>
            </w:tcBorders>
            <w:gridSpan w:val="6"/>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Commission on March 2, 2020.</w:t>
              </w:r>
            </w:hyperlink>
          </w:p>
        </w:tc>
        <w:tc>
          <w:tcPr>
            <w:tcW w:w="5920" w:type="dxa"/>
            <w:vAlign w:val="bottom"/>
            <w:gridSpan w:val="26"/>
          </w:tcPr>
          <w:p>
            <w:pPr>
              <w:spacing w:after="0"/>
              <w:rPr>
                <w:sz w:val="17"/>
                <w:szCs w:val="17"/>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220" w:type="dxa"/>
            <w:vAlign w:val="bottom"/>
          </w:tcPr>
          <w:p>
            <w:pPr>
              <w:spacing w:after="0"/>
              <w:rPr>
                <w:sz w:val="24"/>
                <w:szCs w:val="24"/>
                <w:color w:val="auto"/>
              </w:rPr>
            </w:pPr>
          </w:p>
        </w:tc>
        <w:tc>
          <w:tcPr>
            <w:tcW w:w="80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Axcelis Technologies, Inc. 2012 Equity Incentive Plan, as amended by the Board of Directors on November 13,</w:t>
            </w:r>
          </w:p>
        </w:tc>
        <w:tc>
          <w:tcPr>
            <w:tcW w:w="16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2025. Filed herewith</w:t>
            </w:r>
            <w:r>
              <w:rPr>
                <w:rFonts w:ascii="Times New Roman" w:cs="Times New Roman" w:eastAsia="Times New Roman" w:hAnsi="Times New Roman"/>
                <w:sz w:val="18"/>
                <w:szCs w:val="18"/>
                <w:color w:val="000000"/>
              </w:rPr>
              <w:t>.</w:t>
            </w: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220" w:type="dxa"/>
            <w:vAlign w:val="bottom"/>
          </w:tcPr>
          <w:p>
            <w:pPr>
              <w:spacing w:after="0"/>
              <w:rPr>
                <w:sz w:val="24"/>
                <w:szCs w:val="24"/>
                <w:color w:val="auto"/>
              </w:rPr>
            </w:pPr>
          </w:p>
        </w:tc>
        <w:tc>
          <w:tcPr>
            <w:tcW w:w="81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Form of Indemnification Agreement approved by the Board of Directors of the Company on February 9, 2012 for</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0"/>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use with each of its directors and officers. Incorporated by reference to Exhibit 10.4 of the Company’s report on</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Form 10-K for the year ended December 31, 2011 filed with the Commission on February 29, 2012.</w:t>
              </w:r>
            </w:hyperlink>
          </w:p>
        </w:tc>
        <w:tc>
          <w:tcPr>
            <w:tcW w:w="840" w:type="dxa"/>
            <w:vAlign w:val="bottom"/>
            <w:tcBorders>
              <w:top w:val="single" w:sz="8" w:color="0000EE"/>
            </w:tcBorders>
            <w:gridSpan w:val="12"/>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220" w:type="dxa"/>
            <w:vAlign w:val="bottom"/>
          </w:tcPr>
          <w:p>
            <w:pPr>
              <w:spacing w:after="0"/>
              <w:rPr>
                <w:sz w:val="24"/>
                <w:szCs w:val="24"/>
                <w:color w:val="auto"/>
              </w:rPr>
            </w:pPr>
          </w:p>
        </w:tc>
        <w:tc>
          <w:tcPr>
            <w:tcW w:w="8180" w:type="dxa"/>
            <w:vAlign w:val="bottom"/>
            <w:gridSpan w:val="30"/>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Change in Control Agreement, as amended, as approved by the Compensation Committee of the Board</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of Directors on November 11, 2016, between the Company and each of its executive officers. Incorporated by</w:t>
              </w:r>
            </w:hyperlink>
          </w:p>
        </w:tc>
        <w:tc>
          <w:tcPr>
            <w:tcW w:w="16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reference to Exhibit 10.6 of the Company’s Form 10-K for the year ended December 31, 2016 filed with the</w:t>
              </w:r>
            </w:hyperlink>
          </w:p>
        </w:tc>
        <w:tc>
          <w:tcPr>
            <w:tcW w:w="30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Commission on March 14, 2017.</w:t>
              </w:r>
            </w:hyperlink>
          </w:p>
        </w:tc>
        <w:tc>
          <w:tcPr>
            <w:tcW w:w="440" w:type="dxa"/>
            <w:vAlign w:val="bottom"/>
            <w:gridSpan w:val="11"/>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Form of Employee Non-Qualified Stock Option Certificate under the 2012 Equity Incentive Plan, adopted</w:t>
              </w:r>
            </w:hyperlink>
          </w:p>
        </w:tc>
        <w:tc>
          <w:tcPr>
            <w:tcW w:w="56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June 18, 2012. Incorporated by reference to Exhibit 10.2 of the Company’s report on Form 10-Q for the quarter</w:t>
              </w:r>
            </w:hyperlink>
          </w:p>
        </w:tc>
        <w:tc>
          <w:tcPr>
            <w:tcW w:w="18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ended June 30, 2012 filed with the Commission on August 7, 2012.</w:t>
              </w:r>
            </w:hyperlink>
          </w:p>
        </w:tc>
        <w:tc>
          <w:tcPr>
            <w:tcW w:w="3340" w:type="dxa"/>
            <w:vAlign w:val="bottom"/>
            <w:gridSpan w:val="22"/>
          </w:tcPr>
          <w:p>
            <w:pPr>
              <w:spacing w:after="0"/>
              <w:rPr>
                <w:sz w:val="17"/>
                <w:szCs w:val="17"/>
                <w:color w:val="auto"/>
              </w:rPr>
            </w:pPr>
          </w:p>
        </w:tc>
      </w:tr>
      <w:tr>
        <w:trPr>
          <w:trHeight w:val="358"/>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220" w:type="dxa"/>
            <w:vAlign w:val="bottom"/>
          </w:tcPr>
          <w:p>
            <w:pPr>
              <w:spacing w:after="0"/>
              <w:rPr>
                <w:sz w:val="24"/>
                <w:szCs w:val="24"/>
                <w:color w:val="auto"/>
              </w:rPr>
            </w:pPr>
          </w:p>
        </w:tc>
        <w:tc>
          <w:tcPr>
            <w:tcW w:w="80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Form of Non-Employee Director Non-Qualified Stock Option Certificate under the 2012 Equity Incentive Plan,</w:t>
              </w:r>
            </w:hyperlink>
          </w:p>
        </w:tc>
        <w:tc>
          <w:tcPr>
            <w:tcW w:w="16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adopted June 18, 2012. Incorporated by reference to Exhibit 10.3 of the Company’s report on Form 10-Q for the</w:t>
              </w:r>
            </w:hyperlink>
          </w:p>
        </w:tc>
        <w:tc>
          <w:tcPr>
            <w:tcW w:w="12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0"/>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quarter ended June 30, 2012 filed with the Commission on August 7, 2012.</w:t>
              </w:r>
            </w:hyperlink>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220" w:type="dxa"/>
            <w:vAlign w:val="bottom"/>
          </w:tcPr>
          <w:p>
            <w:pPr>
              <w:spacing w:after="0"/>
              <w:rPr>
                <w:sz w:val="24"/>
                <w:szCs w:val="24"/>
                <w:color w:val="auto"/>
              </w:rPr>
            </w:pPr>
          </w:p>
        </w:tc>
        <w:tc>
          <w:tcPr>
            <w:tcW w:w="80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Form of Restricted Stock Unit Award Agreement under the 2012 Equity Incentive Plan, adopted June 18, 2012.</w:t>
              </w:r>
            </w:hyperlink>
          </w:p>
        </w:tc>
        <w:tc>
          <w:tcPr>
            <w:tcW w:w="18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Incorporated by reference to Exhibit 10.4 of the Company’s report on Form 10-Q for the quarter ended June 30,</w:t>
              </w:r>
            </w:hyperlink>
          </w:p>
        </w:tc>
        <w:tc>
          <w:tcPr>
            <w:tcW w:w="16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2012 filed with the Commission on August 7, 2012.</w:t>
              </w:r>
            </w:hyperlink>
          </w:p>
        </w:tc>
        <w:tc>
          <w:tcPr>
            <w:tcW w:w="4460" w:type="dxa"/>
            <w:vAlign w:val="bottom"/>
            <w:gridSpan w:val="23"/>
          </w:tcPr>
          <w:p>
            <w:pPr>
              <w:spacing w:after="0"/>
              <w:rPr>
                <w:sz w:val="17"/>
                <w:szCs w:val="17"/>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220" w:type="dxa"/>
            <w:vAlign w:val="bottom"/>
          </w:tcPr>
          <w:p>
            <w:pPr>
              <w:spacing w:after="0"/>
              <w:rPr>
                <w:sz w:val="24"/>
                <w:szCs w:val="24"/>
                <w:color w:val="auto"/>
              </w:rPr>
            </w:pPr>
          </w:p>
        </w:tc>
        <w:tc>
          <w:tcPr>
            <w:tcW w:w="6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Named Executive Officer Base Compensation at February 14, 2026. Filed herewith.</w:t>
            </w:r>
          </w:p>
        </w:tc>
        <w:tc>
          <w:tcPr>
            <w:tcW w:w="2160" w:type="dxa"/>
            <w:vAlign w:val="bottom"/>
            <w:gridSpan w:val="18"/>
          </w:tcPr>
          <w:p>
            <w:pPr>
              <w:spacing w:after="0"/>
              <w:rPr>
                <w:sz w:val="24"/>
                <w:szCs w:val="24"/>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220" w:type="dxa"/>
            <w:vAlign w:val="bottom"/>
          </w:tcPr>
          <w:p>
            <w:pPr>
              <w:spacing w:after="0"/>
              <w:rPr>
                <w:sz w:val="24"/>
                <w:szCs w:val="24"/>
                <w:color w:val="auto"/>
              </w:rPr>
            </w:pPr>
          </w:p>
        </w:tc>
        <w:tc>
          <w:tcPr>
            <w:tcW w:w="81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Non-Employee Director Cash Compensation at February 14, 2026. Filed herewith.</w:t>
            </w: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720" w:type="dxa"/>
            <w:vAlign w:val="bottom"/>
            <w:gridSpan w:val="8"/>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220" w:type="dxa"/>
            <w:vAlign w:val="bottom"/>
          </w:tcPr>
          <w:p>
            <w:pPr>
              <w:spacing w:after="0"/>
              <w:rPr>
                <w:sz w:val="24"/>
                <w:szCs w:val="24"/>
                <w:color w:val="auto"/>
              </w:rPr>
            </w:pPr>
          </w:p>
        </w:tc>
        <w:tc>
          <w:tcPr>
            <w:tcW w:w="8180" w:type="dxa"/>
            <w:vAlign w:val="bottom"/>
            <w:gridSpan w:val="30"/>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Employment Agreement between the Company and Russell J. Low dated May 11, 2023. Incorporated by</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5320" w:type="dxa"/>
            <w:vAlign w:val="bottom"/>
            <w:tcBorders>
              <w:right w:val="single" w:sz="8" w:color="0000EE"/>
            </w:tcBorders>
            <w:gridSpan w:val="12"/>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0"/>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reference to Exhibit 10.1 of the Company’s report on Form 8-K filed with the Commission on May 12, 2023</w:t>
              </w:r>
            </w:hyperlink>
            <w:r>
              <w:rPr>
                <w:rFonts w:ascii="Times New Roman" w:cs="Times New Roman" w:eastAsia="Times New Roman" w:hAnsi="Times New Roman"/>
                <w:sz w:val="18"/>
                <w:szCs w:val="18"/>
                <w:color w:val="000000"/>
              </w:rPr>
              <w:t>.</w:t>
            </w: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5320" w:type="dxa"/>
            <w:vAlign w:val="bottom"/>
            <w:tcBorders>
              <w:right w:val="single" w:sz="8" w:color="0000EE"/>
            </w:tcBorders>
            <w:gridSpan w:val="12"/>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10.10*</w:t>
            </w:r>
          </w:p>
        </w:tc>
        <w:tc>
          <w:tcPr>
            <w:tcW w:w="220" w:type="dxa"/>
            <w:vAlign w:val="bottom"/>
          </w:tcPr>
          <w:p>
            <w:pPr>
              <w:spacing w:after="0"/>
              <w:rPr>
                <w:sz w:val="24"/>
                <w:szCs w:val="24"/>
                <w:color w:val="auto"/>
              </w:rPr>
            </w:pPr>
          </w:p>
        </w:tc>
        <w:tc>
          <w:tcPr>
            <w:tcW w:w="8180" w:type="dxa"/>
            <w:vAlign w:val="bottom"/>
            <w:gridSpan w:val="30"/>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2023 Amended and Restated Employment Agreement between the Company and Mary G. Puma dated February</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24, 2023. Incorporated by reference to Exhibit 10.1 of the Company’s report on Form 8-K filed with the</w:t>
              </w:r>
            </w:hyperlink>
          </w:p>
        </w:tc>
        <w:tc>
          <w:tcPr>
            <w:tcW w:w="540" w:type="dxa"/>
            <w:vAlign w:val="bottom"/>
            <w:tcBorders>
              <w:top w:val="single" w:sz="8" w:color="0000EE"/>
            </w:tcBorders>
            <w:gridSpan w:val="12"/>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0"/>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Commission on April 18, 2023</w:t>
              </w:r>
              <w:r>
                <w:rPr>
                  <w:rFonts w:ascii="Times New Roman" w:cs="Times New Roman" w:eastAsia="Times New Roman" w:hAnsi="Times New Roman"/>
                  <w:sz w:val="18"/>
                  <w:szCs w:val="18"/>
                  <w:color w:val="000000"/>
                </w:rPr>
                <w:t>.</w:t>
              </w:r>
            </w:hyperlink>
          </w:p>
        </w:tc>
      </w:tr>
      <w:tr>
        <w:trPr>
          <w:trHeight w:val="81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Borders>
              <w:top w:val="single" w:sz="8" w:color="0000EE"/>
            </w:tcBorders>
            <w:gridSpan w:val="3"/>
          </w:tcPr>
          <w:p>
            <w:pPr>
              <w:spacing w:after="0"/>
              <w:rPr>
                <w:sz w:val="24"/>
                <w:szCs w:val="24"/>
                <w:color w:val="auto"/>
              </w:rPr>
            </w:pPr>
          </w:p>
        </w:tc>
        <w:tc>
          <w:tcPr>
            <w:tcW w:w="2640" w:type="dxa"/>
            <w:vAlign w:val="bottom"/>
            <w:gridSpan w:val="5"/>
          </w:tcPr>
          <w:p>
            <w:pPr>
              <w:jc w:val="right"/>
              <w:ind w:right="1048"/>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3" w:right="1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400" w:type="dxa"/>
            <w:vAlign w:val="bottom"/>
            <w:gridSpan w:val="23"/>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gridSpan w:val="18"/>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10.11*</w:t>
            </w:r>
          </w:p>
        </w:tc>
        <w:tc>
          <w:tcPr>
            <w:tcW w:w="220" w:type="dxa"/>
            <w:vAlign w:val="bottom"/>
          </w:tcPr>
          <w:p>
            <w:pPr>
              <w:spacing w:after="0"/>
              <w:rPr>
                <w:sz w:val="14"/>
                <w:szCs w:val="14"/>
                <w:color w:val="auto"/>
              </w:rPr>
            </w:pPr>
          </w:p>
        </w:tc>
        <w:tc>
          <w:tcPr>
            <w:tcW w:w="8140" w:type="dxa"/>
            <w:vAlign w:val="bottom"/>
            <w:tcBorders>
              <w:bottom w:val="single" w:sz="8" w:color="0000EE"/>
            </w:tcBorders>
            <w:gridSpan w:val="21"/>
          </w:tcPr>
          <w:p>
            <w:pPr>
              <w:spacing w:after="0" w:line="169"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Form of Executive Separation Pay Agreement between the Company and each of its executive officers other than</w:t>
              </w:r>
            </w:hyperlink>
          </w:p>
        </w:tc>
        <w:tc>
          <w:tcPr>
            <w:tcW w:w="40" w:type="dxa"/>
            <w:vAlign w:val="bottom"/>
          </w:tcPr>
          <w:p>
            <w:pPr>
              <w:spacing w:after="0"/>
              <w:rPr>
                <w:sz w:val="14"/>
                <w:szCs w:val="14"/>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Russell J. Low, including Gerald M. Blumenstock, James G. Coogan, Eileen J. Evans, Gregory F Redinbo and</w:t>
              </w:r>
            </w:hyperlink>
          </w:p>
        </w:tc>
        <w:tc>
          <w:tcPr>
            <w:tcW w:w="260" w:type="dxa"/>
            <w:vAlign w:val="bottom"/>
            <w:gridSpan w:val="6"/>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22"/>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Christopher J. Tatnall, having dates from September 6, 2022 to December 12, 2024. Incorporated by reference to</w:t>
              </w:r>
            </w:hyperlink>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Exhibit 10.2 of the Company’s Form 10-Q for the quarter ended June 30, 2019 filed with the Commission on</w:t>
              </w:r>
            </w:hyperlink>
          </w:p>
        </w:tc>
        <w:tc>
          <w:tcPr>
            <w:tcW w:w="260" w:type="dxa"/>
            <w:vAlign w:val="bottom"/>
            <w:tcBorders>
              <w:top w:val="single" w:sz="8" w:color="0000EE"/>
            </w:tcBorders>
            <w:gridSpan w:val="5"/>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22"/>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August 7, 2019</w:t>
              </w:r>
              <w:r>
                <w:rPr>
                  <w:rFonts w:ascii="Times New Roman" w:cs="Times New Roman" w:eastAsia="Times New Roman" w:hAnsi="Times New Roman"/>
                  <w:sz w:val="18"/>
                  <w:szCs w:val="18"/>
                  <w:color w:val="000000"/>
                </w:rPr>
                <w:t>.</w:t>
              </w:r>
            </w:hyperlink>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20" w:type="dxa"/>
            <w:vAlign w:val="bottom"/>
          </w:tcPr>
          <w:p>
            <w:pPr>
              <w:spacing w:after="0"/>
              <w:rPr>
                <w:sz w:val="24"/>
                <w:szCs w:val="24"/>
                <w:color w:val="auto"/>
              </w:rPr>
            </w:pPr>
          </w:p>
        </w:tc>
        <w:tc>
          <w:tcPr>
            <w:tcW w:w="7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Lease Agreement between the Company and Beverly Property Owner LLC, effective January 30, 2015.</w:t>
              </w:r>
            </w:hyperlink>
          </w:p>
        </w:tc>
        <w:tc>
          <w:tcPr>
            <w:tcW w:w="740" w:type="dxa"/>
            <w:vAlign w:val="bottom"/>
            <w:gridSpan w:val="9"/>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22"/>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Incorporated by reference to Exhibit 10.24 of the Company’s Form 10-K for the year ended December 31, 2014</w:t>
              </w:r>
            </w:hyperlink>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filed with the Commission on March 11, 2015.</w:t>
              </w:r>
            </w:hyperlink>
          </w:p>
        </w:tc>
        <w:tc>
          <w:tcPr>
            <w:tcW w:w="4680" w:type="dxa"/>
            <w:vAlign w:val="bottom"/>
            <w:tcBorders>
              <w:top w:val="single" w:sz="8" w:color="0000EE"/>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4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Ethical Business Conduct at Axcelis, revised through June, 2015. Filed herewith</w:t>
            </w:r>
            <w:r>
              <w:rPr>
                <w:rFonts w:ascii="Times New Roman" w:cs="Times New Roman" w:eastAsia="Times New Roman" w:hAnsi="Times New Roman"/>
                <w:sz w:val="18"/>
                <w:szCs w:val="18"/>
                <w:color w:val="000000"/>
              </w:rPr>
              <w:t>.</w:t>
            </w:r>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220" w:type="dxa"/>
            <w:vAlign w:val="bottom"/>
          </w:tcPr>
          <w:p>
            <w:pPr>
              <w:spacing w:after="0"/>
              <w:rPr>
                <w:sz w:val="24"/>
                <w:szCs w:val="24"/>
                <w:color w:val="auto"/>
              </w:rPr>
            </w:pPr>
          </w:p>
        </w:tc>
        <w:tc>
          <w:tcPr>
            <w:tcW w:w="8180" w:type="dxa"/>
            <w:vAlign w:val="bottom"/>
            <w:gridSpan w:val="22"/>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Insider Trading Policy, as adopted by the Board of Directors on August 10, 2023. Incorporated by reference to</w:t>
              </w:r>
            </w:hyperlink>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Exhibit 19.1 of the Company’s report on Form 10-K filed with the Commission on February 23, 2024</w:t>
              </w:r>
              <w:r>
                <w:rPr>
                  <w:rFonts w:ascii="Times New Roman" w:cs="Times New Roman" w:eastAsia="Times New Roman" w:hAnsi="Times New Roman"/>
                  <w:sz w:val="18"/>
                  <w:szCs w:val="18"/>
                  <w:color w:val="000000"/>
                </w:rPr>
                <w:t>.</w:t>
              </w:r>
            </w:hyperlink>
          </w:p>
        </w:tc>
        <w:tc>
          <w:tcPr>
            <w:tcW w:w="280" w:type="dxa"/>
            <w:vAlign w:val="bottom"/>
            <w:gridSpan w:val="7"/>
          </w:tcPr>
          <w:p>
            <w:pPr>
              <w:spacing w:after="0"/>
              <w:rPr>
                <w:sz w:val="17"/>
                <w:szCs w:val="17"/>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4"/>
                <w:szCs w:val="24"/>
                <w:color w:val="auto"/>
              </w:rPr>
            </w:pPr>
          </w:p>
        </w:tc>
        <w:tc>
          <w:tcPr>
            <w:tcW w:w="73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Subsidiaries of the Company. Filed herewith.</w:t>
            </w:r>
          </w:p>
        </w:tc>
        <w:tc>
          <w:tcPr>
            <w:tcW w:w="880" w:type="dxa"/>
            <w:vAlign w:val="bottom"/>
            <w:gridSpan w:val="10"/>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99"/>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 Filed herewith.</w:t>
            </w:r>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9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under Exchange Act Rule 13a-14(a)/15d-14(a) (Section 302 of</w:t>
            </w:r>
          </w:p>
        </w:tc>
        <w:tc>
          <w:tcPr>
            <w:tcW w:w="260" w:type="dxa"/>
            <w:vAlign w:val="bottom"/>
            <w:gridSpan w:val="6"/>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the Sarbanes-Oxley Act), dated February 26, 2026. Filed herewith.</w:t>
            </w:r>
          </w:p>
        </w:tc>
        <w:tc>
          <w:tcPr>
            <w:tcW w:w="3400" w:type="dxa"/>
            <w:vAlign w:val="bottom"/>
            <w:gridSpan w:val="16"/>
          </w:tcPr>
          <w:p>
            <w:pPr>
              <w:spacing w:after="0"/>
              <w:rPr>
                <w:sz w:val="17"/>
                <w:szCs w:val="17"/>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81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under Exchange Act Rule 13a-14(a)/15d-14(a) (Section 302 of the</w:t>
            </w:r>
          </w:p>
        </w:tc>
        <w:tc>
          <w:tcPr>
            <w:tcW w:w="4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dated February 26, 2026. Filed herewith.</w:t>
            </w:r>
          </w:p>
        </w:tc>
        <w:tc>
          <w:tcPr>
            <w:tcW w:w="3660" w:type="dxa"/>
            <w:vAlign w:val="bottom"/>
            <w:gridSpan w:val="17"/>
          </w:tcPr>
          <w:p>
            <w:pPr>
              <w:spacing w:after="0"/>
              <w:rPr>
                <w:sz w:val="17"/>
                <w:szCs w:val="17"/>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79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Section 1350 of Chapter 63 of title 18 of the United</w:t>
            </w:r>
          </w:p>
        </w:tc>
        <w:tc>
          <w:tcPr>
            <w:tcW w:w="200" w:type="dxa"/>
            <w:vAlign w:val="bottom"/>
            <w:gridSpan w:val="5"/>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States Code (Section 906 of the Sarbanes-Oxley Act), dated February 26, 2026. Filed herewith.</w:t>
            </w:r>
          </w:p>
        </w:tc>
        <w:tc>
          <w:tcPr>
            <w:tcW w:w="1320" w:type="dxa"/>
            <w:vAlign w:val="bottom"/>
            <w:gridSpan w:val="13"/>
          </w:tcPr>
          <w:p>
            <w:pPr>
              <w:spacing w:after="0"/>
              <w:rPr>
                <w:sz w:val="17"/>
                <w:szCs w:val="17"/>
                <w:color w:val="auto"/>
              </w:rPr>
            </w:pPr>
          </w:p>
        </w:tc>
      </w:tr>
      <w:tr>
        <w:trPr>
          <w:trHeight w:val="399"/>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pursuant to Section 1350 of Chapter 63 of title 18 of the United</w:t>
            </w: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States Code (Section 906 of the Sarbanes-Oxley Act), dated February 26, 2026. Filed herewith.</w:t>
            </w:r>
          </w:p>
        </w:tc>
        <w:tc>
          <w:tcPr>
            <w:tcW w:w="1080" w:type="dxa"/>
            <w:vAlign w:val="bottom"/>
            <w:tcBorders>
              <w:top w:val="single" w:sz="8" w:color="0000EE"/>
            </w:tcBorders>
            <w:gridSpan w:val="8"/>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4"/>
                <w:szCs w:val="24"/>
                <w:color w:val="auto"/>
              </w:rPr>
            </w:pPr>
          </w:p>
        </w:tc>
        <w:tc>
          <w:tcPr>
            <w:tcW w:w="8180" w:type="dxa"/>
            <w:vAlign w:val="bottom"/>
            <w:gridSpan w:val="22"/>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Executive Compensation Clawback Policy, as adopted by the Board of Directors on August 10, 2023.</w:t>
              </w:r>
            </w:hyperlink>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80" w:type="dxa"/>
            <w:vAlign w:val="bottom"/>
            <w:gridSpan w:val="10"/>
            <w:shd w:val="clear" w:color="auto" w:fill="0000EE"/>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Incorporated by reference to Exhibit 10.14 of the Company’s Form 10-K filed with the Commission on February</w:t>
              </w:r>
            </w:hyperlink>
          </w:p>
        </w:tc>
        <w:tc>
          <w:tcPr>
            <w:tcW w:w="80" w:type="dxa"/>
            <w:vAlign w:val="bottom"/>
            <w:gridSpan w:val="2"/>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300" w:type="dxa"/>
            <w:vAlign w:val="bottom"/>
            <w:gridSpan w:val="3"/>
          </w:tcPr>
          <w:p>
            <w:pPr>
              <w:ind w:left="200"/>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23, 2024</w:t>
              </w:r>
              <w:r>
                <w:rPr>
                  <w:rFonts w:ascii="Times New Roman" w:cs="Times New Roman" w:eastAsia="Times New Roman" w:hAnsi="Times New Roman"/>
                  <w:sz w:val="18"/>
                  <w:szCs w:val="18"/>
                  <w:color w:val="000000"/>
                </w:rPr>
                <w:t>.</w:t>
              </w:r>
            </w:hyperlink>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920" w:right="160" w:hanging="696"/>
        <w:spacing w:after="0" w:line="272" w:lineRule="auto"/>
        <w:tabs>
          <w:tab w:leader="none" w:pos="9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Form 10-K for the year ended December 31, 2025, formatted in eXtensible Business Reporting Language (XBRL): (i) Consolidated Statements of Operations, (ii) Consolidated Statement of Comprehensive Income (iii) Consolidated Balance Sheets, (iv) Consolidated Statements of Equity,</w:t>
      </w:r>
    </w:p>
    <w:p>
      <w:pPr>
        <w:spacing w:after="0" w:line="1"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Consolidated Statements of Cash Flows, and (vi) Notes to Consolidated Financial Statements.</w:t>
      </w:r>
    </w:p>
    <w:p>
      <w:pPr>
        <w:spacing w:after="0" w:line="193" w:lineRule="exact"/>
        <w:rPr>
          <w:sz w:val="20"/>
          <w:szCs w:val="20"/>
          <w:color w:val="auto"/>
        </w:rPr>
      </w:pPr>
    </w:p>
    <w:p>
      <w:pPr>
        <w:ind w:right="2040" w:firstLine="224"/>
        <w:spacing w:after="0" w:line="532" w:lineRule="auto"/>
        <w:tabs>
          <w:tab w:leader="none" w:pos="90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 * 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-364490</wp:posOffset>
            </wp:positionV>
            <wp:extent cx="1448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R</w:t>
      </w:r>
      <w:r>
        <w:rPr>
          <w:rFonts w:ascii="Times New Roman" w:cs="Times New Roman" w:eastAsia="Times New Roman" w:hAnsi="Times New Roman"/>
          <w:sz w:val="12"/>
          <w:szCs w:val="12"/>
          <w:color w:val="auto"/>
        </w:rPr>
        <w:t>ussell</w:t>
      </w:r>
      <w:r>
        <w:rPr>
          <w:rFonts w:ascii="Times New Roman" w:cs="Times New Roman" w:eastAsia="Times New Roman" w:hAnsi="Times New Roman"/>
          <w:sz w:val="18"/>
          <w:szCs w:val="18"/>
          <w:color w:val="auto"/>
        </w:rPr>
        <w:t xml:space="preserve"> J. L</w:t>
      </w:r>
      <w:r>
        <w:rPr>
          <w:rFonts w:ascii="Times New Roman" w:cs="Times New Roman" w:eastAsia="Times New Roman" w:hAnsi="Times New Roman"/>
          <w:sz w:val="12"/>
          <w:szCs w:val="12"/>
          <w:color w:val="auto"/>
        </w:rPr>
        <w: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17145</wp:posOffset>
            </wp:positionV>
            <wp:extent cx="26917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Russell J. Low,</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2026</w:t>
      </w:r>
    </w:p>
    <w:p>
      <w:pPr>
        <w:spacing w:after="0" w:line="20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33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65"/>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ussell</w:t>
            </w:r>
            <w:r>
              <w:rPr>
                <w:rFonts w:ascii="Times New Roman" w:cs="Times New Roman" w:eastAsia="Times New Roman" w:hAnsi="Times New Roman"/>
                <w:sz w:val="18"/>
                <w:szCs w:val="18"/>
                <w:color w:val="auto"/>
              </w:rPr>
              <w:t xml:space="preserve"> J. L</w:t>
            </w:r>
            <w:r>
              <w:rPr>
                <w:rFonts w:ascii="Times New Roman" w:cs="Times New Roman" w:eastAsia="Times New Roman" w:hAnsi="Times New Roman"/>
                <w:sz w:val="12"/>
                <w:szCs w:val="12"/>
                <w:color w:val="auto"/>
              </w:rPr>
              <w:t>ow</w:t>
            </w:r>
          </w:p>
        </w:tc>
        <w:tc>
          <w:tcPr>
            <w:tcW w:w="260" w:type="dxa"/>
            <w:vAlign w:val="bottom"/>
          </w:tcPr>
          <w:p>
            <w:pPr>
              <w:spacing w:after="0"/>
              <w:rPr>
                <w:sz w:val="24"/>
                <w:szCs w:val="24"/>
                <w:color w:val="auto"/>
              </w:rPr>
            </w:pPr>
          </w:p>
        </w:tc>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 and Principal Executive Officer</w:t>
            </w:r>
          </w:p>
        </w:tc>
        <w:tc>
          <w:tcPr>
            <w:tcW w:w="28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95"/>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Russell J. Low</w:t>
            </w:r>
          </w:p>
        </w:tc>
        <w:tc>
          <w:tcPr>
            <w:tcW w:w="260" w:type="dxa"/>
            <w:vAlign w:val="bottom"/>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4"/>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G. C</w:t>
            </w:r>
            <w:r>
              <w:rPr>
                <w:rFonts w:ascii="Times New Roman" w:cs="Times New Roman" w:eastAsia="Times New Roman" w:hAnsi="Times New Roman"/>
                <w:sz w:val="12"/>
                <w:szCs w:val="12"/>
                <w:color w:val="auto"/>
              </w:rPr>
              <w:t>oogan</w:t>
            </w:r>
          </w:p>
        </w:tc>
        <w:tc>
          <w:tcPr>
            <w:tcW w:w="260" w:type="dxa"/>
            <w:vAlign w:val="bottom"/>
          </w:tcPr>
          <w:p>
            <w:pPr>
              <w:spacing w:after="0"/>
              <w:rPr>
                <w:sz w:val="24"/>
                <w:szCs w:val="24"/>
                <w:color w:val="auto"/>
              </w:rPr>
            </w:pPr>
          </w:p>
        </w:tc>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28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95"/>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James G. Coogan</w:t>
            </w:r>
          </w:p>
        </w:tc>
        <w:tc>
          <w:tcPr>
            <w:tcW w:w="260" w:type="dxa"/>
            <w:vAlign w:val="bottom"/>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zu</w:t>
            </w:r>
            <w:r>
              <w:rPr>
                <w:rFonts w:ascii="Times New Roman" w:cs="Times New Roman" w:eastAsia="Times New Roman" w:hAnsi="Times New Roman"/>
                <w:sz w:val="18"/>
                <w:szCs w:val="18"/>
                <w:color w:val="auto"/>
              </w:rPr>
              <w:t>-Y</w:t>
            </w:r>
            <w:r>
              <w:rPr>
                <w:rFonts w:ascii="Times New Roman" w:cs="Times New Roman" w:eastAsia="Times New Roman" w:hAnsi="Times New Roman"/>
                <w:sz w:val="12"/>
                <w:szCs w:val="12"/>
                <w:color w:val="auto"/>
              </w:rPr>
              <w:t>in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hiu</w:t>
            </w:r>
          </w:p>
        </w:tc>
        <w:tc>
          <w:tcPr>
            <w:tcW w:w="260" w:type="dxa"/>
            <w:vAlign w:val="bottom"/>
          </w:tcPr>
          <w:p>
            <w:pPr>
              <w:spacing w:after="0"/>
              <w:rPr>
                <w:sz w:val="24"/>
                <w:szCs w:val="24"/>
                <w:color w:val="auto"/>
              </w:rPr>
            </w:pPr>
          </w:p>
        </w:tc>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88"/>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Tzu-Yin Chiu</w:t>
            </w:r>
          </w:p>
        </w:tc>
        <w:tc>
          <w:tcPr>
            <w:tcW w:w="260" w:type="dxa"/>
            <w:vAlign w:val="bottom"/>
          </w:tcPr>
          <w:p>
            <w:pPr>
              <w:spacing w:after="0"/>
              <w:rPr>
                <w:sz w:val="7"/>
                <w:szCs w:val="7"/>
                <w:color w:val="auto"/>
              </w:rPr>
            </w:pPr>
          </w:p>
        </w:tc>
        <w:tc>
          <w:tcPr>
            <w:tcW w:w="33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1"/>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2"/>
                <w:szCs w:val="12"/>
                <w:color w:val="auto"/>
              </w:rPr>
              <w:t>regory</w:t>
            </w:r>
            <w:r>
              <w:rPr>
                <w:rFonts w:ascii="Times New Roman" w:cs="Times New Roman" w:eastAsia="Times New Roman" w:hAnsi="Times New Roman"/>
                <w:sz w:val="18"/>
                <w:szCs w:val="18"/>
                <w:color w:val="auto"/>
              </w:rPr>
              <w:t xml:space="preserve"> B. G</w:t>
            </w:r>
            <w:r>
              <w:rPr>
                <w:rFonts w:ascii="Times New Roman" w:cs="Times New Roman" w:eastAsia="Times New Roman" w:hAnsi="Times New Roman"/>
                <w:sz w:val="12"/>
                <w:szCs w:val="12"/>
                <w:color w:val="auto"/>
              </w:rPr>
              <w:t>raves</w:t>
            </w:r>
          </w:p>
        </w:tc>
        <w:tc>
          <w:tcPr>
            <w:tcW w:w="260" w:type="dxa"/>
            <w:vAlign w:val="bottom"/>
          </w:tcPr>
          <w:p>
            <w:pPr>
              <w:spacing w:after="0"/>
              <w:rPr>
                <w:sz w:val="24"/>
                <w:szCs w:val="24"/>
                <w:color w:val="auto"/>
              </w:rPr>
            </w:pPr>
          </w:p>
        </w:tc>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95"/>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Gregory B. Graves</w:t>
            </w:r>
          </w:p>
        </w:tc>
        <w:tc>
          <w:tcPr>
            <w:tcW w:w="260" w:type="dxa"/>
            <w:vAlign w:val="bottom"/>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4"/>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T. K</w:t>
            </w:r>
            <w:r>
              <w:rPr>
                <w:rFonts w:ascii="Times New Roman" w:cs="Times New Roman" w:eastAsia="Times New Roman" w:hAnsi="Times New Roman"/>
                <w:sz w:val="12"/>
                <w:szCs w:val="12"/>
                <w:color w:val="auto"/>
              </w:rPr>
              <w:t>urtzweil</w:t>
            </w:r>
          </w:p>
        </w:tc>
        <w:tc>
          <w:tcPr>
            <w:tcW w:w="260" w:type="dxa"/>
            <w:vAlign w:val="bottom"/>
          </w:tcPr>
          <w:p>
            <w:pPr>
              <w:spacing w:after="0"/>
              <w:rPr>
                <w:sz w:val="24"/>
                <w:szCs w:val="24"/>
                <w:color w:val="auto"/>
              </w:rPr>
            </w:pPr>
          </w:p>
        </w:tc>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95"/>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John T. Kurtzweil</w:t>
            </w:r>
          </w:p>
        </w:tc>
        <w:tc>
          <w:tcPr>
            <w:tcW w:w="260" w:type="dxa"/>
            <w:vAlign w:val="bottom"/>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4"/>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eanne</w:t>
            </w:r>
            <w:r>
              <w:rPr>
                <w:rFonts w:ascii="Times New Roman" w:cs="Times New Roman" w:eastAsia="Times New Roman" w:hAnsi="Times New Roman"/>
                <w:sz w:val="18"/>
                <w:szCs w:val="18"/>
                <w:color w:val="auto"/>
              </w:rPr>
              <w:t xml:space="preserve"> Q</w:t>
            </w:r>
            <w:r>
              <w:rPr>
                <w:rFonts w:ascii="Times New Roman" w:cs="Times New Roman" w:eastAsia="Times New Roman" w:hAnsi="Times New Roman"/>
                <w:sz w:val="12"/>
                <w:szCs w:val="12"/>
                <w:color w:val="auto"/>
              </w:rPr>
              <w:t>uirk</w:t>
            </w:r>
          </w:p>
        </w:tc>
        <w:tc>
          <w:tcPr>
            <w:tcW w:w="260" w:type="dxa"/>
            <w:vAlign w:val="bottom"/>
          </w:tcPr>
          <w:p>
            <w:pPr>
              <w:spacing w:after="0"/>
              <w:rPr>
                <w:sz w:val="24"/>
                <w:szCs w:val="24"/>
                <w:color w:val="auto"/>
              </w:rPr>
            </w:pPr>
          </w:p>
        </w:tc>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95"/>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Jeanne Quirk</w:t>
            </w:r>
          </w:p>
        </w:tc>
        <w:tc>
          <w:tcPr>
            <w:tcW w:w="260" w:type="dxa"/>
            <w:vAlign w:val="bottom"/>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4"/>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ecip</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ayiner</w:t>
            </w:r>
          </w:p>
        </w:tc>
        <w:tc>
          <w:tcPr>
            <w:tcW w:w="260" w:type="dxa"/>
            <w:vAlign w:val="bottom"/>
          </w:tcPr>
          <w:p>
            <w:pPr>
              <w:spacing w:after="0"/>
              <w:rPr>
                <w:sz w:val="24"/>
                <w:szCs w:val="24"/>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Necip Sayiner</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homas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ennis</w:t>
            </w:r>
          </w:p>
        </w:tc>
        <w:tc>
          <w:tcPr>
            <w:tcW w:w="260" w:type="dxa"/>
            <w:vAlign w:val="bottom"/>
          </w:tcPr>
          <w:p>
            <w:pPr>
              <w:spacing w:after="0"/>
              <w:rPr>
                <w:sz w:val="24"/>
                <w:szCs w:val="24"/>
                <w:color w:val="auto"/>
              </w:rPr>
            </w:pPr>
          </w:p>
        </w:tc>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95"/>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Thomas St. Dennis</w:t>
            </w:r>
          </w:p>
        </w:tc>
        <w:tc>
          <w:tcPr>
            <w:tcW w:w="260" w:type="dxa"/>
            <w:vAlign w:val="bottom"/>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orge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itinger</w:t>
            </w:r>
          </w:p>
        </w:tc>
        <w:tc>
          <w:tcPr>
            <w:tcW w:w="260" w:type="dxa"/>
            <w:vAlign w:val="bottom"/>
          </w:tcPr>
          <w:p>
            <w:pPr>
              <w:spacing w:after="0"/>
              <w:rPr>
                <w:sz w:val="24"/>
                <w:szCs w:val="24"/>
                <w:color w:val="auto"/>
              </w:rPr>
            </w:pPr>
          </w:p>
        </w:tc>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88"/>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Jorge Titinger</w:t>
            </w:r>
          </w:p>
        </w:tc>
        <w:tc>
          <w:tcPr>
            <w:tcW w:w="260" w:type="dxa"/>
            <w:vAlign w:val="bottom"/>
          </w:tcPr>
          <w:p>
            <w:pPr>
              <w:spacing w:after="0"/>
              <w:rPr>
                <w:sz w:val="7"/>
                <w:szCs w:val="7"/>
                <w:color w:val="auto"/>
              </w:rPr>
            </w:pPr>
          </w:p>
        </w:tc>
        <w:tc>
          <w:tcPr>
            <w:tcW w:w="33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2" w:name="page83"/>
    <w:bookmarkEnd w:id="82"/>
    <w:p>
      <w:pPr>
        <w:jc w:val="right"/>
        <w:ind w:right="219"/>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30"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AXCELIS TECHNOLOGIES, INC.</w:t>
      </w:r>
    </w:p>
    <w:p>
      <w:pPr>
        <w:spacing w:after="0" w:line="162"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2012 EQUITY INCENTIVE PLAN</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As approved by the Stockholders on May 2, 2012, May 14, 2013, May 13, 2014, May 13, 2015,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May 4, 2016; as adjusted for the reverse stock split on June 30, 2016; as amended by the Board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of</w:t>
      </w:r>
    </w:p>
    <w:p>
      <w:pPr>
        <w:spacing w:after="0" w:line="27" w:lineRule="exact"/>
        <w:rPr>
          <w:sz w:val="20"/>
          <w:szCs w:val="20"/>
          <w:color w:val="auto"/>
        </w:rPr>
      </w:pPr>
    </w:p>
    <w:p>
      <w:pPr>
        <w:ind w:left="200" w:right="1119"/>
        <w:spacing w:after="0" w:line="267" w:lineRule="auto"/>
        <w:rPr>
          <w:sz w:val="20"/>
          <w:szCs w:val="20"/>
          <w:color w:val="auto"/>
        </w:rPr>
      </w:pPr>
      <w:r>
        <w:rPr>
          <w:rFonts w:ascii="Arial" w:cs="Arial" w:eastAsia="Arial" w:hAnsi="Arial"/>
          <w:sz w:val="20"/>
          <w:szCs w:val="20"/>
          <w:i w:val="1"/>
          <w:iCs w:val="1"/>
          <w:color w:val="auto"/>
        </w:rPr>
        <w:t>Directors on February 15, 2017 (Stockholder approval not required); as approved by the Stockholders 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May 16, 2017; as amended by the Board of Directors on February 13, 2018 (Stockholder</w:t>
      </w:r>
    </w:p>
    <w:p>
      <w:pPr>
        <w:spacing w:after="0" w:line="13" w:lineRule="exact"/>
        <w:rPr>
          <w:sz w:val="20"/>
          <w:szCs w:val="20"/>
          <w:color w:val="auto"/>
        </w:rPr>
      </w:pPr>
    </w:p>
    <w:p>
      <w:pPr>
        <w:jc w:val="center"/>
        <w:ind w:left="200" w:right="239"/>
        <w:spacing w:after="0" w:line="288" w:lineRule="auto"/>
        <w:rPr>
          <w:sz w:val="20"/>
          <w:szCs w:val="20"/>
          <w:color w:val="auto"/>
        </w:rPr>
      </w:pPr>
      <w:r>
        <w:rPr>
          <w:rFonts w:ascii="Arial" w:cs="Arial" w:eastAsia="Arial" w:hAnsi="Arial"/>
          <w:sz w:val="19"/>
          <w:szCs w:val="19"/>
          <w:i w:val="1"/>
          <w:iCs w:val="1"/>
          <w:color w:val="auto"/>
        </w:rPr>
        <w:t>approval not required); as amended by the Stockholders on May 14, 2019; as amended by the Board of Directors on August 11, 2022 (Stockholder approval not required); as amended by the Board of Directors on November 13, 2024 (Stockholder approval not required for amendments to Sections 4(a)(v), 5(a), and 5(b)(iv)); as approved by the Stockholders on May 7, 2025; and as amended by the Board of Directors on November 13, 2025 (Stockholder approval not required).</w:t>
      </w:r>
    </w:p>
    <w:p>
      <w:pPr>
        <w:spacing w:after="0" w:line="102" w:lineRule="exact"/>
        <w:rPr>
          <w:sz w:val="20"/>
          <w:szCs w:val="20"/>
          <w:color w:val="auto"/>
        </w:rPr>
      </w:pPr>
    </w:p>
    <w:p>
      <w:pPr>
        <w:ind w:left="860" w:hanging="651"/>
        <w:spacing w:after="0"/>
        <w:tabs>
          <w:tab w:leader="none" w:pos="860" w:val="left"/>
        </w:tabs>
        <w:numPr>
          <w:ilvl w:val="0"/>
          <w:numId w:val="64"/>
        </w:numPr>
        <w:rPr>
          <w:rFonts w:ascii="Arial" w:cs="Arial" w:eastAsia="Arial" w:hAnsi="Arial"/>
          <w:sz w:val="20"/>
          <w:szCs w:val="20"/>
          <w:i w:val="1"/>
          <w:iCs w:val="1"/>
          <w:color w:val="auto"/>
        </w:rPr>
      </w:pPr>
      <w:r>
        <w:rPr>
          <w:rFonts w:ascii="Arial" w:cs="Arial" w:eastAsia="Arial" w:hAnsi="Arial"/>
          <w:sz w:val="20"/>
          <w:szCs w:val="20"/>
          <w:i w:val="1"/>
          <w:iCs w:val="1"/>
          <w:color w:val="auto"/>
        </w:rPr>
        <w:t>Purpose</w:t>
      </w:r>
      <w:r>
        <w:rPr>
          <w:rFonts w:ascii="Arial" w:cs="Arial" w:eastAsia="Arial" w:hAnsi="Arial"/>
          <w:sz w:val="20"/>
          <w:szCs w:val="20"/>
          <w:color w:val="auto"/>
        </w:rPr>
        <w:t>.</w:t>
      </w:r>
    </w:p>
    <w:p>
      <w:pPr>
        <w:spacing w:after="0" w:line="175" w:lineRule="exact"/>
        <w:rPr>
          <w:sz w:val="20"/>
          <w:szCs w:val="20"/>
          <w:color w:val="auto"/>
        </w:rPr>
      </w:pPr>
    </w:p>
    <w:p>
      <w:pPr>
        <w:ind w:left="200" w:right="319"/>
        <w:spacing w:after="0" w:line="289" w:lineRule="auto"/>
        <w:rPr>
          <w:sz w:val="20"/>
          <w:szCs w:val="20"/>
          <w:color w:val="auto"/>
        </w:rPr>
      </w:pPr>
      <w:r>
        <w:rPr>
          <w:rFonts w:ascii="Arial" w:cs="Arial" w:eastAsia="Arial" w:hAnsi="Arial"/>
          <w:sz w:val="19"/>
          <w:szCs w:val="19"/>
          <w:color w:val="auto"/>
        </w:rPr>
        <w:t>The purpose of the Axcelis Technologies, Inc. 2012 Equity Incentive Plan (the “Plan”) is to attract and retain persons who are expected to make important contributions to the Company and its Affiliates, to provide an incentive for them to achieve the Company’s goals, and to enable them to participate in the growth of the Company by granting Awards with respect to the Company’s Common Stock. Certain capitalized terms used herein are defined in Section 7 below.</w:t>
      </w:r>
    </w:p>
    <w:p>
      <w:pPr>
        <w:spacing w:after="0" w:line="89" w:lineRule="exact"/>
        <w:rPr>
          <w:sz w:val="20"/>
          <w:szCs w:val="20"/>
          <w:color w:val="auto"/>
        </w:rPr>
      </w:pPr>
    </w:p>
    <w:p>
      <w:pPr>
        <w:ind w:left="860" w:hanging="651"/>
        <w:spacing w:after="0"/>
        <w:tabs>
          <w:tab w:leader="none" w:pos="860" w:val="left"/>
        </w:tabs>
        <w:numPr>
          <w:ilvl w:val="0"/>
          <w:numId w:val="65"/>
        </w:numPr>
        <w:rPr>
          <w:rFonts w:ascii="Arial" w:cs="Arial" w:eastAsia="Arial" w:hAnsi="Arial"/>
          <w:sz w:val="20"/>
          <w:szCs w:val="20"/>
          <w:i w:val="1"/>
          <w:iCs w:val="1"/>
          <w:color w:val="auto"/>
        </w:rPr>
      </w:pPr>
      <w:r>
        <w:rPr>
          <w:rFonts w:ascii="Arial" w:cs="Arial" w:eastAsia="Arial" w:hAnsi="Arial"/>
          <w:sz w:val="20"/>
          <w:szCs w:val="20"/>
          <w:i w:val="1"/>
          <w:iCs w:val="1"/>
          <w:color w:val="auto"/>
        </w:rPr>
        <w:t>Administration</w:t>
      </w:r>
      <w:r>
        <w:rPr>
          <w:rFonts w:ascii="Arial" w:cs="Arial" w:eastAsia="Arial" w:hAnsi="Arial"/>
          <w:sz w:val="20"/>
          <w:szCs w:val="20"/>
          <w:color w:val="auto"/>
        </w:rPr>
        <w:t>.</w:t>
      </w:r>
    </w:p>
    <w:p>
      <w:pPr>
        <w:spacing w:after="0" w:line="175" w:lineRule="exact"/>
        <w:rPr>
          <w:sz w:val="20"/>
          <w:szCs w:val="20"/>
          <w:color w:val="auto"/>
        </w:rPr>
      </w:pPr>
    </w:p>
    <w:p>
      <w:pPr>
        <w:ind w:left="200" w:right="219"/>
        <w:spacing w:after="0" w:line="268" w:lineRule="auto"/>
        <w:rPr>
          <w:sz w:val="20"/>
          <w:szCs w:val="20"/>
          <w:color w:val="auto"/>
        </w:rPr>
      </w:pPr>
      <w:r>
        <w:rPr>
          <w:rFonts w:ascii="Arial" w:cs="Arial" w:eastAsia="Arial" w:hAnsi="Arial"/>
          <w:sz w:val="20"/>
          <w:szCs w:val="20"/>
          <w:color w:val="auto"/>
        </w:rPr>
        <w:t>The Plan shall be administered by the Committee; provided, that the Board may in any instance perform any of the functions of the Committee hereunder. The Committee shall have authority to adopt, alter and repeal such administrative rules, guidelines and practices governing the operation of the Plan as it shall from time to time consider advisable, and to interpret the provisions hereof in its discretion. The Committee’s determinations hereunder shall be final and binding. The Committee may, subject to applicable law, delegate to one or more Executive Officers of the Company the power to make Awards to Participants who are not Reporting Persons or Covered Employees and all determinations hereunder with respect thereto, provided that the Committee shall fix the maximum number of shares that may be subject to such Awards.</w:t>
      </w:r>
    </w:p>
    <w:p>
      <w:pPr>
        <w:spacing w:after="0" w:line="105" w:lineRule="exact"/>
        <w:rPr>
          <w:sz w:val="20"/>
          <w:szCs w:val="20"/>
          <w:color w:val="auto"/>
        </w:rPr>
      </w:pPr>
    </w:p>
    <w:p>
      <w:pPr>
        <w:ind w:left="860" w:hanging="651"/>
        <w:spacing w:after="0"/>
        <w:tabs>
          <w:tab w:leader="none" w:pos="860" w:val="left"/>
        </w:tabs>
        <w:numPr>
          <w:ilvl w:val="0"/>
          <w:numId w:val="66"/>
        </w:numPr>
        <w:rPr>
          <w:rFonts w:ascii="Arial" w:cs="Arial" w:eastAsia="Arial" w:hAnsi="Arial"/>
          <w:sz w:val="20"/>
          <w:szCs w:val="20"/>
          <w:i w:val="1"/>
          <w:iCs w:val="1"/>
          <w:color w:val="auto"/>
        </w:rPr>
      </w:pPr>
      <w:r>
        <w:rPr>
          <w:rFonts w:ascii="Arial" w:cs="Arial" w:eastAsia="Arial" w:hAnsi="Arial"/>
          <w:sz w:val="20"/>
          <w:szCs w:val="20"/>
          <w:i w:val="1"/>
          <w:iCs w:val="1"/>
          <w:color w:val="auto"/>
        </w:rPr>
        <w:t>Eligibility</w:t>
      </w:r>
      <w:r>
        <w:rPr>
          <w:rFonts w:ascii="Arial" w:cs="Arial" w:eastAsia="Arial" w:hAnsi="Arial"/>
          <w:sz w:val="20"/>
          <w:szCs w:val="20"/>
          <w:color w:val="auto"/>
        </w:rPr>
        <w:t>.</w:t>
      </w:r>
    </w:p>
    <w:p>
      <w:pPr>
        <w:spacing w:after="0" w:line="175" w:lineRule="exact"/>
        <w:rPr>
          <w:sz w:val="20"/>
          <w:szCs w:val="20"/>
          <w:color w:val="auto"/>
        </w:rPr>
      </w:pPr>
    </w:p>
    <w:p>
      <w:pPr>
        <w:ind w:left="200" w:right="839"/>
        <w:spacing w:after="0" w:line="276" w:lineRule="auto"/>
        <w:rPr>
          <w:sz w:val="20"/>
          <w:szCs w:val="20"/>
          <w:color w:val="auto"/>
        </w:rPr>
      </w:pPr>
      <w:r>
        <w:rPr>
          <w:rFonts w:ascii="Arial" w:cs="Arial" w:eastAsia="Arial" w:hAnsi="Arial"/>
          <w:sz w:val="20"/>
          <w:szCs w:val="20"/>
          <w:color w:val="auto"/>
        </w:rPr>
        <w:t>All directors and all employees and consultants of the Company or any Affiliate capable of contributing to the successful performance of the Company, other than any person who has irrevocably elected not to be eligible, are eligible to be Participants in the Plan.</w:t>
      </w:r>
    </w:p>
    <w:p>
      <w:pPr>
        <w:spacing w:after="0" w:line="111" w:lineRule="exact"/>
        <w:rPr>
          <w:sz w:val="20"/>
          <w:szCs w:val="20"/>
          <w:color w:val="auto"/>
        </w:rPr>
      </w:pPr>
    </w:p>
    <w:p>
      <w:pPr>
        <w:ind w:left="860" w:hanging="651"/>
        <w:spacing w:after="0"/>
        <w:tabs>
          <w:tab w:leader="none" w:pos="860" w:val="left"/>
        </w:tabs>
        <w:numPr>
          <w:ilvl w:val="0"/>
          <w:numId w:val="67"/>
        </w:numPr>
        <w:rPr>
          <w:rFonts w:ascii="Arial" w:cs="Arial" w:eastAsia="Arial" w:hAnsi="Arial"/>
          <w:sz w:val="20"/>
          <w:szCs w:val="20"/>
          <w:i w:val="1"/>
          <w:iCs w:val="1"/>
          <w:color w:val="auto"/>
        </w:rPr>
      </w:pPr>
      <w:r>
        <w:rPr>
          <w:rFonts w:ascii="Arial" w:cs="Arial" w:eastAsia="Arial" w:hAnsi="Arial"/>
          <w:sz w:val="20"/>
          <w:szCs w:val="20"/>
          <w:i w:val="1"/>
          <w:iCs w:val="1"/>
          <w:color w:val="auto"/>
        </w:rPr>
        <w:t>Stock Available for Awards</w:t>
      </w:r>
      <w:r>
        <w:rPr>
          <w:rFonts w:ascii="Arial" w:cs="Arial" w:eastAsia="Arial" w:hAnsi="Arial"/>
          <w:sz w:val="20"/>
          <w:szCs w:val="20"/>
          <w:color w:val="auto"/>
        </w:rPr>
        <w:t>.</w:t>
      </w:r>
    </w:p>
    <w:p>
      <w:pPr>
        <w:spacing w:after="0" w:line="162" w:lineRule="exact"/>
        <w:rPr>
          <w:sz w:val="20"/>
          <w:szCs w:val="20"/>
          <w:color w:val="auto"/>
        </w:rPr>
      </w:pPr>
    </w:p>
    <w:p>
      <w:pPr>
        <w:ind w:left="200" w:right="419" w:firstLine="4"/>
        <w:spacing w:after="0" w:line="283" w:lineRule="auto"/>
        <w:tabs>
          <w:tab w:leader="none" w:pos="552" w:val="left"/>
        </w:tabs>
        <w:numPr>
          <w:ilvl w:val="0"/>
          <w:numId w:val="68"/>
        </w:numPr>
        <w:rPr>
          <w:rFonts w:ascii="Arial" w:cs="Arial" w:eastAsia="Arial" w:hAnsi="Arial"/>
          <w:sz w:val="20"/>
          <w:szCs w:val="20"/>
          <w:color w:val="auto"/>
        </w:rPr>
      </w:pPr>
      <w:r>
        <w:rPr>
          <w:rFonts w:ascii="Arial" w:cs="Arial" w:eastAsia="Arial" w:hAnsi="Arial"/>
          <w:sz w:val="20"/>
          <w:szCs w:val="20"/>
          <w:i w:val="1"/>
          <w:iCs w:val="1"/>
          <w:color w:val="auto"/>
        </w:rPr>
        <w:t xml:space="preserve">Amount. </w:t>
      </w:r>
      <w:r>
        <w:rPr>
          <w:rFonts w:ascii="Arial" w:cs="Arial" w:eastAsia="Arial" w:hAnsi="Arial"/>
          <w:sz w:val="20"/>
          <w:szCs w:val="20"/>
          <w:color w:val="auto"/>
        </w:rPr>
        <w:t>Subject to adjustment under subsection 4(b), up to an aggregate of 10,762,500</w:t>
      </w:r>
      <w:r>
        <w:rPr>
          <w:rFonts w:ascii="Arial" w:cs="Arial" w:eastAsia="Arial" w:hAnsi="Arial"/>
          <w:sz w:val="20"/>
          <w:szCs w:val="20"/>
          <w:i w:val="1"/>
          <w:iCs w:val="1"/>
          <w:color w:val="auto"/>
        </w:rPr>
        <w:t xml:space="preserve"> </w:t>
      </w:r>
      <w:r>
        <w:rPr>
          <w:rFonts w:ascii="Arial" w:cs="Arial" w:eastAsia="Arial" w:hAnsi="Arial"/>
          <w:sz w:val="20"/>
          <w:szCs w:val="20"/>
          <w:color w:val="auto"/>
        </w:rPr>
        <w:t>shares of Common Stock may be issued pursuant to Awards, including Incentive Stock Options, under the Plan. For the purposes of counting shares hereunder:</w:t>
      </w:r>
    </w:p>
    <w:p>
      <w:pPr>
        <w:spacing w:after="0" w:line="91" w:lineRule="exact"/>
        <w:rPr>
          <w:sz w:val="20"/>
          <w:szCs w:val="20"/>
          <w:color w:val="auto"/>
        </w:rPr>
      </w:pPr>
    </w:p>
    <w:p>
      <w:pPr>
        <w:ind w:left="300" w:right="239" w:hanging="94"/>
        <w:spacing w:after="0" w:line="300" w:lineRule="auto"/>
        <w:rPr>
          <w:sz w:val="20"/>
          <w:szCs w:val="20"/>
          <w:color w:val="auto"/>
        </w:rPr>
      </w:pPr>
      <w:r>
        <w:rPr>
          <w:rFonts w:ascii="Arial" w:cs="Arial" w:eastAsia="Arial" w:hAnsi="Arial"/>
          <w:sz w:val="20"/>
          <w:szCs w:val="20"/>
          <w:color w:val="auto"/>
        </w:rPr>
        <w:t>i.The number of shares issued as, or upon settlement of, any Award other than an Option or Stock Appreciation Right shall be multiplied by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300355</wp:posOffset>
            </wp:positionV>
            <wp:extent cx="5452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3" w:name="page84"/>
    <w:bookmarkEnd w:id="83"/>
    <w:p>
      <w:pPr>
        <w:ind w:left="340" w:right="319" w:hanging="134"/>
        <w:spacing w:after="0" w:line="272" w:lineRule="auto"/>
        <w:rPr>
          <w:sz w:val="20"/>
          <w:szCs w:val="20"/>
          <w:color w:val="auto"/>
        </w:rPr>
      </w:pPr>
      <w:r>
        <w:rPr>
          <w:rFonts w:ascii="Arial" w:cs="Arial" w:eastAsia="Arial" w:hAnsi="Arial"/>
          <w:sz w:val="20"/>
          <w:szCs w:val="20"/>
          <w:color w:val="auto"/>
        </w:rPr>
        <w:t>ii.Outstanding shares tendered by the Participant to pay for the exercise of an Option or Stock Appreciation Right, shares repurchased in the open market by the Company, and shares that are withheld by the Company to satisfy the exercise or tax withholding obligation upon exercise or vesting of an Award may not be netted out against shares of Common Stock issued pursuant to Awards hereunder;</w:t>
      </w:r>
    </w:p>
    <w:p>
      <w:pPr>
        <w:spacing w:after="0" w:line="101" w:lineRule="exact"/>
        <w:rPr>
          <w:sz w:val="20"/>
          <w:szCs w:val="20"/>
          <w:color w:val="auto"/>
        </w:rPr>
      </w:pPr>
    </w:p>
    <w:p>
      <w:pPr>
        <w:jc w:val="both"/>
        <w:ind w:left="380" w:right="599" w:hanging="175"/>
        <w:spacing w:after="0" w:line="276" w:lineRule="auto"/>
        <w:rPr>
          <w:sz w:val="20"/>
          <w:szCs w:val="20"/>
          <w:color w:val="auto"/>
        </w:rPr>
      </w:pPr>
      <w:r>
        <w:rPr>
          <w:rFonts w:ascii="Arial" w:cs="Arial" w:eastAsia="Arial" w:hAnsi="Arial"/>
          <w:sz w:val="20"/>
          <w:szCs w:val="20"/>
          <w:color w:val="auto"/>
        </w:rPr>
        <w:t>iii.Shares subject to any Award granted under this Plan that are not issued because the Award expires, is terminated unexercised or is forfeited, in whole or in part, may be subject to new Awards without being deemed to exceed such maximum amount;</w:t>
      </w:r>
    </w:p>
    <w:p>
      <w:pPr>
        <w:spacing w:after="0" w:line="111" w:lineRule="exact"/>
        <w:rPr>
          <w:sz w:val="20"/>
          <w:szCs w:val="20"/>
          <w:color w:val="auto"/>
        </w:rPr>
      </w:pPr>
    </w:p>
    <w:p>
      <w:pPr>
        <w:ind w:left="380" w:right="359" w:hanging="175"/>
        <w:spacing w:after="0" w:line="273" w:lineRule="auto"/>
        <w:rPr>
          <w:sz w:val="20"/>
          <w:szCs w:val="20"/>
          <w:color w:val="auto"/>
        </w:rPr>
      </w:pPr>
      <w:r>
        <w:rPr>
          <w:rFonts w:ascii="Arial" w:cs="Arial" w:eastAsia="Arial" w:hAnsi="Arial"/>
          <w:sz w:val="20"/>
          <w:szCs w:val="20"/>
          <w:color w:val="auto"/>
        </w:rPr>
        <w:t>iv.Shares that are not issued under an award that is outstanding under the 2000 Stock Plan as of May 2, 2012 because such award expires, is terminated unexercised or is forfeited may be subject to new Awards under this Plan (other than Incentive Stock Options), without being deemed to exceed such maximum amount;</w:t>
      </w:r>
    </w:p>
    <w:p>
      <w:pPr>
        <w:spacing w:after="0" w:line="101" w:lineRule="exact"/>
        <w:rPr>
          <w:sz w:val="20"/>
          <w:szCs w:val="20"/>
          <w:color w:val="auto"/>
        </w:rPr>
      </w:pPr>
    </w:p>
    <w:p>
      <w:pPr>
        <w:ind w:left="340" w:right="239" w:hanging="134"/>
        <w:spacing w:after="0" w:line="287" w:lineRule="auto"/>
        <w:rPr>
          <w:sz w:val="20"/>
          <w:szCs w:val="20"/>
          <w:color w:val="auto"/>
        </w:rPr>
      </w:pPr>
      <w:r>
        <w:rPr>
          <w:rFonts w:ascii="Arial" w:cs="Arial" w:eastAsia="Arial" w:hAnsi="Arial"/>
          <w:sz w:val="19"/>
          <w:szCs w:val="19"/>
          <w:color w:val="auto"/>
        </w:rPr>
        <w:t>v.Shares subject to any Award granted under this Plan that are not issued because the Committee has permitted the minimum tax obligations required by law to be withheld in respect of Awards to be paid in whole or in part by shares retained from the Award creating the tax obligation, as contemplated by Section 6(a), may not be subject to new Awards under this Plan; and</w:t>
      </w:r>
    </w:p>
    <w:p>
      <w:pPr>
        <w:spacing w:after="0" w:line="116" w:lineRule="exact"/>
        <w:rPr>
          <w:sz w:val="20"/>
          <w:szCs w:val="20"/>
          <w:color w:val="auto"/>
        </w:rPr>
      </w:pPr>
    </w:p>
    <w:p>
      <w:pPr>
        <w:ind w:left="380" w:right="239" w:hanging="175"/>
        <w:spacing w:after="0" w:line="348" w:lineRule="auto"/>
        <w:rPr>
          <w:sz w:val="20"/>
          <w:szCs w:val="20"/>
          <w:color w:val="auto"/>
        </w:rPr>
      </w:pPr>
      <w:r>
        <w:rPr>
          <w:rFonts w:ascii="Arial" w:cs="Arial" w:eastAsia="Arial" w:hAnsi="Arial"/>
          <w:sz w:val="20"/>
          <w:szCs w:val="20"/>
          <w:color w:val="auto"/>
        </w:rPr>
        <w:t>vi.Shares issued under this Plan as a result of the assumption or substitution of outstanding grants from an acquired company shall not reduce the number of shares available for issuance under the Plan Shares issued under the Plan may consist of authorized but unissued shares or treasury shares</w:t>
      </w:r>
    </w:p>
    <w:p>
      <w:pPr>
        <w:spacing w:after="0" w:line="16" w:lineRule="exact"/>
        <w:rPr>
          <w:sz w:val="20"/>
          <w:szCs w:val="20"/>
          <w:color w:val="auto"/>
        </w:rPr>
      </w:pPr>
    </w:p>
    <w:p>
      <w:pPr>
        <w:ind w:left="200" w:right="219" w:firstLine="4"/>
        <w:spacing w:after="0" w:line="280" w:lineRule="auto"/>
        <w:tabs>
          <w:tab w:leader="none" w:pos="552" w:val="left"/>
        </w:tabs>
        <w:numPr>
          <w:ilvl w:val="1"/>
          <w:numId w:val="69"/>
        </w:numPr>
        <w:rPr>
          <w:rFonts w:ascii="Arial" w:cs="Arial" w:eastAsia="Arial" w:hAnsi="Arial"/>
          <w:sz w:val="19"/>
          <w:szCs w:val="19"/>
          <w:color w:val="auto"/>
        </w:rPr>
      </w:pPr>
      <w:r>
        <w:rPr>
          <w:rFonts w:ascii="Arial" w:cs="Arial" w:eastAsia="Arial" w:hAnsi="Arial"/>
          <w:sz w:val="19"/>
          <w:szCs w:val="19"/>
          <w:i w:val="1"/>
          <w:iCs w:val="1"/>
          <w:color w:val="auto"/>
        </w:rPr>
        <w:t xml:space="preserve">Adjustments. </w:t>
      </w:r>
      <w:r>
        <w:rPr>
          <w:rFonts w:ascii="Arial" w:cs="Arial" w:eastAsia="Arial" w:hAnsi="Arial"/>
          <w:sz w:val="19"/>
          <w:szCs w:val="19"/>
          <w:color w:val="auto"/>
        </w:rPr>
        <w:t>Upon any equity restructuring, whether a stock dividend, recapitalization, split-up or combination of shares, or otherwise, the number of shares in respect of which Awards may be made under the Plan, the number of shares subject to outstanding Awards, the exercise, purchase or conversion price with respect to any Award, and the limit on individual grants in subsection 5(c) shall be proportionately adjusted, provided that the number of shares subject to any Award shall always be a whole number. In the event the Committee determines that any other reorganization, recapitalization, merger, spin-off or other corporate transaction affects the Common Stock such that an adjustment is required in order to preserve the benefits intended to be provided by the Plan, the Committee shall equitably adjust any or all of the number and kind of shares in respect of which Awards may be made under the Plan, the number and kind of shares subject to outstanding Awards, the exercise, purchase or conversion price with respect to any Award, and the limit on individual grants in subsection 5(c), provided that the number of shares subject to any Award shall always be a whole number. If considered appropriate, the Committee may make provision for a cash payment with respect to all or part of an outstanding Award instead of or in addition to any such adjustment. Any adjustment made pursuant to this subsection shall be subject, in the case of Incentive Stock Options, to any limitation required under the Code.</w:t>
      </w:r>
    </w:p>
    <w:p>
      <w:pPr>
        <w:spacing w:after="0" w:line="106" w:lineRule="exact"/>
        <w:rPr>
          <w:rFonts w:ascii="Arial" w:cs="Arial" w:eastAsia="Arial" w:hAnsi="Arial"/>
          <w:sz w:val="19"/>
          <w:szCs w:val="19"/>
          <w:color w:val="auto"/>
        </w:rPr>
      </w:pPr>
    </w:p>
    <w:p>
      <w:pPr>
        <w:ind w:left="840" w:hanging="645"/>
        <w:spacing w:after="0"/>
        <w:tabs>
          <w:tab w:leader="none" w:pos="840" w:val="left"/>
        </w:tabs>
        <w:numPr>
          <w:ilvl w:val="0"/>
          <w:numId w:val="70"/>
        </w:numPr>
        <w:rPr>
          <w:rFonts w:ascii="Arial" w:cs="Arial" w:eastAsia="Arial" w:hAnsi="Arial"/>
          <w:sz w:val="20"/>
          <w:szCs w:val="20"/>
          <w:i w:val="1"/>
          <w:iCs w:val="1"/>
          <w:color w:val="auto"/>
        </w:rPr>
      </w:pPr>
      <w:r>
        <w:rPr>
          <w:rFonts w:ascii="Arial" w:cs="Arial" w:eastAsia="Arial" w:hAnsi="Arial"/>
          <w:sz w:val="20"/>
          <w:szCs w:val="20"/>
          <w:i w:val="1"/>
          <w:iCs w:val="1"/>
          <w:color w:val="auto"/>
        </w:rPr>
        <w:t>Awards under the Plan</w:t>
      </w:r>
      <w:r>
        <w:rPr>
          <w:rFonts w:ascii="Arial" w:cs="Arial" w:eastAsia="Arial" w:hAnsi="Arial"/>
          <w:sz w:val="20"/>
          <w:szCs w:val="20"/>
          <w:color w:val="auto"/>
        </w:rPr>
        <w:t>.</w:t>
      </w:r>
    </w:p>
    <w:p>
      <w:pPr>
        <w:spacing w:after="0" w:line="175" w:lineRule="exact"/>
        <w:rPr>
          <w:rFonts w:ascii="Arial" w:cs="Arial" w:eastAsia="Arial" w:hAnsi="Arial"/>
          <w:sz w:val="20"/>
          <w:szCs w:val="20"/>
          <w:i w:val="1"/>
          <w:iCs w:val="1"/>
          <w:color w:val="auto"/>
        </w:rPr>
      </w:pPr>
    </w:p>
    <w:p>
      <w:pPr>
        <w:ind w:left="860" w:right="479" w:hanging="651"/>
        <w:spacing w:after="0" w:line="273" w:lineRule="auto"/>
        <w:tabs>
          <w:tab w:leader="none" w:pos="860" w:val="left"/>
        </w:tabs>
        <w:numPr>
          <w:ilvl w:val="1"/>
          <w:numId w:val="70"/>
        </w:numPr>
        <w:rPr>
          <w:rFonts w:ascii="Arial" w:cs="Arial" w:eastAsia="Arial" w:hAnsi="Arial"/>
          <w:sz w:val="20"/>
          <w:szCs w:val="20"/>
          <w:color w:val="auto"/>
        </w:rPr>
      </w:pPr>
      <w:r>
        <w:rPr>
          <w:rFonts w:ascii="Arial" w:cs="Arial" w:eastAsia="Arial" w:hAnsi="Arial"/>
          <w:sz w:val="20"/>
          <w:szCs w:val="20"/>
          <w:i w:val="1"/>
          <w:iCs w:val="1"/>
          <w:color w:val="auto"/>
        </w:rPr>
        <w:t xml:space="preserve">Types of Awards. </w:t>
      </w:r>
      <w:r>
        <w:rPr>
          <w:rFonts w:ascii="Arial" w:cs="Arial" w:eastAsia="Arial" w:hAnsi="Arial"/>
          <w:sz w:val="20"/>
          <w:szCs w:val="20"/>
          <w:color w:val="auto"/>
        </w:rPr>
        <w:t>The Committee may grant Options, Stock Appreciation Rights,</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Restricted Stock, Restricted Stock Units, Stock Equivalents, and Awards of shares of Common Stock, subject to the provisions of Section 5(b), including the minimum vesting provisions of Section 5(b)(iv).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318135</wp:posOffset>
            </wp:positionV>
            <wp:extent cx="545211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4" w:name="page85"/>
    <w:bookmarkEnd w:id="84"/>
    <w:p>
      <w:pPr>
        <w:ind w:left="860" w:right="839"/>
        <w:spacing w:after="0" w:line="300" w:lineRule="auto"/>
        <w:rPr>
          <w:sz w:val="20"/>
          <w:szCs w:val="20"/>
          <w:color w:val="auto"/>
        </w:rPr>
      </w:pPr>
      <w:r>
        <w:rPr>
          <w:rFonts w:ascii="Arial" w:cs="Arial" w:eastAsia="Arial" w:hAnsi="Arial"/>
          <w:sz w:val="20"/>
          <w:szCs w:val="20"/>
          <w:color w:val="auto"/>
        </w:rPr>
        <w:t>The effectiveness of any such grant may be conditioned on the passage of time, the achievement of any Performance Goals, or the happening of any other event.</w:t>
      </w:r>
    </w:p>
    <w:p>
      <w:pPr>
        <w:spacing w:after="0" w:line="73" w:lineRule="exact"/>
        <w:rPr>
          <w:sz w:val="20"/>
          <w:szCs w:val="20"/>
          <w:color w:val="auto"/>
        </w:rPr>
      </w:pPr>
    </w:p>
    <w:p>
      <w:pPr>
        <w:ind w:left="860" w:hanging="651"/>
        <w:spacing w:after="0"/>
        <w:tabs>
          <w:tab w:leader="none" w:pos="860"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Terms and Conditions of Awards.</w:t>
      </w:r>
    </w:p>
    <w:p>
      <w:pPr>
        <w:spacing w:after="0" w:line="175" w:lineRule="exact"/>
        <w:rPr>
          <w:sz w:val="20"/>
          <w:szCs w:val="20"/>
          <w:color w:val="auto"/>
        </w:rPr>
      </w:pPr>
    </w:p>
    <w:p>
      <w:pPr>
        <w:ind w:left="380" w:right="219" w:hanging="161"/>
        <w:spacing w:after="0" w:line="263" w:lineRule="auto"/>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Participants; Terms.</w:t>
      </w:r>
      <w:r>
        <w:rPr>
          <w:rFonts w:ascii="Arial" w:cs="Arial" w:eastAsia="Arial" w:hAnsi="Arial"/>
          <w:sz w:val="20"/>
          <w:szCs w:val="20"/>
          <w:color w:val="auto"/>
        </w:rPr>
        <w:t xml:space="preserve"> The Committee shall select the Participants to receive Awards and determine the terms and conditions of each Award. Without limiting the foregoing but subject to the other provisions of the Plan and applicable law, the Committee shall determine (A) the number of shares of Common Stock subject to each Award or the manner in which such number shall be determined, (B) the price, if any, a Participant shall pay to receive or exercise an Award or the manner in which such price shall be determined, (C) the time or times when an Award may vest or be exercised, settled, or transferred, (D) any Performance Goals, restrictions or other conditions to vesting, exercise, settlement, or transferability of an Award, (E) whether an Award may be settled in the form of cash, Common Stock or other securities of the Company, Awards or other property, and the manner of calculating the amount or value thereof, (F) the duration of any Restricted Period or any other circumstances in which an Award may be forfeited to the Company, (G) the effect on an Award of the disability, death, retirement or other termination of employment or other service of a Participant, and (H) the extent to which, and the period during which, the Participant or the Participant’s legal representative, guardian or Designated Beneficiary may receive payment of an Award or exercise rights thereunder. Except as otherwise provided hereby or in a particular Award, any determination or action with respect to an Award may be made or taken by the Committee at the time of grant or at any time thereafter.</w:t>
      </w:r>
    </w:p>
    <w:p>
      <w:pPr>
        <w:spacing w:after="0" w:line="121" w:lineRule="exact"/>
        <w:rPr>
          <w:sz w:val="20"/>
          <w:szCs w:val="20"/>
          <w:color w:val="auto"/>
        </w:rPr>
      </w:pPr>
    </w:p>
    <w:p>
      <w:pPr>
        <w:ind w:left="420" w:right="239" w:hanging="202"/>
        <w:spacing w:after="0" w:line="266" w:lineRule="auto"/>
        <w:rPr>
          <w:sz w:val="20"/>
          <w:szCs w:val="20"/>
          <w:color w:val="auto"/>
        </w:rPr>
      </w:pPr>
      <w:r>
        <w:rPr>
          <w:rFonts w:ascii="Arial" w:cs="Arial" w:eastAsia="Arial" w:hAnsi="Arial"/>
          <w:sz w:val="20"/>
          <w:szCs w:val="20"/>
          <w:color w:val="auto"/>
        </w:rPr>
        <w:t>(ii)</w:t>
      </w:r>
      <w:r>
        <w:rPr>
          <w:rFonts w:ascii="Arial" w:cs="Arial" w:eastAsia="Arial" w:hAnsi="Arial"/>
          <w:sz w:val="20"/>
          <w:szCs w:val="20"/>
          <w:i w:val="1"/>
          <w:iCs w:val="1"/>
          <w:color w:val="auto"/>
        </w:rPr>
        <w:t>Options and Stock Appreciation Rights.</w:t>
      </w:r>
      <w:r>
        <w:rPr>
          <w:rFonts w:ascii="Arial" w:cs="Arial" w:eastAsia="Arial" w:hAnsi="Arial"/>
          <w:sz w:val="20"/>
          <w:szCs w:val="20"/>
          <w:color w:val="auto"/>
        </w:rPr>
        <w:t xml:space="preserve"> Incentive Stock Options may only be granted to persons eligible to receive such Options under the Code. The exercise price for any Option or Stock Appreciation Right shall not be less than 100% of the Fair Market Value of the Common Stock on the Date of Grant; provided that Options granted in substitution for options granted by a former employer to persons who become eligible to receive Awards hereunder as a result of a transaction described in Section 424(a) of the Code may, consistent with such Section, have a lower exercise price. No Option or Stock Appreciation Right shall have a term longer than seven (7) years. No Incentive Stock Option may be granted more than ten years after the Effective Date. The Committee shall determine the manner of calculating the excess in value of the shares of Common Stock over the exercise price of a Stock Appreciation Right.</w:t>
      </w:r>
    </w:p>
    <w:p>
      <w:pPr>
        <w:spacing w:after="0" w:line="111" w:lineRule="exact"/>
        <w:rPr>
          <w:sz w:val="20"/>
          <w:szCs w:val="20"/>
          <w:color w:val="auto"/>
        </w:rPr>
      </w:pPr>
    </w:p>
    <w:p>
      <w:pPr>
        <w:ind w:left="460" w:right="299" w:hanging="242"/>
        <w:spacing w:after="0" w:line="272" w:lineRule="auto"/>
        <w:rPr>
          <w:sz w:val="20"/>
          <w:szCs w:val="20"/>
          <w:color w:val="auto"/>
        </w:rPr>
      </w:pPr>
      <w:r>
        <w:rPr>
          <w:rFonts w:ascii="Arial" w:cs="Arial" w:eastAsia="Arial" w:hAnsi="Arial"/>
          <w:sz w:val="20"/>
          <w:szCs w:val="20"/>
          <w:color w:val="auto"/>
        </w:rPr>
        <w:t>(iii)</w:t>
      </w:r>
      <w:r>
        <w:rPr>
          <w:rFonts w:ascii="Arial" w:cs="Arial" w:eastAsia="Arial" w:hAnsi="Arial"/>
          <w:sz w:val="20"/>
          <w:szCs w:val="20"/>
          <w:i w:val="1"/>
          <w:iCs w:val="1"/>
          <w:color w:val="auto"/>
        </w:rPr>
        <w:t>Restricted Stock and Restricted Stock Units.</w:t>
      </w:r>
      <w:r>
        <w:rPr>
          <w:rFonts w:ascii="Arial" w:cs="Arial" w:eastAsia="Arial" w:hAnsi="Arial"/>
          <w:sz w:val="20"/>
          <w:szCs w:val="20"/>
          <w:color w:val="auto"/>
        </w:rPr>
        <w:t xml:space="preserve"> Shares of Restricted Stock and shares subject to Restricted Stock Units may not be sold, assigned, transferred, pledged or otherwise encumbered, except as permitted by the Committee, during the applicable Restricted Period. Restricted Stock Units may be settled in shares of Common Stock or cash as determined by the Committee.</w:t>
      </w:r>
    </w:p>
    <w:p>
      <w:pPr>
        <w:spacing w:after="0" w:line="101" w:lineRule="exact"/>
        <w:rPr>
          <w:sz w:val="20"/>
          <w:szCs w:val="20"/>
          <w:color w:val="auto"/>
        </w:rPr>
      </w:pPr>
    </w:p>
    <w:p>
      <w:pPr>
        <w:ind w:left="460" w:right="279" w:hanging="242"/>
        <w:spacing w:after="0" w:line="300" w:lineRule="auto"/>
        <w:rPr>
          <w:sz w:val="20"/>
          <w:szCs w:val="20"/>
          <w:color w:val="auto"/>
        </w:rPr>
      </w:pPr>
      <w:r>
        <w:rPr>
          <w:rFonts w:ascii="Arial" w:cs="Arial" w:eastAsia="Arial" w:hAnsi="Arial"/>
          <w:sz w:val="20"/>
          <w:szCs w:val="20"/>
          <w:color w:val="auto"/>
        </w:rPr>
        <w:t>(iv)</w:t>
      </w:r>
      <w:r>
        <w:rPr>
          <w:rFonts w:ascii="Arial" w:cs="Arial" w:eastAsia="Arial" w:hAnsi="Arial"/>
          <w:sz w:val="20"/>
          <w:szCs w:val="20"/>
          <w:i w:val="1"/>
          <w:iCs w:val="1"/>
          <w:color w:val="auto"/>
        </w:rPr>
        <w:t>Minimum Vesting Requirements.</w:t>
      </w:r>
      <w:r>
        <w:rPr>
          <w:rFonts w:ascii="Arial" w:cs="Arial" w:eastAsia="Arial" w:hAnsi="Arial"/>
          <w:sz w:val="20"/>
          <w:szCs w:val="20"/>
          <w:color w:val="auto"/>
        </w:rPr>
        <w:t xml:space="preserve"> Notwithstanding Sections 5(b)(i) or Section 6(e), with respect to Awards to any grant recipient:</w:t>
      </w:r>
    </w:p>
    <w:p>
      <w:pPr>
        <w:spacing w:after="0" w:line="100" w:lineRule="exact"/>
        <w:rPr>
          <w:sz w:val="20"/>
          <w:szCs w:val="20"/>
          <w:color w:val="auto"/>
        </w:rPr>
      </w:pPr>
    </w:p>
    <w:p>
      <w:pPr>
        <w:ind w:left="1500" w:right="259" w:hanging="319"/>
        <w:spacing w:after="0" w:line="276" w:lineRule="auto"/>
        <w:tabs>
          <w:tab w:leader="none" w:pos="15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first vesting, settlement, or lapse of forfeiture restrictions that is solely based on continued employment, service or the passage of time shall occur not sooner than one year after the date of grant;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487045</wp:posOffset>
            </wp:positionV>
            <wp:extent cx="545211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5" w:name="page86"/>
    <w:bookmarkEnd w:id="85"/>
    <w:p>
      <w:pPr>
        <w:ind w:left="1500" w:right="419" w:hanging="319"/>
        <w:spacing w:after="0" w:line="292" w:lineRule="auto"/>
        <w:tabs>
          <w:tab w:leader="none" w:pos="15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in the case of employee grant recipients, the completion of vesting, settlement, or lapse of forfeiture restrictions that is solely based on continued employment, service or the passage of time shall occur over not less than three years from the date of grant with respect to the full number of shares subject to such Award; and</w:t>
      </w:r>
    </w:p>
    <w:p>
      <w:pPr>
        <w:spacing w:after="0" w:line="84" w:lineRule="exact"/>
        <w:rPr>
          <w:rFonts w:ascii="Arial" w:cs="Arial" w:eastAsia="Arial" w:hAnsi="Arial"/>
          <w:sz w:val="19"/>
          <w:szCs w:val="19"/>
          <w:color w:val="auto"/>
        </w:rPr>
      </w:pPr>
    </w:p>
    <w:p>
      <w:pPr>
        <w:ind w:left="1500" w:right="339" w:hanging="319"/>
        <w:spacing w:after="0" w:line="276" w:lineRule="auto"/>
        <w:tabs>
          <w:tab w:leader="none" w:pos="15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vesting, settlement, or lapse of forfeiture restrictions that is based on the achievement of Performance Goals shall occur based on a Performance Period of at least one year;</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provided that the foregoing limitations shall not:</w:t>
      </w:r>
    </w:p>
    <w:p>
      <w:pPr>
        <w:spacing w:after="0" w:line="162" w:lineRule="exact"/>
        <w:rPr>
          <w:sz w:val="20"/>
          <w:szCs w:val="20"/>
          <w:color w:val="auto"/>
        </w:rPr>
      </w:pPr>
    </w:p>
    <w:p>
      <w:pPr>
        <w:ind w:left="420" w:right="1079" w:hanging="215"/>
        <w:spacing w:after="0" w:line="300" w:lineRule="auto"/>
        <w:rPr>
          <w:sz w:val="20"/>
          <w:szCs w:val="20"/>
          <w:color w:val="auto"/>
        </w:rPr>
      </w:pPr>
      <w:r>
        <w:rPr>
          <w:rFonts w:ascii="Arial" w:cs="Arial" w:eastAsia="Arial" w:hAnsi="Arial"/>
          <w:sz w:val="20"/>
          <w:szCs w:val="20"/>
          <w:color w:val="auto"/>
        </w:rPr>
        <w:t>(1)apply to Awards under this Plan that do not exceed an aggregate of 5% of the Awards authorized by this Plan;</w:t>
      </w:r>
    </w:p>
    <w:p>
      <w:pPr>
        <w:spacing w:after="0" w:line="73" w:lineRule="exact"/>
        <w:rPr>
          <w:sz w:val="20"/>
          <w:szCs w:val="20"/>
          <w:color w:val="auto"/>
        </w:rPr>
      </w:pPr>
    </w:p>
    <w:p>
      <w:pPr>
        <w:ind w:left="420" w:right="319" w:hanging="215"/>
        <w:spacing w:after="0" w:line="276" w:lineRule="auto"/>
        <w:rPr>
          <w:sz w:val="20"/>
          <w:szCs w:val="20"/>
          <w:color w:val="auto"/>
        </w:rPr>
      </w:pPr>
      <w:r>
        <w:rPr>
          <w:rFonts w:ascii="Arial" w:cs="Arial" w:eastAsia="Arial" w:hAnsi="Arial"/>
          <w:sz w:val="20"/>
          <w:szCs w:val="20"/>
          <w:color w:val="auto"/>
        </w:rPr>
        <w:t>(2)apply to vesting, settlement, or lapse of forfeiture restrictions in connection with the termination of employment or other service of a Participant by the Company or due to the Participant’s disability, death or retirement;</w:t>
      </w:r>
    </w:p>
    <w:p>
      <w:pPr>
        <w:spacing w:after="0" w:line="111" w:lineRule="exact"/>
        <w:rPr>
          <w:sz w:val="20"/>
          <w:szCs w:val="20"/>
          <w:color w:val="auto"/>
        </w:rPr>
      </w:pPr>
    </w:p>
    <w:p>
      <w:pPr>
        <w:ind w:left="420" w:right="539" w:hanging="215"/>
        <w:spacing w:after="0" w:line="286" w:lineRule="auto"/>
        <w:rPr>
          <w:sz w:val="20"/>
          <w:szCs w:val="20"/>
          <w:color w:val="auto"/>
        </w:rPr>
      </w:pPr>
      <w:r>
        <w:rPr>
          <w:rFonts w:ascii="Arial" w:cs="Arial" w:eastAsia="Arial" w:hAnsi="Arial"/>
          <w:sz w:val="20"/>
          <w:szCs w:val="20"/>
          <w:color w:val="auto"/>
        </w:rPr>
        <w:t>(3)preclude the Committee from exercising its discretion to accelerate the vesting of any Award upon a Transaction as contemplated by Section 5(b)(viii); or</w:t>
      </w:r>
    </w:p>
    <w:p>
      <w:pPr>
        <w:spacing w:after="0" w:line="86" w:lineRule="exact"/>
        <w:rPr>
          <w:sz w:val="20"/>
          <w:szCs w:val="20"/>
          <w:color w:val="auto"/>
        </w:rPr>
      </w:pPr>
    </w:p>
    <w:p>
      <w:pPr>
        <w:ind w:left="420" w:right="359" w:hanging="215"/>
        <w:spacing w:after="0" w:line="283" w:lineRule="auto"/>
        <w:rPr>
          <w:sz w:val="20"/>
          <w:szCs w:val="20"/>
          <w:color w:val="auto"/>
        </w:rPr>
      </w:pPr>
      <w:r>
        <w:rPr>
          <w:rFonts w:ascii="Arial" w:cs="Arial" w:eastAsia="Arial" w:hAnsi="Arial"/>
          <w:sz w:val="20"/>
          <w:szCs w:val="20"/>
          <w:color w:val="auto"/>
        </w:rPr>
        <w:t>(4)apply to Awards that are granted in exchange for (or in lieu of) the right to receive the payment of an equivalent amount of salary, bonus or other cash compensation, provided that such payment has been fully earned prior to the grant of such Awards.</w:t>
      </w:r>
    </w:p>
    <w:p>
      <w:pPr>
        <w:spacing w:after="0" w:line="91" w:lineRule="exact"/>
        <w:rPr>
          <w:sz w:val="20"/>
          <w:szCs w:val="20"/>
          <w:color w:val="auto"/>
        </w:rPr>
      </w:pPr>
    </w:p>
    <w:p>
      <w:pPr>
        <w:ind w:left="420" w:right="239" w:hanging="202"/>
        <w:spacing w:after="0" w:line="266" w:lineRule="auto"/>
        <w:rPr>
          <w:sz w:val="20"/>
          <w:szCs w:val="20"/>
          <w:color w:val="auto"/>
        </w:rPr>
      </w:pPr>
      <w:r>
        <w:rPr>
          <w:rFonts w:ascii="Arial" w:cs="Arial" w:eastAsia="Arial" w:hAnsi="Arial"/>
          <w:sz w:val="20"/>
          <w:szCs w:val="20"/>
          <w:color w:val="auto"/>
        </w:rPr>
        <w:t>(v)</w:t>
      </w:r>
      <w:r>
        <w:rPr>
          <w:rFonts w:ascii="Arial" w:cs="Arial" w:eastAsia="Arial" w:hAnsi="Arial"/>
          <w:sz w:val="20"/>
          <w:szCs w:val="20"/>
          <w:i w:val="1"/>
          <w:iCs w:val="1"/>
          <w:color w:val="auto"/>
        </w:rPr>
        <w:t>Payment of Exercise Price.</w:t>
      </w:r>
      <w:r>
        <w:rPr>
          <w:rFonts w:ascii="Arial" w:cs="Arial" w:eastAsia="Arial" w:hAnsi="Arial"/>
          <w:sz w:val="20"/>
          <w:szCs w:val="20"/>
          <w:color w:val="auto"/>
        </w:rPr>
        <w:t xml:space="preserve"> The Committee shall determine the form of consideration and manner of payment of the exercise price, if any, of any Award. Without limiting the foregoing, the Committee may, subject to applicable law, permit such payment to be made in whole or in part in cash or by surrender of shares of Common Stock (which may be shares retained from the respective Award or any other Award) valued at their Fair Market Value on the date of surrender, or such other lawful consideration, including a payment commitment of a financial or brokerage institution, as the Committee may determine. The Company may accept, in lieu of actual delivery of stock certificates, an attestation by the Participant in form acceptable to the Committee that he or she owns of record the shares to be tendered free and clear of claims and other encumbrances.</w:t>
      </w:r>
    </w:p>
    <w:p>
      <w:pPr>
        <w:spacing w:after="0" w:line="111" w:lineRule="exact"/>
        <w:rPr>
          <w:sz w:val="20"/>
          <w:szCs w:val="20"/>
          <w:color w:val="auto"/>
        </w:rPr>
      </w:pPr>
    </w:p>
    <w:p>
      <w:pPr>
        <w:ind w:left="460" w:right="239" w:hanging="242"/>
        <w:spacing w:after="0" w:line="265" w:lineRule="auto"/>
        <w:rPr>
          <w:sz w:val="20"/>
          <w:szCs w:val="20"/>
          <w:color w:val="auto"/>
        </w:rPr>
      </w:pPr>
      <w:r>
        <w:rPr>
          <w:rFonts w:ascii="Arial" w:cs="Arial" w:eastAsia="Arial" w:hAnsi="Arial"/>
          <w:sz w:val="20"/>
          <w:szCs w:val="20"/>
          <w:color w:val="auto"/>
        </w:rPr>
        <w:t>(vi)</w:t>
      </w:r>
      <w:r>
        <w:rPr>
          <w:rFonts w:ascii="Arial" w:cs="Arial" w:eastAsia="Arial" w:hAnsi="Arial"/>
          <w:sz w:val="20"/>
          <w:szCs w:val="20"/>
          <w:i w:val="1"/>
          <w:iCs w:val="1"/>
          <w:color w:val="auto"/>
        </w:rPr>
        <w:t>Dividends.</w:t>
      </w:r>
      <w:r>
        <w:rPr>
          <w:rFonts w:ascii="Arial" w:cs="Arial" w:eastAsia="Arial" w:hAnsi="Arial"/>
          <w:sz w:val="20"/>
          <w:szCs w:val="20"/>
          <w:color w:val="auto"/>
        </w:rPr>
        <w:t xml:space="preserve"> In the discretion of the Committee, any Award may provide that dividends or dividend equivalents on shares of Common Stock underlying the Award may be credited to the Participant prior to the issuance of such shares of Common Stock upon vesting, or upon vesting and exercise, if applicable. However, such dividends or dividend equivalents may be paid to the Participant (in cash, in shares of Common Stock, or in the form of Awards under the Plan, as specified by the Committee) with or without interest as determined by the Committee only if, when and to the extent such Award vests and shares of Common Stock are issued upon vesting or upon vesting and exercise, if applicable. The value of dividends or other distributions credited with respect to shares of Common Stock underlying an Award that are not issued prior to the expiration of the Award shall be forfeited.</w:t>
      </w:r>
    </w:p>
    <w:p>
      <w:pPr>
        <w:spacing w:after="0" w:line="120" w:lineRule="exact"/>
        <w:rPr>
          <w:sz w:val="20"/>
          <w:szCs w:val="20"/>
          <w:color w:val="auto"/>
        </w:rPr>
      </w:pPr>
    </w:p>
    <w:p>
      <w:pPr>
        <w:ind w:left="500" w:right="219" w:hanging="296"/>
        <w:spacing w:after="0" w:line="268" w:lineRule="auto"/>
        <w:rPr>
          <w:sz w:val="20"/>
          <w:szCs w:val="20"/>
          <w:color w:val="auto"/>
        </w:rPr>
      </w:pPr>
      <w:r>
        <w:rPr>
          <w:rFonts w:ascii="Arial" w:cs="Arial" w:eastAsia="Arial" w:hAnsi="Arial"/>
          <w:sz w:val="20"/>
          <w:szCs w:val="20"/>
          <w:color w:val="auto"/>
        </w:rPr>
        <w:t>(vii)</w:t>
      </w:r>
      <w:r>
        <w:rPr>
          <w:rFonts w:ascii="Arial" w:cs="Arial" w:eastAsia="Arial" w:hAnsi="Arial"/>
          <w:sz w:val="20"/>
          <w:szCs w:val="20"/>
          <w:i w:val="1"/>
          <w:iCs w:val="1"/>
          <w:color w:val="auto"/>
        </w:rPr>
        <w:t>Termination and Forfeiture.</w:t>
      </w:r>
      <w:r>
        <w:rPr>
          <w:rFonts w:ascii="Arial" w:cs="Arial" w:eastAsia="Arial" w:hAnsi="Arial"/>
          <w:sz w:val="20"/>
          <w:szCs w:val="20"/>
          <w:color w:val="auto"/>
        </w:rPr>
        <w:t xml:space="preserve"> The terms of any Award may include such continuing provisions for termination of the Award and/or forfeiture or recapture of any shares, cash or other property previously issued pursuant thereto relating to competition or other activity or circumstances detrimental to the Company as the Committee may determine to be in the Company’s best interests. Without limiting the foregoing, the terms of any Award shall be subject to, and shall be deemed automatically amended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6" w:name="page87"/>
    <w:bookmarkEnd w:id="86"/>
    <w:p>
      <w:pPr>
        <w:ind w:left="500" w:right="679"/>
        <w:spacing w:after="0" w:line="300" w:lineRule="auto"/>
        <w:rPr>
          <w:sz w:val="20"/>
          <w:szCs w:val="20"/>
          <w:color w:val="auto"/>
        </w:rPr>
      </w:pPr>
      <w:r>
        <w:rPr>
          <w:rFonts w:ascii="Arial" w:cs="Arial" w:eastAsia="Arial" w:hAnsi="Arial"/>
          <w:sz w:val="20"/>
          <w:szCs w:val="20"/>
          <w:color w:val="auto"/>
        </w:rPr>
        <w:t>incorporate, any “clawback,” “recapture,” or similar policy adopted by the Company and in effect before or after the grant of such Award.</w:t>
      </w:r>
    </w:p>
    <w:p>
      <w:pPr>
        <w:spacing w:after="0" w:line="73" w:lineRule="exact"/>
        <w:rPr>
          <w:sz w:val="20"/>
          <w:szCs w:val="20"/>
          <w:color w:val="auto"/>
        </w:rPr>
      </w:pPr>
    </w:p>
    <w:p>
      <w:pPr>
        <w:ind w:left="540" w:right="239" w:hanging="337"/>
        <w:spacing w:after="0" w:line="262" w:lineRule="auto"/>
        <w:rPr>
          <w:sz w:val="20"/>
          <w:szCs w:val="20"/>
          <w:color w:val="auto"/>
        </w:rPr>
      </w:pPr>
      <w:r>
        <w:rPr>
          <w:rFonts w:ascii="Arial" w:cs="Arial" w:eastAsia="Arial" w:hAnsi="Arial"/>
          <w:sz w:val="20"/>
          <w:szCs w:val="20"/>
          <w:color w:val="auto"/>
        </w:rPr>
        <w:t>(viii)</w:t>
      </w:r>
      <w:r>
        <w:rPr>
          <w:rFonts w:ascii="Arial" w:cs="Arial" w:eastAsia="Arial" w:hAnsi="Arial"/>
          <w:sz w:val="20"/>
          <w:szCs w:val="20"/>
          <w:i w:val="1"/>
          <w:iCs w:val="1"/>
          <w:color w:val="auto"/>
        </w:rPr>
        <w:t>Certain Extraordinary Transactions.</w:t>
      </w:r>
      <w:r>
        <w:rPr>
          <w:rFonts w:ascii="Arial" w:cs="Arial" w:eastAsia="Arial" w:hAnsi="Arial"/>
          <w:sz w:val="20"/>
          <w:szCs w:val="20"/>
          <w:color w:val="auto"/>
        </w:rPr>
        <w:t xml:space="preserve"> The Committee may in its discretion provide, at the time of grant or at any time thereafter, that in the case of any recapitalization, stock acquisition, merger, consolidation or other form of corporate transaction in which a company other than the Company is the surviving, continuing, successor or purchasing entity (a “Transaction”), the surviving, continuing, successor or purchasing entity or a parent or subsidiary of such entity may, without the consent of the Participant, assume the Company’s rights and obligations under any Award or portion thereof outstanding immediately before the Transaction or substitute for any such outstanding Award or portion thereof a substantially equivalent award with respect to such entity’s own stock or other property or cash, in either case with equitable adjustments in the number and type of shares or other assets subject to the Awards and the exercise, purchase or conversion price with respect to any Award, in light of the consideration received by the Company’s stockholders in the Transaction. Any such Award that is not so assumed or substituted for shall terminate upon the consummation of such Transaction on such terms, if any, as the Committee shall provide. Notwithstanding the foregoing, if the stockholders of the Company receive consideration that is all or predominantly cash in exchange for their shares of common Stock in a Transaction, then, in order to preserve the Participants’ rights under outstanding Awards, the Committee shall, without the need for consent of any Participant, either (A) cause any unexercisable or unvested portion of an Award outstanding immediately before the Transaction to become fully exercisable and vested prior to such Transaction (but effective only on consummation of the Transaction), and any Options and Stock Appreciation Rights that have not been exercised as of the consummation of the Transaction shall thereupon terminate or (B) provide for payment to the Participant of cash, stock of another entity party to the Transaction, or other property with a Fair Market Value equal to the amount, if any, that would have been received upon the vesting, exercise, settlement, or transferability of the Award had any unexercisable or unvested portion of the Award become fully exercisable and vested and the Award been exercised or paid in connection with the Transaction, reduced (but not below zero) by the exercise or purchase price per share, if any, under such Award, whereupon the Award shall terminate. If any portion of such consideration may be received by Company’s stockholders in the Transaction on a contingent or delayed basis, the Committee may, in its sole discretion, determine such Fair Market Value per share as of the time of the Transaction on the basis of the Committee’s good faith estimate of the present value of the probable amount of future payment of such consideration.</w:t>
      </w:r>
    </w:p>
    <w:p>
      <w:pPr>
        <w:spacing w:after="0" w:line="22" w:lineRule="exact"/>
        <w:rPr>
          <w:sz w:val="20"/>
          <w:szCs w:val="20"/>
          <w:color w:val="auto"/>
        </w:rPr>
      </w:pPr>
    </w:p>
    <w:p>
      <w:pPr>
        <w:ind w:left="200" w:right="239"/>
        <w:spacing w:after="0" w:line="267" w:lineRule="auto"/>
        <w:rPr>
          <w:sz w:val="20"/>
          <w:szCs w:val="20"/>
          <w:color w:val="auto"/>
        </w:rPr>
      </w:pPr>
      <w:r>
        <w:rPr>
          <w:rFonts w:ascii="Arial" w:cs="Arial" w:eastAsia="Arial" w:hAnsi="Arial"/>
          <w:sz w:val="20"/>
          <w:szCs w:val="20"/>
          <w:color w:val="auto"/>
        </w:rPr>
        <w:t>In the event of a recapitalization, stock acquisition, merger, consolidation or other form of corporate transaction in which the Company is the surviving, continuing, successor or purchasing entity, the Committee may make equitable adjustments to outstanding Awards pursuant to Section 4(b).</w:t>
      </w:r>
    </w:p>
    <w:p>
      <w:pPr>
        <w:spacing w:after="0" w:line="120" w:lineRule="exact"/>
        <w:rPr>
          <w:sz w:val="20"/>
          <w:szCs w:val="20"/>
          <w:color w:val="auto"/>
        </w:rPr>
      </w:pPr>
    </w:p>
    <w:p>
      <w:pPr>
        <w:ind w:left="460" w:right="359" w:hanging="242"/>
        <w:spacing w:after="0" w:line="268" w:lineRule="auto"/>
        <w:rPr>
          <w:sz w:val="20"/>
          <w:szCs w:val="20"/>
          <w:color w:val="auto"/>
        </w:rPr>
      </w:pPr>
      <w:r>
        <w:rPr>
          <w:rFonts w:ascii="Arial" w:cs="Arial" w:eastAsia="Arial" w:hAnsi="Arial"/>
          <w:sz w:val="20"/>
          <w:szCs w:val="20"/>
          <w:color w:val="auto"/>
        </w:rPr>
        <w:t>(ix)</w:t>
      </w:r>
      <w:r>
        <w:rPr>
          <w:rFonts w:ascii="Arial" w:cs="Arial" w:eastAsia="Arial" w:hAnsi="Arial"/>
          <w:sz w:val="20"/>
          <w:szCs w:val="20"/>
          <w:i w:val="1"/>
          <w:iCs w:val="1"/>
          <w:color w:val="auto"/>
        </w:rPr>
        <w:t>Documentation.</w:t>
      </w:r>
      <w:r>
        <w:rPr>
          <w:rFonts w:ascii="Arial" w:cs="Arial" w:eastAsia="Arial" w:hAnsi="Arial"/>
          <w:sz w:val="20"/>
          <w:szCs w:val="20"/>
          <w:color w:val="auto"/>
        </w:rPr>
        <w:t xml:space="preserve"> Each Award under the Plan shall be evidenced by documentation in the form prescribed from time to time by the Committee and delivered to or executed and delivered by the Participant specifying the terms and conditions of the Award and con</w:t>
      </w:r>
      <w:r>
        <w:rPr>
          <w:rFonts w:ascii="Arial" w:cs="Arial" w:eastAsia="Arial" w:hAnsi="Arial"/>
          <w:sz w:val="20"/>
          <w:szCs w:val="20"/>
          <w:i w:val="1"/>
          <w:iCs w:val="1"/>
          <w:color w:val="auto"/>
        </w:rPr>
        <w:t>t</w:t>
      </w:r>
      <w:r>
        <w:rPr>
          <w:rFonts w:ascii="Arial" w:cs="Arial" w:eastAsia="Arial" w:hAnsi="Arial"/>
          <w:sz w:val="20"/>
          <w:szCs w:val="20"/>
          <w:color w:val="auto"/>
        </w:rPr>
        <w:t>aining such other terms and conditions not inconsistent with the provisions hereof as the Committee considers necessary or advisable to achieve the purposes of the Plan or to comply with applicable law and accounting principles. Any such documentation may be maintained solely in electronic format.</w:t>
      </w:r>
    </w:p>
    <w:p>
      <w:pPr>
        <w:spacing w:after="0" w:line="106" w:lineRule="exact"/>
        <w:rPr>
          <w:sz w:val="20"/>
          <w:szCs w:val="20"/>
          <w:color w:val="auto"/>
        </w:rPr>
      </w:pPr>
    </w:p>
    <w:p>
      <w:pPr>
        <w:ind w:left="420" w:right="579" w:hanging="202"/>
        <w:spacing w:after="0" w:line="276" w:lineRule="auto"/>
        <w:rPr>
          <w:sz w:val="20"/>
          <w:szCs w:val="20"/>
          <w:color w:val="auto"/>
        </w:rPr>
      </w:pPr>
      <w:r>
        <w:rPr>
          <w:rFonts w:ascii="Arial" w:cs="Arial" w:eastAsia="Arial" w:hAnsi="Arial"/>
          <w:sz w:val="20"/>
          <w:szCs w:val="20"/>
          <w:color w:val="auto"/>
        </w:rPr>
        <w:t>(x)</w:t>
      </w:r>
      <w:r>
        <w:rPr>
          <w:rFonts w:ascii="Arial" w:cs="Arial" w:eastAsia="Arial" w:hAnsi="Arial"/>
          <w:sz w:val="20"/>
          <w:szCs w:val="20"/>
          <w:i w:val="1"/>
          <w:iCs w:val="1"/>
          <w:color w:val="auto"/>
        </w:rPr>
        <w:t>In General.</w:t>
      </w:r>
      <w:r>
        <w:rPr>
          <w:rFonts w:ascii="Arial" w:cs="Arial" w:eastAsia="Arial" w:hAnsi="Arial"/>
          <w:sz w:val="20"/>
          <w:szCs w:val="20"/>
          <w:color w:val="auto"/>
        </w:rPr>
        <w:t xml:space="preserve"> Any Award may be made alone, in addition to, or in relation to any other Award. The terms of Awards of each type need not be identical, and the Committee need not treat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7" w:name="page88"/>
    <w:bookmarkEnd w:id="87"/>
    <w:p>
      <w:pPr>
        <w:ind w:left="420" w:right="259"/>
        <w:spacing w:after="0" w:line="268" w:lineRule="auto"/>
        <w:rPr>
          <w:sz w:val="20"/>
          <w:szCs w:val="20"/>
          <w:color w:val="auto"/>
        </w:rPr>
      </w:pPr>
      <w:r>
        <w:rPr>
          <w:rFonts w:ascii="Arial" w:cs="Arial" w:eastAsia="Arial" w:hAnsi="Arial"/>
          <w:sz w:val="20"/>
          <w:szCs w:val="20"/>
          <w:color w:val="auto"/>
        </w:rPr>
        <w:t>uniformly. No Award shall be transferable except upon such terms and conditions and to such extent as the Committee determines, provided that no Award shall be transferable for value and Incentive Stock Options may be transferable only to the extent permitted by the Code. No Award to any Participant subject to United States income taxation shall provide for the deferral of compensation that does not comply with Section 409A of the Code. The achievement or satisfaction of any Performance Goals, restrictions or other conditions to vesting, exercise, settlement, or transferability of an Award shall be determined by the Committee.</w:t>
      </w:r>
    </w:p>
    <w:p>
      <w:pPr>
        <w:spacing w:after="0" w:line="106" w:lineRule="exact"/>
        <w:rPr>
          <w:sz w:val="20"/>
          <w:szCs w:val="20"/>
          <w:color w:val="auto"/>
        </w:rPr>
      </w:pPr>
    </w:p>
    <w:p>
      <w:pPr>
        <w:ind w:left="200" w:right="699" w:firstLine="4"/>
        <w:spacing w:after="0" w:line="270" w:lineRule="auto"/>
        <w:tabs>
          <w:tab w:leader="none" w:pos="541" w:val="left"/>
        </w:tabs>
        <w:numPr>
          <w:ilvl w:val="1"/>
          <w:numId w:val="74"/>
        </w:numPr>
        <w:rPr>
          <w:rFonts w:ascii="Arial" w:cs="Arial" w:eastAsia="Arial" w:hAnsi="Arial"/>
          <w:sz w:val="20"/>
          <w:szCs w:val="20"/>
          <w:color w:val="auto"/>
        </w:rPr>
      </w:pPr>
      <w:r>
        <w:rPr>
          <w:rFonts w:ascii="Arial" w:cs="Arial" w:eastAsia="Arial" w:hAnsi="Arial"/>
          <w:sz w:val="20"/>
          <w:szCs w:val="20"/>
          <w:i w:val="1"/>
          <w:iCs w:val="1"/>
          <w:color w:val="auto"/>
        </w:rPr>
        <w:t xml:space="preserve">Limit on Individual Grants. </w:t>
      </w:r>
      <w:r>
        <w:rPr>
          <w:rFonts w:ascii="Arial" w:cs="Arial" w:eastAsia="Arial" w:hAnsi="Arial"/>
          <w:sz w:val="20"/>
          <w:szCs w:val="20"/>
          <w:color w:val="auto"/>
        </w:rPr>
        <w:t>The maximum number of shares of Common Stock subject to</w:t>
      </w:r>
      <w:r>
        <w:rPr>
          <w:rFonts w:ascii="Arial" w:cs="Arial" w:eastAsia="Arial" w:hAnsi="Arial"/>
          <w:sz w:val="20"/>
          <w:szCs w:val="20"/>
          <w:i w:val="1"/>
          <w:iCs w:val="1"/>
          <w:color w:val="auto"/>
        </w:rPr>
        <w:t xml:space="preserve"> </w:t>
      </w:r>
      <w:r>
        <w:rPr>
          <w:rFonts w:ascii="Arial" w:cs="Arial" w:eastAsia="Arial" w:hAnsi="Arial"/>
          <w:sz w:val="20"/>
          <w:szCs w:val="20"/>
          <w:color w:val="auto"/>
        </w:rPr>
        <w:t>Options,</w:t>
      </w:r>
    </w:p>
    <w:p>
      <w:pPr>
        <w:ind w:left="200" w:right="359"/>
        <w:spacing w:after="0" w:line="270" w:lineRule="auto"/>
        <w:rPr>
          <w:rFonts w:ascii="Arial" w:cs="Arial" w:eastAsia="Arial" w:hAnsi="Arial"/>
          <w:sz w:val="20"/>
          <w:szCs w:val="20"/>
          <w:color w:val="auto"/>
        </w:rPr>
      </w:pPr>
      <w:r>
        <w:rPr>
          <w:rFonts w:ascii="Arial" w:cs="Arial" w:eastAsia="Arial" w:hAnsi="Arial"/>
          <w:sz w:val="20"/>
          <w:szCs w:val="20"/>
          <w:color w:val="auto"/>
        </w:rPr>
        <w:t>Stock Appreciation Rights and other Awards intended to satisfy the requirements for “performance-based compensation” within the meaning of Section 162(m) of the Code that may be granted to a Participant in any fiscal year may not exceed 312,500 shares, subject to adjustment under subsection 4(b). In the case of any performance-based Awards settled in cash, no more than $1,000,000 may be paid to any Participant with respect to any one year of a Performance Period.</w:t>
      </w:r>
    </w:p>
    <w:p>
      <w:pPr>
        <w:spacing w:after="0" w:line="103" w:lineRule="exact"/>
        <w:rPr>
          <w:rFonts w:ascii="Arial" w:cs="Arial" w:eastAsia="Arial" w:hAnsi="Arial"/>
          <w:sz w:val="20"/>
          <w:szCs w:val="20"/>
          <w:color w:val="auto"/>
        </w:rPr>
      </w:pPr>
    </w:p>
    <w:p>
      <w:pPr>
        <w:ind w:left="840" w:hanging="645"/>
        <w:spacing w:after="0"/>
        <w:tabs>
          <w:tab w:leader="none" w:pos="840"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General Provisions</w:t>
      </w:r>
      <w:r>
        <w:rPr>
          <w:rFonts w:ascii="Arial" w:cs="Arial" w:eastAsia="Arial" w:hAnsi="Arial"/>
          <w:sz w:val="20"/>
          <w:szCs w:val="20"/>
          <w:color w:val="auto"/>
        </w:rPr>
        <w:t>.</w:t>
      </w:r>
    </w:p>
    <w:p>
      <w:pPr>
        <w:spacing w:after="0" w:line="161" w:lineRule="exact"/>
        <w:rPr>
          <w:rFonts w:ascii="Arial" w:cs="Arial" w:eastAsia="Arial" w:hAnsi="Arial"/>
          <w:sz w:val="20"/>
          <w:szCs w:val="20"/>
          <w:i w:val="1"/>
          <w:iCs w:val="1"/>
          <w:color w:val="auto"/>
        </w:rPr>
      </w:pPr>
    </w:p>
    <w:p>
      <w:pPr>
        <w:ind w:left="520" w:right="239" w:hanging="311"/>
        <w:spacing w:after="0" w:line="266" w:lineRule="auto"/>
        <w:tabs>
          <w:tab w:leader="none" w:pos="520" w:val="left"/>
        </w:tabs>
        <w:numPr>
          <w:ilvl w:val="1"/>
          <w:numId w:val="75"/>
        </w:numPr>
        <w:rPr>
          <w:rFonts w:ascii="Arial" w:cs="Arial" w:eastAsia="Arial" w:hAnsi="Arial"/>
          <w:sz w:val="20"/>
          <w:szCs w:val="20"/>
          <w:color w:val="auto"/>
        </w:rPr>
      </w:pPr>
      <w:r>
        <w:rPr>
          <w:rFonts w:ascii="Arial" w:cs="Arial" w:eastAsia="Arial" w:hAnsi="Arial"/>
          <w:sz w:val="20"/>
          <w:szCs w:val="20"/>
          <w:i w:val="1"/>
          <w:iCs w:val="1"/>
          <w:color w:val="auto"/>
        </w:rPr>
        <w:t xml:space="preserve">Tax Withholding. </w:t>
      </w:r>
      <w:r>
        <w:rPr>
          <w:rFonts w:ascii="Arial" w:cs="Arial" w:eastAsia="Arial" w:hAnsi="Arial"/>
          <w:sz w:val="20"/>
          <w:szCs w:val="20"/>
          <w:color w:val="auto"/>
        </w:rPr>
        <w:t>A Participant shall pay to the Company or make provision satisfactory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Committee for payment of any taxes required by law to be withheld in respect of Awards under the Plan no later than the date of the event creating the tax liability. The Company and its Affiliates may, to the extent permitted by law, deduct any such tax obligations from any payment of any kind due to the Participant under the Plan or otherwise. In the Committee’s discretion, the minimum tax obligations required by law to be withheld in respect of Awards may be paid in whole or in part in shares of Common Stock, including shares retained from the Award creating the tax obligation, valued at their Fair Market Value on the date of retention or delivery.</w:t>
      </w:r>
    </w:p>
    <w:p>
      <w:pPr>
        <w:spacing w:after="0" w:line="108" w:lineRule="exact"/>
        <w:rPr>
          <w:rFonts w:ascii="Arial" w:cs="Arial" w:eastAsia="Arial" w:hAnsi="Arial"/>
          <w:sz w:val="20"/>
          <w:szCs w:val="20"/>
          <w:color w:val="auto"/>
        </w:rPr>
      </w:pPr>
    </w:p>
    <w:p>
      <w:pPr>
        <w:ind w:left="520" w:right="279" w:hanging="311"/>
        <w:spacing w:after="0" w:line="268" w:lineRule="auto"/>
        <w:tabs>
          <w:tab w:leader="none" w:pos="520" w:val="left"/>
        </w:tabs>
        <w:numPr>
          <w:ilvl w:val="1"/>
          <w:numId w:val="75"/>
        </w:numPr>
        <w:rPr>
          <w:rFonts w:ascii="Arial" w:cs="Arial" w:eastAsia="Arial" w:hAnsi="Arial"/>
          <w:sz w:val="20"/>
          <w:szCs w:val="20"/>
          <w:color w:val="auto"/>
        </w:rPr>
      </w:pPr>
      <w:r>
        <w:rPr>
          <w:rFonts w:ascii="Arial" w:cs="Arial" w:eastAsia="Arial" w:hAnsi="Arial"/>
          <w:sz w:val="20"/>
          <w:szCs w:val="20"/>
          <w:i w:val="1"/>
          <w:iCs w:val="1"/>
          <w:color w:val="auto"/>
        </w:rPr>
        <w:t xml:space="preserve">Legal Compliance. </w:t>
      </w:r>
      <w:r>
        <w:rPr>
          <w:rFonts w:ascii="Arial" w:cs="Arial" w:eastAsia="Arial" w:hAnsi="Arial"/>
          <w:sz w:val="20"/>
          <w:szCs w:val="20"/>
          <w:color w:val="auto"/>
        </w:rPr>
        <w:t>The Company shall not be required to issue any shares of Common Stock</w:t>
      </w:r>
      <w:r>
        <w:rPr>
          <w:rFonts w:ascii="Arial" w:cs="Arial" w:eastAsia="Arial" w:hAnsi="Arial"/>
          <w:sz w:val="20"/>
          <w:szCs w:val="20"/>
          <w:i w:val="1"/>
          <w:iCs w:val="1"/>
          <w:color w:val="auto"/>
        </w:rPr>
        <w:t xml:space="preserve"> </w:t>
      </w:r>
      <w:r>
        <w:rPr>
          <w:rFonts w:ascii="Arial" w:cs="Arial" w:eastAsia="Arial" w:hAnsi="Arial"/>
          <w:sz w:val="20"/>
          <w:szCs w:val="20"/>
          <w:color w:val="auto"/>
        </w:rPr>
        <w:t>or take any other action pursuant to the Plan unless the Company is satisfied that all requirements of law, or of any stock exchange on which the Common Stock is then listed, in connection therewith have been or will be complied with, and the Committee may impose any restrictions on the rights of Participants hereunder as it shall deem necessary or advisable to comply with any such requirements.</w:t>
      </w:r>
    </w:p>
    <w:p>
      <w:pPr>
        <w:spacing w:after="0" w:line="119" w:lineRule="exact"/>
        <w:rPr>
          <w:rFonts w:ascii="Arial" w:cs="Arial" w:eastAsia="Arial" w:hAnsi="Arial"/>
          <w:sz w:val="20"/>
          <w:szCs w:val="20"/>
          <w:color w:val="auto"/>
        </w:rPr>
      </w:pPr>
    </w:p>
    <w:p>
      <w:pPr>
        <w:ind w:left="520" w:right="379" w:hanging="311"/>
        <w:spacing w:after="0" w:line="268" w:lineRule="auto"/>
        <w:tabs>
          <w:tab w:leader="none" w:pos="520" w:val="left"/>
        </w:tabs>
        <w:numPr>
          <w:ilvl w:val="1"/>
          <w:numId w:val="75"/>
        </w:numPr>
        <w:rPr>
          <w:rFonts w:ascii="Arial" w:cs="Arial" w:eastAsia="Arial" w:hAnsi="Arial"/>
          <w:sz w:val="20"/>
          <w:szCs w:val="20"/>
          <w:color w:val="auto"/>
        </w:rPr>
      </w:pPr>
      <w:r>
        <w:rPr>
          <w:rFonts w:ascii="Arial" w:cs="Arial" w:eastAsia="Arial" w:hAnsi="Arial"/>
          <w:sz w:val="20"/>
          <w:szCs w:val="20"/>
          <w:i w:val="1"/>
          <w:iCs w:val="1"/>
          <w:color w:val="auto"/>
        </w:rPr>
        <w:t xml:space="preserve">Non-US Participants. </w:t>
      </w:r>
      <w:r>
        <w:rPr>
          <w:rFonts w:ascii="Arial" w:cs="Arial" w:eastAsia="Arial" w:hAnsi="Arial"/>
          <w:sz w:val="20"/>
          <w:szCs w:val="20"/>
          <w:color w:val="auto"/>
        </w:rPr>
        <w:t>Awards may be made to Participants who are non-US nationals or</w:t>
      </w:r>
      <w:r>
        <w:rPr>
          <w:rFonts w:ascii="Arial" w:cs="Arial" w:eastAsia="Arial" w:hAnsi="Arial"/>
          <w:sz w:val="20"/>
          <w:szCs w:val="20"/>
          <w:i w:val="1"/>
          <w:iCs w:val="1"/>
          <w:color w:val="auto"/>
        </w:rPr>
        <w:t xml:space="preserve"> </w:t>
      </w:r>
      <w:r>
        <w:rPr>
          <w:rFonts w:ascii="Arial" w:cs="Arial" w:eastAsia="Arial" w:hAnsi="Arial"/>
          <w:sz w:val="20"/>
          <w:szCs w:val="20"/>
          <w:color w:val="auto"/>
        </w:rPr>
        <w:t>employed outside the United States on such terms and conditions different from those specified herein as the Committee considers necessary or advisable to achieve the purposes of the Plan or to comply with applicable laws. To the extent necessary or desirable, the Committee may adopt sub-plans under this Plan, addressing Awards to non-US nationals or employees.</w:t>
      </w:r>
    </w:p>
    <w:p>
      <w:pPr>
        <w:spacing w:after="0" w:line="106" w:lineRule="exact"/>
        <w:rPr>
          <w:rFonts w:ascii="Arial" w:cs="Arial" w:eastAsia="Arial" w:hAnsi="Arial"/>
          <w:sz w:val="20"/>
          <w:szCs w:val="20"/>
          <w:color w:val="auto"/>
        </w:rPr>
      </w:pPr>
    </w:p>
    <w:p>
      <w:pPr>
        <w:ind w:left="520" w:right="299" w:hanging="311"/>
        <w:spacing w:after="0" w:line="272" w:lineRule="auto"/>
        <w:tabs>
          <w:tab w:leader="none" w:pos="520" w:val="left"/>
        </w:tabs>
        <w:numPr>
          <w:ilvl w:val="1"/>
          <w:numId w:val="75"/>
        </w:numPr>
        <w:rPr>
          <w:rFonts w:ascii="Arial" w:cs="Arial" w:eastAsia="Arial" w:hAnsi="Arial"/>
          <w:sz w:val="20"/>
          <w:szCs w:val="20"/>
          <w:color w:val="auto"/>
        </w:rPr>
      </w:pPr>
      <w:r>
        <w:rPr>
          <w:rFonts w:ascii="Arial" w:cs="Arial" w:eastAsia="Arial" w:hAnsi="Arial"/>
          <w:sz w:val="20"/>
          <w:szCs w:val="20"/>
          <w:i w:val="1"/>
          <w:iCs w:val="1"/>
          <w:color w:val="auto"/>
        </w:rPr>
        <w:t xml:space="preserve">Awards Not Includable for Benefit Purposes. </w:t>
      </w:r>
      <w:r>
        <w:rPr>
          <w:rFonts w:ascii="Arial" w:cs="Arial" w:eastAsia="Arial" w:hAnsi="Arial"/>
          <w:sz w:val="20"/>
          <w:szCs w:val="20"/>
          <w:color w:val="auto"/>
        </w:rPr>
        <w:t>Awards and other payments received by a</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 pursuant to the provisions of the Plan shall not be included in the determination of benefits under any pension, group insurance or other benefit plan applicable to the Participant which is maintained by the Company or any of its Affiliates, except as may be provided under the terms of such plans or determined by the Board.</w:t>
      </w:r>
    </w:p>
    <w:p>
      <w:pPr>
        <w:spacing w:after="0" w:line="100" w:lineRule="exact"/>
        <w:rPr>
          <w:rFonts w:ascii="Arial" w:cs="Arial" w:eastAsia="Arial" w:hAnsi="Arial"/>
          <w:sz w:val="20"/>
          <w:szCs w:val="20"/>
          <w:color w:val="auto"/>
        </w:rPr>
      </w:pPr>
    </w:p>
    <w:p>
      <w:pPr>
        <w:ind w:left="520" w:hanging="311"/>
        <w:spacing w:after="0"/>
        <w:tabs>
          <w:tab w:leader="none" w:pos="520" w:val="left"/>
        </w:tabs>
        <w:numPr>
          <w:ilvl w:val="1"/>
          <w:numId w:val="75"/>
        </w:numPr>
        <w:rPr>
          <w:rFonts w:ascii="Arial" w:cs="Arial" w:eastAsia="Arial" w:hAnsi="Arial"/>
          <w:sz w:val="20"/>
          <w:szCs w:val="20"/>
          <w:color w:val="auto"/>
        </w:rPr>
      </w:pPr>
      <w:r>
        <w:rPr>
          <w:rFonts w:ascii="Arial" w:cs="Arial" w:eastAsia="Arial" w:hAnsi="Arial"/>
          <w:sz w:val="20"/>
          <w:szCs w:val="20"/>
          <w:i w:val="1"/>
          <w:iCs w:val="1"/>
          <w:color w:val="auto"/>
        </w:rPr>
        <w:t>Amendment, Exchange and Repurchase of Awards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365125</wp:posOffset>
            </wp:positionV>
            <wp:extent cx="54521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8" w:name="page89"/>
    <w:bookmarkEnd w:id="88"/>
    <w:p>
      <w:pPr>
        <w:ind w:left="860" w:right="359" w:hanging="651"/>
        <w:spacing w:after="0" w:line="268" w:lineRule="auto"/>
        <w:tabs>
          <w:tab w:leader="none" w:pos="860" w:val="left"/>
        </w:tabs>
        <w:numPr>
          <w:ilvl w:val="2"/>
          <w:numId w:val="76"/>
        </w:numPr>
        <w:rPr>
          <w:rFonts w:ascii="Arial" w:cs="Arial" w:eastAsia="Arial" w:hAnsi="Arial"/>
          <w:sz w:val="20"/>
          <w:szCs w:val="20"/>
          <w:color w:val="auto"/>
        </w:rPr>
      </w:pPr>
      <w:r>
        <w:rPr>
          <w:rFonts w:ascii="Arial" w:cs="Arial" w:eastAsia="Arial" w:hAnsi="Arial"/>
          <w:sz w:val="20"/>
          <w:szCs w:val="20"/>
          <w:color w:val="auto"/>
        </w:rPr>
        <w:t>Subject to clauses (ii) and (iii) below, the Committee may amend, modify or terminate any outstanding Award, including without limitation changing the dates of vesting, exercise or settlement, causing the Award to be assumed by another entity, and substituting therefor another Award of the same or a different type, provided that the Participant’s consent to such action shall be required unless the terms of this Plan or the Award permit such action, the Committee determines that such action is required by law or stock exchange rule, or the Committee determines that the action, taking into account any related action, would not materially and adversely affect the Participant.</w:t>
      </w:r>
    </w:p>
    <w:p>
      <w:pPr>
        <w:spacing w:after="0" w:line="105" w:lineRule="exact"/>
        <w:rPr>
          <w:rFonts w:ascii="Arial" w:cs="Arial" w:eastAsia="Arial" w:hAnsi="Arial"/>
          <w:sz w:val="20"/>
          <w:szCs w:val="20"/>
          <w:color w:val="auto"/>
        </w:rPr>
      </w:pPr>
    </w:p>
    <w:p>
      <w:pPr>
        <w:ind w:left="860" w:right="439" w:hanging="651"/>
        <w:spacing w:after="0" w:line="272" w:lineRule="auto"/>
        <w:tabs>
          <w:tab w:leader="none" w:pos="860" w:val="left"/>
        </w:tabs>
        <w:numPr>
          <w:ilvl w:val="2"/>
          <w:numId w:val="76"/>
        </w:numPr>
        <w:rPr>
          <w:rFonts w:ascii="Arial" w:cs="Arial" w:eastAsia="Arial" w:hAnsi="Arial"/>
          <w:sz w:val="20"/>
          <w:szCs w:val="20"/>
          <w:color w:val="auto"/>
        </w:rPr>
      </w:pPr>
      <w:r>
        <w:rPr>
          <w:rFonts w:ascii="Arial" w:cs="Arial" w:eastAsia="Arial" w:hAnsi="Arial"/>
          <w:sz w:val="20"/>
          <w:szCs w:val="20"/>
          <w:color w:val="auto"/>
        </w:rPr>
        <w:t>Notwithstanding the attainment of Performance Goals in the case of any Award intended to satisfy the requirements for “performance-based compensation” within the meaning of Section 162(m) of the Code, the Committee may reduce (but not increase) the amount payable at a given level of performance to take into account additional factors that the Committee may deem relevant.</w:t>
      </w:r>
    </w:p>
    <w:p>
      <w:pPr>
        <w:spacing w:after="0" w:line="100" w:lineRule="exact"/>
        <w:rPr>
          <w:rFonts w:ascii="Arial" w:cs="Arial" w:eastAsia="Arial" w:hAnsi="Arial"/>
          <w:sz w:val="20"/>
          <w:szCs w:val="20"/>
          <w:color w:val="auto"/>
        </w:rPr>
      </w:pPr>
    </w:p>
    <w:p>
      <w:pPr>
        <w:ind w:left="860" w:right="1059" w:hanging="651"/>
        <w:spacing w:after="0" w:line="263" w:lineRule="auto"/>
        <w:tabs>
          <w:tab w:leader="none" w:pos="860" w:val="left"/>
        </w:tabs>
        <w:numPr>
          <w:ilvl w:val="2"/>
          <w:numId w:val="76"/>
        </w:numPr>
        <w:rPr>
          <w:rFonts w:ascii="Arial" w:cs="Arial" w:eastAsia="Arial" w:hAnsi="Arial"/>
          <w:sz w:val="20"/>
          <w:szCs w:val="20"/>
          <w:color w:val="auto"/>
        </w:rPr>
      </w:pPr>
      <w:r>
        <w:rPr>
          <w:rFonts w:ascii="Arial" w:cs="Arial" w:eastAsia="Arial" w:hAnsi="Arial"/>
          <w:sz w:val="20"/>
          <w:szCs w:val="20"/>
          <w:color w:val="auto"/>
        </w:rPr>
        <w:t>The foregoing notwithstanding, without further approval of the stockholders of the Company,</w:t>
      </w:r>
    </w:p>
    <w:p>
      <w:pPr>
        <w:ind w:left="200" w:right="239" w:firstLine="4"/>
        <w:spacing w:after="0" w:line="270" w:lineRule="auto"/>
        <w:tabs>
          <w:tab w:leader="none" w:pos="519"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Committee shall not authorize the amendment of any outstanding Option or Stock Appreciation Right to reduce the exercise price, (B) no Option or Stock Appreciation Right shall be canceled and replaced with an Award exercisable for Common Stock at a lower exercise price, and (C) no Award shall be canceled in exchange for a cash payment from the Company to the Award owner, except under the limited circumstances described above in Section 5(b)(viii) relating to Transactions.</w:t>
      </w:r>
    </w:p>
    <w:p>
      <w:pPr>
        <w:spacing w:after="0" w:line="103" w:lineRule="exact"/>
        <w:rPr>
          <w:rFonts w:ascii="Arial" w:cs="Arial" w:eastAsia="Arial" w:hAnsi="Arial"/>
          <w:sz w:val="20"/>
          <w:szCs w:val="20"/>
          <w:color w:val="auto"/>
        </w:rPr>
      </w:pPr>
    </w:p>
    <w:p>
      <w:pPr>
        <w:ind w:left="840" w:hanging="645"/>
        <w:spacing w:after="0"/>
        <w:tabs>
          <w:tab w:leader="none" w:pos="840" w:val="left"/>
        </w:tabs>
        <w:numPr>
          <w:ilvl w:val="0"/>
          <w:numId w:val="78"/>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Certain Definitions. </w:t>
      </w:r>
      <w:r>
        <w:rPr>
          <w:rFonts w:ascii="Arial" w:cs="Arial" w:eastAsia="Arial" w:hAnsi="Arial"/>
          <w:sz w:val="20"/>
          <w:szCs w:val="20"/>
          <w:color w:val="auto"/>
        </w:rPr>
        <w:t>As used in this Plan:</w:t>
      </w:r>
    </w:p>
    <w:p>
      <w:pPr>
        <w:spacing w:after="0" w:line="162" w:lineRule="exact"/>
        <w:rPr>
          <w:sz w:val="20"/>
          <w:szCs w:val="20"/>
          <w:color w:val="auto"/>
        </w:rPr>
      </w:pPr>
    </w:p>
    <w:p>
      <w:pPr>
        <w:ind w:left="200" w:right="699"/>
        <w:spacing w:after="0" w:line="283" w:lineRule="auto"/>
        <w:rPr>
          <w:sz w:val="20"/>
          <w:szCs w:val="20"/>
          <w:color w:val="auto"/>
        </w:rPr>
      </w:pPr>
      <w:r>
        <w:rPr>
          <w:rFonts w:ascii="Arial" w:cs="Arial" w:eastAsia="Arial" w:hAnsi="Arial"/>
          <w:sz w:val="20"/>
          <w:szCs w:val="20"/>
          <w:color w:val="auto"/>
        </w:rPr>
        <w:t>“Affiliate” means any business entity in which the Company owns directly or indirectly 50% or more of the total voting power or has a significant financial interest as determined by the Committee.</w:t>
      </w:r>
    </w:p>
    <w:p>
      <w:pPr>
        <w:spacing w:after="0" w:line="91" w:lineRule="exact"/>
        <w:rPr>
          <w:sz w:val="20"/>
          <w:szCs w:val="20"/>
          <w:color w:val="auto"/>
        </w:rPr>
      </w:pPr>
    </w:p>
    <w:p>
      <w:pPr>
        <w:ind w:left="200" w:right="239"/>
        <w:spacing w:after="0" w:line="300" w:lineRule="auto"/>
        <w:rPr>
          <w:sz w:val="20"/>
          <w:szCs w:val="20"/>
          <w:color w:val="auto"/>
        </w:rPr>
      </w:pPr>
      <w:r>
        <w:rPr>
          <w:rFonts w:ascii="Arial" w:cs="Arial" w:eastAsia="Arial" w:hAnsi="Arial"/>
          <w:sz w:val="20"/>
          <w:szCs w:val="20"/>
          <w:color w:val="auto"/>
        </w:rPr>
        <w:t>“Award” means any award of shares of Common Stock or right with respect to shares described in Section 5(a).</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“Board” means the Board of Directors of the Company.</w:t>
      </w:r>
    </w:p>
    <w:p>
      <w:pPr>
        <w:spacing w:after="0" w:line="175" w:lineRule="exact"/>
        <w:rPr>
          <w:sz w:val="20"/>
          <w:szCs w:val="20"/>
          <w:color w:val="auto"/>
        </w:rPr>
      </w:pPr>
    </w:p>
    <w:p>
      <w:pPr>
        <w:ind w:left="200" w:right="1039"/>
        <w:spacing w:after="0" w:line="300" w:lineRule="auto"/>
        <w:rPr>
          <w:sz w:val="20"/>
          <w:szCs w:val="20"/>
          <w:color w:val="auto"/>
        </w:rPr>
      </w:pPr>
      <w:r>
        <w:rPr>
          <w:rFonts w:ascii="Arial" w:cs="Arial" w:eastAsia="Arial" w:hAnsi="Arial"/>
          <w:sz w:val="20"/>
          <w:szCs w:val="20"/>
          <w:color w:val="auto"/>
        </w:rPr>
        <w:t>“Code” means the Internal Revenue Code of 1986, as amended from time to time, or any successor law.</w:t>
      </w:r>
    </w:p>
    <w:p>
      <w:pPr>
        <w:spacing w:after="0" w:line="73" w:lineRule="exact"/>
        <w:rPr>
          <w:sz w:val="20"/>
          <w:szCs w:val="20"/>
          <w:color w:val="auto"/>
        </w:rPr>
      </w:pPr>
    </w:p>
    <w:p>
      <w:pPr>
        <w:jc w:val="both"/>
        <w:ind w:left="200" w:right="359"/>
        <w:spacing w:after="0" w:line="283" w:lineRule="auto"/>
        <w:rPr>
          <w:sz w:val="20"/>
          <w:szCs w:val="20"/>
          <w:color w:val="auto"/>
        </w:rPr>
      </w:pPr>
      <w:r>
        <w:rPr>
          <w:rFonts w:ascii="Arial" w:cs="Arial" w:eastAsia="Arial" w:hAnsi="Arial"/>
          <w:sz w:val="20"/>
          <w:szCs w:val="20"/>
          <w:color w:val="auto"/>
        </w:rPr>
        <w:t>“Committee” means one or more committees appointed by the Board to administer the Plan or a specified portion thereof. Each such committee shall be comprised of not less than two members of the Board who shall meet such criteria as the Board may specify from time to time.</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“Common Stock” means the Common Stock, $0.001 par value of the Company.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“Company” means Axcelis Technologies, Inc., a Delaware corporation.</w:t>
      </w:r>
    </w:p>
    <w:p>
      <w:pPr>
        <w:spacing w:after="0" w:line="175" w:lineRule="exact"/>
        <w:rPr>
          <w:sz w:val="20"/>
          <w:szCs w:val="20"/>
          <w:color w:val="auto"/>
        </w:rPr>
      </w:pPr>
    </w:p>
    <w:p>
      <w:pPr>
        <w:ind w:left="200" w:right="519"/>
        <w:spacing w:after="0" w:line="300" w:lineRule="auto"/>
        <w:rPr>
          <w:sz w:val="20"/>
          <w:szCs w:val="20"/>
          <w:color w:val="auto"/>
        </w:rPr>
      </w:pPr>
      <w:r>
        <w:rPr>
          <w:rFonts w:ascii="Arial" w:cs="Arial" w:eastAsia="Arial" w:hAnsi="Arial"/>
          <w:sz w:val="20"/>
          <w:szCs w:val="20"/>
          <w:color w:val="auto"/>
        </w:rPr>
        <w:t>“Covered Employee” means a “covered employee” within the meaning of Section 162(m) of the Code.</w:t>
      </w:r>
    </w:p>
    <w:p>
      <w:pPr>
        <w:spacing w:after="0" w:line="73" w:lineRule="exact"/>
        <w:rPr>
          <w:sz w:val="20"/>
          <w:szCs w:val="20"/>
          <w:color w:val="auto"/>
        </w:rPr>
      </w:pPr>
    </w:p>
    <w:p>
      <w:pPr>
        <w:ind w:left="200" w:right="459"/>
        <w:spacing w:after="0" w:line="276" w:lineRule="auto"/>
        <w:rPr>
          <w:sz w:val="20"/>
          <w:szCs w:val="20"/>
          <w:color w:val="auto"/>
        </w:rPr>
      </w:pPr>
      <w:r>
        <w:rPr>
          <w:rFonts w:ascii="Arial" w:cs="Arial" w:eastAsia="Arial" w:hAnsi="Arial"/>
          <w:sz w:val="20"/>
          <w:szCs w:val="20"/>
          <w:color w:val="auto"/>
        </w:rPr>
        <w:t>“Date of Grant” means the date on which all requirements under applicable law and the Company’s certificate of incorporation and bylaws for the effective grant of an Award have been satisfied.</w:t>
      </w:r>
    </w:p>
    <w:p>
      <w:pPr>
        <w:spacing w:after="0" w:line="111" w:lineRule="exact"/>
        <w:rPr>
          <w:sz w:val="20"/>
          <w:szCs w:val="20"/>
          <w:color w:val="auto"/>
        </w:rPr>
      </w:pPr>
    </w:p>
    <w:p>
      <w:pPr>
        <w:ind w:left="200" w:right="419"/>
        <w:spacing w:after="0" w:line="276" w:lineRule="auto"/>
        <w:rPr>
          <w:sz w:val="20"/>
          <w:szCs w:val="20"/>
          <w:color w:val="auto"/>
        </w:rPr>
      </w:pPr>
      <w:r>
        <w:rPr>
          <w:rFonts w:ascii="Arial" w:cs="Arial" w:eastAsia="Arial" w:hAnsi="Arial"/>
          <w:sz w:val="20"/>
          <w:szCs w:val="20"/>
          <w:color w:val="auto"/>
        </w:rPr>
        <w:t>“Designated Beneficiary” means the beneficiary designated by a Participant, in a manner determined by the Committee, to receive amounts due or exercise rights of the Participant in the event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9" w:name="page90"/>
    <w:bookmarkEnd w:id="89"/>
    <w:p>
      <w:pPr>
        <w:ind w:left="200" w:right="839"/>
        <w:spacing w:after="0" w:line="300" w:lineRule="auto"/>
        <w:rPr>
          <w:sz w:val="20"/>
          <w:szCs w:val="20"/>
          <w:color w:val="auto"/>
        </w:rPr>
      </w:pPr>
      <w:r>
        <w:rPr>
          <w:rFonts w:ascii="Arial" w:cs="Arial" w:eastAsia="Arial" w:hAnsi="Arial"/>
          <w:sz w:val="20"/>
          <w:szCs w:val="20"/>
          <w:color w:val="auto"/>
        </w:rPr>
        <w:t>Participant’s death. In the absence of an effective designation by a Participant, “Designated Beneficiary” means the Participant’s legal representative.</w:t>
      </w:r>
    </w:p>
    <w:p>
      <w:pPr>
        <w:spacing w:after="0" w:line="87" w:lineRule="exact"/>
        <w:rPr>
          <w:sz w:val="20"/>
          <w:szCs w:val="20"/>
          <w:color w:val="auto"/>
        </w:rPr>
      </w:pPr>
    </w:p>
    <w:p>
      <w:pPr>
        <w:ind w:left="200" w:right="399"/>
        <w:spacing w:after="0" w:line="276" w:lineRule="auto"/>
        <w:rPr>
          <w:sz w:val="20"/>
          <w:szCs w:val="20"/>
          <w:color w:val="auto"/>
        </w:rPr>
      </w:pPr>
      <w:r>
        <w:rPr>
          <w:rFonts w:ascii="Arial" w:cs="Arial" w:eastAsia="Arial" w:hAnsi="Arial"/>
          <w:sz w:val="20"/>
          <w:szCs w:val="20"/>
          <w:color w:val="auto"/>
        </w:rPr>
        <w:t>“Effective Date,” from time to time, means the most recent date that the Plan was adopted or, if earlier, that it was approved by the stockholders (including approval of the Plan as amended), as such terms are used in the regulations under Section 422 of the Code.</w:t>
      </w:r>
    </w:p>
    <w:p>
      <w:pPr>
        <w:spacing w:after="0" w:line="111" w:lineRule="exact"/>
        <w:rPr>
          <w:sz w:val="20"/>
          <w:szCs w:val="20"/>
          <w:color w:val="auto"/>
        </w:rPr>
      </w:pPr>
    </w:p>
    <w:p>
      <w:pPr>
        <w:ind w:left="200" w:right="559"/>
        <w:spacing w:after="0" w:line="286" w:lineRule="auto"/>
        <w:rPr>
          <w:sz w:val="20"/>
          <w:szCs w:val="20"/>
          <w:color w:val="auto"/>
        </w:rPr>
      </w:pPr>
      <w:r>
        <w:rPr>
          <w:rFonts w:ascii="Arial" w:cs="Arial" w:eastAsia="Arial" w:hAnsi="Arial"/>
          <w:sz w:val="20"/>
          <w:szCs w:val="20"/>
          <w:color w:val="auto"/>
        </w:rPr>
        <w:t>“Exchange Act” means the Securities Exchange Act of 1934, as amended from time to time, or any successor law.</w:t>
      </w:r>
    </w:p>
    <w:p>
      <w:pPr>
        <w:spacing w:after="0" w:line="100" w:lineRule="exact"/>
        <w:rPr>
          <w:sz w:val="20"/>
          <w:szCs w:val="20"/>
          <w:color w:val="auto"/>
        </w:rPr>
      </w:pPr>
    </w:p>
    <w:p>
      <w:pPr>
        <w:ind w:left="200" w:right="259"/>
        <w:spacing w:after="0" w:line="286" w:lineRule="auto"/>
        <w:rPr>
          <w:sz w:val="20"/>
          <w:szCs w:val="20"/>
          <w:color w:val="auto"/>
        </w:rPr>
      </w:pPr>
      <w:r>
        <w:rPr>
          <w:rFonts w:ascii="Arial" w:cs="Arial" w:eastAsia="Arial" w:hAnsi="Arial"/>
          <w:sz w:val="20"/>
          <w:szCs w:val="20"/>
          <w:color w:val="auto"/>
        </w:rPr>
        <w:t>“Executive Officer” has the meaning given in Rule 3b-7 under the Exchange Act, or any successor provision.</w:t>
      </w:r>
    </w:p>
    <w:p>
      <w:pPr>
        <w:spacing w:after="0" w:line="100" w:lineRule="exact"/>
        <w:rPr>
          <w:sz w:val="20"/>
          <w:szCs w:val="20"/>
          <w:color w:val="auto"/>
        </w:rPr>
      </w:pPr>
    </w:p>
    <w:p>
      <w:pPr>
        <w:ind w:left="200" w:right="239"/>
        <w:spacing w:after="0" w:line="266" w:lineRule="auto"/>
        <w:rPr>
          <w:sz w:val="20"/>
          <w:szCs w:val="20"/>
          <w:color w:val="auto"/>
        </w:rPr>
      </w:pPr>
      <w:r>
        <w:rPr>
          <w:rFonts w:ascii="Arial" w:cs="Arial" w:eastAsia="Arial" w:hAnsi="Arial"/>
          <w:sz w:val="20"/>
          <w:szCs w:val="20"/>
          <w:color w:val="auto"/>
        </w:rPr>
        <w:t>“Fair Market Value” with respect to the Common Stock or other property means the fair market value thereof determined by such methods as shall be established by the Committee from time to time. Unless otherwise determined by the Committee in good faith, the per share Fair Market Value of the Common Stock as of any date shall mean (a) if the Common Stock is then listed or admitted to trading on a national securities exchange, (i) the last reported sale price on such date on the principal national securities exchange on which the Common Stock is then listed or admitted to trading, (ii) if no such reported sale took place on such date, the average of the closing bid and asked prices on such exchange on such date, or (iii) if neither (i) nor (ii) applies, the last reported sale price on the next preceding date on which trading took place, or (b) if the Common Stock is then traded in the over-the-counter market, the average of the closing bid and asked prices on such date, as reported by The Wall Street Journal or other appropriate publication selected by the Committee, for the over-the-counter market.</w:t>
      </w:r>
    </w:p>
    <w:p>
      <w:pPr>
        <w:spacing w:after="0" w:line="114" w:lineRule="exact"/>
        <w:rPr>
          <w:sz w:val="20"/>
          <w:szCs w:val="20"/>
          <w:color w:val="auto"/>
        </w:rPr>
      </w:pPr>
    </w:p>
    <w:p>
      <w:pPr>
        <w:ind w:left="200" w:right="379"/>
        <w:spacing w:after="0" w:line="300" w:lineRule="auto"/>
        <w:rPr>
          <w:sz w:val="20"/>
          <w:szCs w:val="20"/>
          <w:color w:val="auto"/>
        </w:rPr>
      </w:pPr>
      <w:r>
        <w:rPr>
          <w:rFonts w:ascii="Arial" w:cs="Arial" w:eastAsia="Arial" w:hAnsi="Arial"/>
          <w:sz w:val="20"/>
          <w:szCs w:val="20"/>
          <w:color w:val="auto"/>
        </w:rPr>
        <w:t>“Incentive Stock Option” means an Option complying with the requirements of Section 422 of the Code or any successor provision and any regulations thereunder.</w:t>
      </w:r>
    </w:p>
    <w:p>
      <w:pPr>
        <w:spacing w:after="0" w:line="87" w:lineRule="exact"/>
        <w:rPr>
          <w:sz w:val="20"/>
          <w:szCs w:val="20"/>
          <w:color w:val="auto"/>
        </w:rPr>
      </w:pPr>
    </w:p>
    <w:p>
      <w:pPr>
        <w:ind w:left="200" w:right="719"/>
        <w:spacing w:after="0" w:line="286" w:lineRule="auto"/>
        <w:rPr>
          <w:sz w:val="20"/>
          <w:szCs w:val="20"/>
          <w:color w:val="auto"/>
        </w:rPr>
      </w:pPr>
      <w:r>
        <w:rPr>
          <w:rFonts w:ascii="Arial" w:cs="Arial" w:eastAsia="Arial" w:hAnsi="Arial"/>
          <w:sz w:val="20"/>
          <w:szCs w:val="20"/>
          <w:color w:val="auto"/>
        </w:rPr>
        <w:t>“Option” means a right to purchase shares of Common Stock and may be an Incentive Stock Option if specified by the Committee.</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“Participant” means a person selected by the Committee to receive an Award under the Plan.</w:t>
      </w:r>
    </w:p>
    <w:p>
      <w:pPr>
        <w:spacing w:after="0" w:line="162" w:lineRule="exact"/>
        <w:rPr>
          <w:sz w:val="20"/>
          <w:szCs w:val="20"/>
          <w:color w:val="auto"/>
        </w:rPr>
      </w:pPr>
    </w:p>
    <w:p>
      <w:pPr>
        <w:ind w:left="200" w:right="299"/>
        <w:spacing w:after="0" w:line="266" w:lineRule="auto"/>
        <w:rPr>
          <w:sz w:val="20"/>
          <w:szCs w:val="20"/>
          <w:color w:val="auto"/>
        </w:rPr>
      </w:pPr>
      <w:r>
        <w:rPr>
          <w:rFonts w:ascii="Arial" w:cs="Arial" w:eastAsia="Arial" w:hAnsi="Arial"/>
          <w:sz w:val="20"/>
          <w:szCs w:val="20"/>
          <w:color w:val="auto"/>
        </w:rPr>
        <w:t>“Performance Goals” means, in the case of Awards intended to satisfy the requirements for “performance-based compensation” within the meaning of Section 162(m) of the Code, one or more objective performance goals established by the Committee, based on one or more of the following criteria: revenue; revenue growth; sales; expenses; margins; net income; earnings or earnings per share; cash flow; stock price; shareholder return; return on investment; return on invested capital, assets, or equity; profit before or after tax; operating profit; operating margin; return on research and development investment; market capitalization; quality improvements; market share; cycle time reductions; customer satisfaction measures; strategic positioning or marketing programs; market penetration or expansion; business / information systems improvements; expense management; infrastructure support programs; human resource programs; customer programs; technology development programs; goals relating to acquisitions or divestitures, or any combination of the foregoing, including without limitation goals based on any of such measures relative to peer groups or market indices, and may be particular to a Participant or may be based, in whole or in part, on the performance of the division, department, line of business, subsidiary, or other business unit, whether or not legally constituted, in which the Participant works or on the performance of the Company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0" w:name="page91"/>
    <w:bookmarkEnd w:id="90"/>
    <w:p>
      <w:pPr>
        <w:ind w:left="200" w:right="219"/>
        <w:spacing w:after="0" w:line="283" w:lineRule="auto"/>
        <w:rPr>
          <w:sz w:val="20"/>
          <w:szCs w:val="20"/>
          <w:color w:val="auto"/>
        </w:rPr>
      </w:pPr>
      <w:r>
        <w:rPr>
          <w:rFonts w:ascii="Arial" w:cs="Arial" w:eastAsia="Arial" w:hAnsi="Arial"/>
          <w:sz w:val="20"/>
          <w:szCs w:val="20"/>
          <w:color w:val="auto"/>
        </w:rPr>
        <w:t>“Performance Period” means any period of service of at least one year designated by the Committee as applicable to an Award intended to satisfy the requirements for “performance-based compensation.”</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“Reporting Person” means a person subject to Section 16 of the Exchange Act.</w:t>
      </w:r>
    </w:p>
    <w:p>
      <w:pPr>
        <w:spacing w:after="0" w:line="175" w:lineRule="exact"/>
        <w:rPr>
          <w:sz w:val="20"/>
          <w:szCs w:val="20"/>
          <w:color w:val="auto"/>
        </w:rPr>
      </w:pPr>
    </w:p>
    <w:p>
      <w:pPr>
        <w:ind w:left="200" w:right="339"/>
        <w:spacing w:after="0" w:line="300" w:lineRule="auto"/>
        <w:rPr>
          <w:sz w:val="20"/>
          <w:szCs w:val="20"/>
          <w:color w:val="auto"/>
        </w:rPr>
      </w:pPr>
      <w:r>
        <w:rPr>
          <w:rFonts w:ascii="Arial" w:cs="Arial" w:eastAsia="Arial" w:hAnsi="Arial"/>
          <w:sz w:val="20"/>
          <w:szCs w:val="20"/>
          <w:color w:val="auto"/>
        </w:rPr>
        <w:t>“Restricted Period” means any period during which an Award or any part thereof may be forfeited to the Company.</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“Restricted Stock” means shares of Common Stock that are subject to forfeiture to the Company.</w:t>
      </w:r>
    </w:p>
    <w:p>
      <w:pPr>
        <w:spacing w:after="0" w:line="162" w:lineRule="exact"/>
        <w:rPr>
          <w:sz w:val="20"/>
          <w:szCs w:val="20"/>
          <w:color w:val="auto"/>
        </w:rPr>
      </w:pPr>
    </w:p>
    <w:p>
      <w:pPr>
        <w:ind w:left="200" w:right="239"/>
        <w:spacing w:after="0" w:line="278" w:lineRule="auto"/>
        <w:rPr>
          <w:sz w:val="20"/>
          <w:szCs w:val="20"/>
          <w:color w:val="auto"/>
        </w:rPr>
      </w:pPr>
      <w:r>
        <w:rPr>
          <w:rFonts w:ascii="Arial" w:cs="Arial" w:eastAsia="Arial" w:hAnsi="Arial"/>
          <w:sz w:val="20"/>
          <w:szCs w:val="20"/>
          <w:color w:val="auto"/>
        </w:rPr>
        <w:t>“Restricted Stock Unit” means the right, subject to forfeiture, to receive the value of a share of Common Stock in the future, payable in the form of cash, Common Stock or other securities of the Company, Awards or other property, and is an unfunded and unsecured obligation of the Company.</w:t>
      </w:r>
    </w:p>
    <w:p>
      <w:pPr>
        <w:spacing w:after="0" w:line="95" w:lineRule="exact"/>
        <w:rPr>
          <w:sz w:val="20"/>
          <w:szCs w:val="20"/>
          <w:color w:val="auto"/>
        </w:rPr>
      </w:pPr>
    </w:p>
    <w:p>
      <w:pPr>
        <w:ind w:left="200" w:right="459"/>
        <w:spacing w:after="0" w:line="300" w:lineRule="auto"/>
        <w:rPr>
          <w:sz w:val="20"/>
          <w:szCs w:val="20"/>
          <w:color w:val="auto"/>
        </w:rPr>
      </w:pPr>
      <w:r>
        <w:rPr>
          <w:rFonts w:ascii="Arial" w:cs="Arial" w:eastAsia="Arial" w:hAnsi="Arial"/>
          <w:sz w:val="20"/>
          <w:szCs w:val="20"/>
          <w:color w:val="auto"/>
        </w:rPr>
        <w:t>“Stock Appreciation Right” means the right to receive any excess in value of shares of Common Stock over the exercise price of such right.</w:t>
      </w:r>
    </w:p>
    <w:p>
      <w:pPr>
        <w:spacing w:after="0" w:line="73" w:lineRule="exact"/>
        <w:rPr>
          <w:sz w:val="20"/>
          <w:szCs w:val="20"/>
          <w:color w:val="auto"/>
        </w:rPr>
      </w:pPr>
    </w:p>
    <w:p>
      <w:pPr>
        <w:ind w:left="200" w:right="379"/>
        <w:spacing w:after="0" w:line="273" w:lineRule="auto"/>
        <w:rPr>
          <w:sz w:val="20"/>
          <w:szCs w:val="20"/>
          <w:color w:val="auto"/>
        </w:rPr>
      </w:pPr>
      <w:r>
        <w:rPr>
          <w:rFonts w:ascii="Arial" w:cs="Arial" w:eastAsia="Arial" w:hAnsi="Arial"/>
          <w:sz w:val="20"/>
          <w:szCs w:val="20"/>
          <w:color w:val="auto"/>
        </w:rPr>
        <w:t>“Stock Equivalent” means the right to receive payment from the Company based in whole or in part on the value of the Common Stock, payable in the form of cash, Common Stock or other securities of the Company, Awards or other property, and may include without limitation phantom stock, performance units, and Stock Appreciation Rights.</w:t>
      </w:r>
    </w:p>
    <w:p>
      <w:pPr>
        <w:spacing w:after="0" w:line="115" w:lineRule="exact"/>
        <w:rPr>
          <w:sz w:val="20"/>
          <w:szCs w:val="20"/>
          <w:color w:val="auto"/>
        </w:rPr>
      </w:pPr>
    </w:p>
    <w:p>
      <w:pPr>
        <w:ind w:left="200" w:right="239"/>
        <w:spacing w:after="0" w:line="266" w:lineRule="auto"/>
        <w:rPr>
          <w:sz w:val="20"/>
          <w:szCs w:val="20"/>
          <w:color w:val="auto"/>
        </w:rPr>
      </w:pPr>
      <w:r>
        <w:rPr>
          <w:rFonts w:ascii="Arial" w:cs="Arial" w:eastAsia="Arial" w:hAnsi="Arial"/>
          <w:sz w:val="20"/>
          <w:szCs w:val="20"/>
          <w:color w:val="auto"/>
        </w:rPr>
        <w:t>“Termination of employment or other service of a Participant” means the voluntary or involuntary termination of a Participant’s employment with the Company or an Affiliate for any reason, including death, disability, retirement or as the result of the divestiture of the Participant’s employer or any similar transaction in which the Participant’s employer ceases to be the Company or one of its Affiliates. Whether entering military or other government service shall constitute “termination of employment or other service,” or whether a “termination of employment or other service” shall occur as a result of disability, shall be determined in each case by the Committee in its sole discretion before or after the grant of the respective Award. In the case of a member of the Board or consultant who is not an employee of the Company or an Affiliate, “termination of employment or other service” shall mean the voluntary or involuntary termination of Board service or the consulting relationship, as the case may be, for any reason.</w:t>
      </w:r>
    </w:p>
    <w:p>
      <w:pPr>
        <w:spacing w:after="0" w:line="126" w:lineRule="exact"/>
        <w:rPr>
          <w:sz w:val="20"/>
          <w:szCs w:val="20"/>
          <w:color w:val="auto"/>
        </w:rPr>
      </w:pPr>
    </w:p>
    <w:p>
      <w:pPr>
        <w:ind w:left="200" w:right="419"/>
        <w:spacing w:after="0" w:line="276" w:lineRule="auto"/>
        <w:rPr>
          <w:sz w:val="20"/>
          <w:szCs w:val="20"/>
          <w:color w:val="auto"/>
        </w:rPr>
      </w:pPr>
      <w:r>
        <w:rPr>
          <w:rFonts w:ascii="Arial" w:cs="Arial" w:eastAsia="Arial" w:hAnsi="Arial"/>
          <w:sz w:val="20"/>
          <w:szCs w:val="20"/>
          <w:color w:val="auto"/>
        </w:rPr>
        <w:t>“Transferable for value” means a transfer on terms that would prevent the Company from relying on Securities and Exchange Commission Form S-8 (or any successor form) with respect to the issuance of the Common Stock underlying the respective Award.</w:t>
      </w:r>
    </w:p>
    <w:p>
      <w:pPr>
        <w:spacing w:after="0" w:line="111" w:lineRule="exact"/>
        <w:rPr>
          <w:sz w:val="20"/>
          <w:szCs w:val="20"/>
          <w:color w:val="auto"/>
        </w:rPr>
      </w:pPr>
    </w:p>
    <w:p>
      <w:pPr>
        <w:ind w:left="840" w:hanging="645"/>
        <w:spacing w:after="0"/>
        <w:tabs>
          <w:tab w:leader="none" w:pos="840" w:val="left"/>
        </w:tabs>
        <w:numPr>
          <w:ilvl w:val="0"/>
          <w:numId w:val="79"/>
        </w:numPr>
        <w:rPr>
          <w:rFonts w:ascii="Arial" w:cs="Arial" w:eastAsia="Arial" w:hAnsi="Arial"/>
          <w:sz w:val="20"/>
          <w:szCs w:val="20"/>
          <w:i w:val="1"/>
          <w:iCs w:val="1"/>
          <w:color w:val="auto"/>
        </w:rPr>
      </w:pPr>
      <w:r>
        <w:rPr>
          <w:rFonts w:ascii="Arial" w:cs="Arial" w:eastAsia="Arial" w:hAnsi="Arial"/>
          <w:sz w:val="20"/>
          <w:szCs w:val="20"/>
          <w:i w:val="1"/>
          <w:iCs w:val="1"/>
          <w:color w:val="auto"/>
        </w:rPr>
        <w:t>Miscellaneous</w:t>
      </w:r>
      <w:r>
        <w:rPr>
          <w:rFonts w:ascii="Arial" w:cs="Arial" w:eastAsia="Arial" w:hAnsi="Arial"/>
          <w:sz w:val="20"/>
          <w:szCs w:val="20"/>
          <w:color w:val="auto"/>
        </w:rPr>
        <w:t>.</w:t>
      </w:r>
    </w:p>
    <w:p>
      <w:pPr>
        <w:spacing w:after="0" w:line="161" w:lineRule="exact"/>
        <w:rPr>
          <w:rFonts w:ascii="Arial" w:cs="Arial" w:eastAsia="Arial" w:hAnsi="Arial"/>
          <w:sz w:val="20"/>
          <w:szCs w:val="20"/>
          <w:i w:val="1"/>
          <w:iCs w:val="1"/>
          <w:color w:val="auto"/>
        </w:rPr>
      </w:pPr>
    </w:p>
    <w:p>
      <w:pPr>
        <w:ind w:left="520" w:right="239" w:hanging="311"/>
        <w:spacing w:after="0" w:line="265" w:lineRule="auto"/>
        <w:tabs>
          <w:tab w:leader="none" w:pos="520" w:val="left"/>
        </w:tabs>
        <w:numPr>
          <w:ilvl w:val="1"/>
          <w:numId w:val="79"/>
        </w:numPr>
        <w:rPr>
          <w:rFonts w:ascii="Arial" w:cs="Arial" w:eastAsia="Arial" w:hAnsi="Arial"/>
          <w:sz w:val="20"/>
          <w:szCs w:val="20"/>
          <w:color w:val="auto"/>
        </w:rPr>
      </w:pPr>
      <w:r>
        <w:rPr>
          <w:rFonts w:ascii="Arial" w:cs="Arial" w:eastAsia="Arial" w:hAnsi="Arial"/>
          <w:sz w:val="20"/>
          <w:szCs w:val="20"/>
          <w:i w:val="1"/>
          <w:iCs w:val="1"/>
          <w:color w:val="auto"/>
        </w:rPr>
        <w:t xml:space="preserve">No Rights with Respect to Service. </w:t>
      </w:r>
      <w:r>
        <w:rPr>
          <w:rFonts w:ascii="Arial" w:cs="Arial" w:eastAsia="Arial" w:hAnsi="Arial"/>
          <w:sz w:val="20"/>
          <w:szCs w:val="20"/>
          <w:color w:val="auto"/>
        </w:rPr>
        <w:t>No person shall have any claim or right hereunder to be</w:t>
      </w:r>
      <w:r>
        <w:rPr>
          <w:rFonts w:ascii="Arial" w:cs="Arial" w:eastAsia="Arial" w:hAnsi="Arial"/>
          <w:sz w:val="20"/>
          <w:szCs w:val="20"/>
          <w:i w:val="1"/>
          <w:iCs w:val="1"/>
          <w:color w:val="auto"/>
        </w:rPr>
        <w:t xml:space="preserve"> </w:t>
      </w:r>
      <w:r>
        <w:rPr>
          <w:rFonts w:ascii="Arial" w:cs="Arial" w:eastAsia="Arial" w:hAnsi="Arial"/>
          <w:sz w:val="20"/>
          <w:szCs w:val="20"/>
          <w:color w:val="auto"/>
        </w:rPr>
        <w:t>granted an Award. Neither the adoption, maintenance, or operation of the Plan nor any Award hereunder shall confer upon any person any right with respect to the continuance of his or her employment by or other service with the Company or any Affiliate nor shall they interfere with the rights of the Company or any Affiliate to terminate or otherwise change the terms of such service at any time, including, without limitation, the right to promote, demote or otherwise re-assign any person from one position to another within the Company or any Affiliate. Unless the Committee otherwise provides in any case, the service of a Participant with an Affiliate shall be deemed to terminate for purposes of the Plan when such Affiliate ceases to be an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1" w:name="page92"/>
    <w:bookmarkEnd w:id="91"/>
    <w:p>
      <w:pPr>
        <w:ind w:left="200" w:right="299" w:firstLine="9"/>
        <w:spacing w:after="0" w:line="269" w:lineRule="auto"/>
        <w:tabs>
          <w:tab w:leader="none" w:pos="515" w:val="left"/>
        </w:tabs>
        <w:numPr>
          <w:ilvl w:val="0"/>
          <w:numId w:val="80"/>
        </w:numPr>
        <w:rPr>
          <w:rFonts w:ascii="Arial" w:cs="Arial" w:eastAsia="Arial" w:hAnsi="Arial"/>
          <w:sz w:val="20"/>
          <w:szCs w:val="20"/>
          <w:color w:val="auto"/>
        </w:rPr>
      </w:pPr>
      <w:r>
        <w:rPr>
          <w:rFonts w:ascii="Arial" w:cs="Arial" w:eastAsia="Arial" w:hAnsi="Arial"/>
          <w:sz w:val="20"/>
          <w:szCs w:val="20"/>
          <w:i w:val="1"/>
          <w:iCs w:val="1"/>
          <w:color w:val="auto"/>
        </w:rPr>
        <w:t xml:space="preserve">No Rights as Stockholder. </w:t>
      </w:r>
      <w:r>
        <w:rPr>
          <w:rFonts w:ascii="Arial" w:cs="Arial" w:eastAsia="Arial" w:hAnsi="Arial"/>
          <w:sz w:val="20"/>
          <w:szCs w:val="20"/>
          <w:color w:val="auto"/>
        </w:rPr>
        <w:t>Subject to the provisions of the applicable Award, no Participant or</w:t>
      </w:r>
      <w:r>
        <w:rPr>
          <w:rFonts w:ascii="Arial" w:cs="Arial" w:eastAsia="Arial" w:hAnsi="Arial"/>
          <w:sz w:val="20"/>
          <w:szCs w:val="20"/>
          <w:i w:val="1"/>
          <w:iCs w:val="1"/>
          <w:color w:val="auto"/>
        </w:rPr>
        <w:t xml:space="preserve"> </w:t>
      </w:r>
      <w:r>
        <w:rPr>
          <w:rFonts w:ascii="Arial" w:cs="Arial" w:eastAsia="Arial" w:hAnsi="Arial"/>
          <w:sz w:val="20"/>
          <w:szCs w:val="20"/>
          <w:color w:val="auto"/>
        </w:rPr>
        <w:t>Designated Beneficiary shall have any rights as a stockholder with respect to any shares of Common</w:t>
      </w:r>
    </w:p>
    <w:p>
      <w:pPr>
        <w:ind w:left="200" w:right="219"/>
        <w:spacing w:after="0" w:line="281" w:lineRule="auto"/>
        <w:rPr>
          <w:rFonts w:ascii="Arial" w:cs="Arial" w:eastAsia="Arial" w:hAnsi="Arial"/>
          <w:sz w:val="20"/>
          <w:szCs w:val="20"/>
          <w:color w:val="auto"/>
        </w:rPr>
      </w:pPr>
      <w:r>
        <w:rPr>
          <w:rFonts w:ascii="Arial" w:cs="Arial" w:eastAsia="Arial" w:hAnsi="Arial"/>
          <w:sz w:val="20"/>
          <w:szCs w:val="20"/>
          <w:color w:val="auto"/>
        </w:rPr>
        <w:t>Stock to be issued under the Plan until he or she becomes the holder thereof. A Participant to whom Common Stock is awarded will be considered the holder of such Common Stock at the time of the Award, except as otherwise provided in the applicable Award.</w:t>
      </w:r>
    </w:p>
    <w:p>
      <w:pPr>
        <w:spacing w:after="0" w:line="92" w:lineRule="exact"/>
        <w:rPr>
          <w:rFonts w:ascii="Arial" w:cs="Arial" w:eastAsia="Arial" w:hAnsi="Arial"/>
          <w:sz w:val="20"/>
          <w:szCs w:val="20"/>
          <w:color w:val="auto"/>
        </w:rPr>
      </w:pPr>
    </w:p>
    <w:p>
      <w:pPr>
        <w:ind w:left="520" w:right="299" w:hanging="311"/>
        <w:spacing w:after="0" w:line="273" w:lineRule="auto"/>
        <w:tabs>
          <w:tab w:leader="none" w:pos="520" w:val="left"/>
        </w:tabs>
        <w:numPr>
          <w:ilvl w:val="0"/>
          <w:numId w:val="80"/>
        </w:numPr>
        <w:rPr>
          <w:rFonts w:ascii="Arial" w:cs="Arial" w:eastAsia="Arial" w:hAnsi="Arial"/>
          <w:sz w:val="20"/>
          <w:szCs w:val="20"/>
          <w:color w:val="auto"/>
        </w:rPr>
      </w:pPr>
      <w:r>
        <w:rPr>
          <w:rFonts w:ascii="Arial" w:cs="Arial" w:eastAsia="Arial" w:hAnsi="Arial"/>
          <w:sz w:val="20"/>
          <w:szCs w:val="20"/>
          <w:i w:val="1"/>
          <w:iCs w:val="1"/>
          <w:color w:val="auto"/>
        </w:rPr>
        <w:t xml:space="preserve">Amendment of Plan. </w:t>
      </w:r>
      <w:r>
        <w:rPr>
          <w:rFonts w:ascii="Arial" w:cs="Arial" w:eastAsia="Arial" w:hAnsi="Arial"/>
          <w:sz w:val="20"/>
          <w:szCs w:val="20"/>
          <w:color w:val="auto"/>
        </w:rPr>
        <w:t>The Board may amend, supplement via a sub-plan adopted under</w:t>
      </w:r>
      <w:r>
        <w:rPr>
          <w:rFonts w:ascii="Arial" w:cs="Arial" w:eastAsia="Arial" w:hAnsi="Arial"/>
          <w:sz w:val="20"/>
          <w:szCs w:val="20"/>
          <w:i w:val="1"/>
          <w:iCs w:val="1"/>
          <w:color w:val="auto"/>
        </w:rPr>
        <w:t xml:space="preserve"> </w:t>
      </w:r>
      <w:r>
        <w:rPr>
          <w:rFonts w:ascii="Arial" w:cs="Arial" w:eastAsia="Arial" w:hAnsi="Arial"/>
          <w:sz w:val="20"/>
          <w:szCs w:val="20"/>
          <w:color w:val="auto"/>
        </w:rPr>
        <w:t>Section 6(c), suspend or terminate the Plan or any portion thereof at any time, subject to such stockholder approval as the Board determines to be necessary or advisable to comply with any tax or regulatory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318135</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2" w:name="page93"/>
    <w:bookmarkEnd w:id="9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Named Executive Officer Base Compensation at February 14, 2026</w:t>
      </w:r>
    </w:p>
    <w:p>
      <w:pPr>
        <w:spacing w:after="0" w:line="193" w:lineRule="exact"/>
        <w:rPr>
          <w:sz w:val="20"/>
          <w:szCs w:val="20"/>
          <w:color w:val="auto"/>
        </w:rPr>
      </w:pPr>
    </w:p>
    <w:p>
      <w:pPr>
        <w:ind w:left="200" w:right="1139" w:firstLine="648"/>
        <w:spacing w:after="0" w:line="282" w:lineRule="auto"/>
        <w:rPr>
          <w:sz w:val="20"/>
          <w:szCs w:val="20"/>
          <w:color w:val="auto"/>
        </w:rPr>
      </w:pPr>
      <w:r>
        <w:rPr>
          <w:rFonts w:ascii="Times New Roman" w:cs="Times New Roman" w:eastAsia="Times New Roman" w:hAnsi="Times New Roman"/>
          <w:sz w:val="18"/>
          <w:szCs w:val="18"/>
          <w:color w:val="auto"/>
        </w:rPr>
        <w:t>This Exhibit discloses the current agreements with respect to base compensation between Axcelis Technologies, Inc. (the “Company”) and each of:</w:t>
      </w:r>
    </w:p>
    <w:p>
      <w:pPr>
        <w:spacing w:after="0" w:line="162" w:lineRule="exact"/>
        <w:rPr>
          <w:sz w:val="20"/>
          <w:szCs w:val="20"/>
          <w:color w:val="auto"/>
        </w:rPr>
      </w:pPr>
    </w:p>
    <w:p>
      <w:pPr>
        <w:ind w:left="1140" w:hanging="283"/>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principal executive officer (Russell J. Low),</w:t>
      </w:r>
    </w:p>
    <w:p>
      <w:pPr>
        <w:spacing w:after="0" w:line="225"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principal financial officer (James G. Coogan), and</w:t>
      </w:r>
    </w:p>
    <w:p>
      <w:pPr>
        <w:spacing w:after="0" w:line="212" w:lineRule="exact"/>
        <w:rPr>
          <w:sz w:val="20"/>
          <w:szCs w:val="20"/>
          <w:color w:val="auto"/>
        </w:rPr>
      </w:pPr>
    </w:p>
    <w:p>
      <w:pPr>
        <w:ind w:left="1200" w:right="239" w:hanging="343"/>
        <w:spacing w:after="0" w:line="282" w:lineRule="auto"/>
        <w:tabs>
          <w:tab w:leader="none" w:pos="12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most highly compensated other executive officers serving as executive officers at December 31, 2025, who are still serving as executive officers as of the filing date of this Form 10-K.</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These executive officers are referred to herein as “named executive officers” or “NEOs.”</w:t>
      </w:r>
    </w:p>
    <w:p>
      <w:pPr>
        <w:spacing w:after="0" w:line="225" w:lineRule="exact"/>
        <w:rPr>
          <w:sz w:val="20"/>
          <w:szCs w:val="20"/>
          <w:color w:val="auto"/>
        </w:rPr>
      </w:pPr>
    </w:p>
    <w:p>
      <w:pPr>
        <w:ind w:left="200" w:right="239" w:firstLine="648"/>
        <w:spacing w:after="0" w:line="254" w:lineRule="auto"/>
        <w:rPr>
          <w:sz w:val="20"/>
          <w:szCs w:val="20"/>
          <w:color w:val="auto"/>
        </w:rPr>
      </w:pPr>
      <w:r>
        <w:rPr>
          <w:rFonts w:ascii="Times New Roman" w:cs="Times New Roman" w:eastAsia="Times New Roman" w:hAnsi="Times New Roman"/>
          <w:sz w:val="18"/>
          <w:szCs w:val="18"/>
          <w:color w:val="auto"/>
        </w:rPr>
        <w:t>Russell J. Low entered into a written agreement with the Company addressing a minimum level of base salary due to the executive. This employment agreement is listed as an Exhibit to this Form 10-K. Each of the other NEOs and the Company have entered into an Executive Separation Pay Agreement in which a termination without cause will entitle the executive to one year of separation pay. The form of Executive Separation Pay Agreement is listed as an Exhibit to this Form 10-K.</w:t>
      </w:r>
    </w:p>
    <w:p>
      <w:pPr>
        <w:spacing w:after="0" w:line="187" w:lineRule="exact"/>
        <w:rPr>
          <w:sz w:val="20"/>
          <w:szCs w:val="20"/>
          <w:color w:val="auto"/>
        </w:rPr>
      </w:pPr>
    </w:p>
    <w:p>
      <w:pPr>
        <w:ind w:left="200" w:right="239"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that all executive officers, other than Dr. Low, are employees at will and that the Company has no obligation to continue their employment, other than in cases where such obligation arises under either a Change of Control Agreement or an Executive Separation Pay Agreement as described in our Proxy Statement and as filed as Exhibits to this Form 10-K.</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Rate of Base Pay</w:t>
      </w:r>
    </w:p>
    <w:p>
      <w:pPr>
        <w:spacing w:after="0" w:line="229" w:lineRule="exact"/>
        <w:rPr>
          <w:sz w:val="20"/>
          <w:szCs w:val="20"/>
          <w:color w:val="auto"/>
        </w:rPr>
      </w:pPr>
    </w:p>
    <w:p>
      <w:pPr>
        <w:ind w:left="200" w:right="419" w:firstLine="648"/>
        <w:spacing w:after="0" w:line="253" w:lineRule="auto"/>
        <w:rPr>
          <w:sz w:val="20"/>
          <w:szCs w:val="20"/>
          <w:color w:val="auto"/>
        </w:rPr>
      </w:pPr>
      <w:r>
        <w:rPr>
          <w:rFonts w:ascii="Times New Roman" w:cs="Times New Roman" w:eastAsia="Times New Roman" w:hAnsi="Times New Roman"/>
          <w:sz w:val="18"/>
          <w:szCs w:val="18"/>
          <w:color w:val="auto"/>
        </w:rPr>
        <w:t>In the course of the employment relationship with each NEO, the Company communicates to the named executive officer the amount of base salary approved by the Compensation Committee of the Board of Directors, which compensation is subject to change in the discretion of the Compensation Committee of the Board of Directors (provided Dr. Low’s employment agreements set a minimum base pay amount). The following table sets forth the annual base salary as communicated to the named executive officers of the Company as in effect on February 14, 2026:</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2300" w:type="dxa"/>
            <w:vAlign w:val="bottom"/>
            <w:tcBorders>
              <w:top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20" w:type="dxa"/>
            <w:vAlign w:val="bottom"/>
            <w:tcBorders>
              <w:top w:val="single" w:sz="8" w:color="8FAADC"/>
              <w:right w:val="single" w:sz="8" w:color="8FAADC"/>
            </w:tcBorders>
            <w:shd w:val="clear" w:color="auto" w:fill="DAE3F3"/>
          </w:tcPr>
          <w:p>
            <w:pPr>
              <w:spacing w:after="0"/>
              <w:rPr>
                <w:sz w:val="15"/>
                <w:szCs w:val="15"/>
                <w:color w:val="auto"/>
              </w:rPr>
            </w:pPr>
          </w:p>
        </w:tc>
        <w:tc>
          <w:tcPr>
            <w:tcW w:w="4200" w:type="dxa"/>
            <w:vAlign w:val="bottom"/>
            <w:tcBorders>
              <w:top w:val="single" w:sz="8" w:color="8FAADC"/>
              <w:right w:val="single" w:sz="8" w:color="8FAADC"/>
            </w:tcBorders>
            <w:shd w:val="clear" w:color="auto" w:fill="DAE3F3"/>
          </w:tcPr>
          <w:p>
            <w:pPr>
              <w:ind w:left="1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0" w:type="dxa"/>
            <w:vAlign w:val="bottom"/>
            <w:tcBorders>
              <w:top w:val="single" w:sz="8" w:color="8FAADC"/>
              <w:right w:val="single" w:sz="8" w:color="8FAADC"/>
            </w:tcBorders>
            <w:shd w:val="clear" w:color="auto" w:fill="DAE3F3"/>
          </w:tcPr>
          <w:p>
            <w:pPr>
              <w:spacing w:after="0"/>
              <w:rPr>
                <w:sz w:val="15"/>
                <w:szCs w:val="15"/>
                <w:color w:val="auto"/>
              </w:rPr>
            </w:pPr>
          </w:p>
        </w:tc>
        <w:tc>
          <w:tcPr>
            <w:tcW w:w="180" w:type="dxa"/>
            <w:vAlign w:val="bottom"/>
            <w:tcBorders>
              <w:top w:val="single" w:sz="8" w:color="8FAADC"/>
            </w:tcBorders>
            <w:shd w:val="clear" w:color="auto" w:fill="DAE3F3"/>
          </w:tcPr>
          <w:p>
            <w:pPr>
              <w:spacing w:after="0"/>
              <w:rPr>
                <w:sz w:val="15"/>
                <w:szCs w:val="15"/>
                <w:color w:val="auto"/>
              </w:rPr>
            </w:pPr>
          </w:p>
        </w:tc>
        <w:tc>
          <w:tcPr>
            <w:tcW w:w="1140" w:type="dxa"/>
            <w:vAlign w:val="bottom"/>
            <w:tcBorders>
              <w:top w:val="single" w:sz="8" w:color="8FAADC"/>
              <w:right w:val="single" w:sz="8" w:color="8FAADC"/>
            </w:tcBorders>
            <w:gridSpan w:val="2"/>
            <w:shd w:val="clear" w:color="auto" w:fill="DAE3F3"/>
          </w:tcPr>
          <w:p>
            <w:pPr>
              <w:spacing w:after="0"/>
              <w:rPr>
                <w:sz w:val="20"/>
                <w:szCs w:val="20"/>
                <w:color w:val="auto"/>
              </w:rPr>
            </w:pPr>
            <w:r>
              <w:rPr>
                <w:rFonts w:ascii="Times New Roman" w:cs="Times New Roman" w:eastAsia="Times New Roman" w:hAnsi="Times New Roman"/>
                <w:sz w:val="14"/>
                <w:szCs w:val="14"/>
                <w:b w:val="1"/>
                <w:bCs w:val="1"/>
                <w:color w:val="auto"/>
              </w:rPr>
              <w:t>Rate of Annual</w:t>
            </w:r>
          </w:p>
        </w:tc>
        <w:tc>
          <w:tcPr>
            <w:tcW w:w="180" w:type="dxa"/>
            <w:vAlign w:val="bottom"/>
            <w:tcBorders>
              <w:top w:val="single" w:sz="8" w:color="8FAADC"/>
            </w:tcBorders>
            <w:shd w:val="clear" w:color="auto" w:fill="DAE3F3"/>
          </w:tcPr>
          <w:p>
            <w:pPr>
              <w:spacing w:after="0"/>
              <w:rPr>
                <w:sz w:val="15"/>
                <w:szCs w:val="15"/>
                <w:color w:val="auto"/>
              </w:rPr>
            </w:pPr>
          </w:p>
        </w:tc>
        <w:tc>
          <w:tcPr>
            <w:tcW w:w="80" w:type="dxa"/>
            <w:vAlign w:val="bottom"/>
            <w:tcBorders>
              <w:top w:val="single" w:sz="8" w:color="8FAADC"/>
            </w:tcBorders>
            <w:shd w:val="clear" w:color="auto" w:fill="DAE3F3"/>
          </w:tcPr>
          <w:p>
            <w:pPr>
              <w:spacing w:after="0"/>
              <w:rPr>
                <w:sz w:val="15"/>
                <w:szCs w:val="15"/>
                <w:color w:val="auto"/>
              </w:rPr>
            </w:pPr>
          </w:p>
        </w:tc>
      </w:tr>
      <w:tr>
        <w:trPr>
          <w:trHeight w:val="187"/>
        </w:trPr>
        <w:tc>
          <w:tcPr>
            <w:tcW w:w="2300" w:type="dxa"/>
            <w:vAlign w:val="bottom"/>
            <w:tcBorders>
              <w:bottom w:val="single" w:sz="8" w:color="8FAADC"/>
              <w:right w:val="single" w:sz="8" w:color="8FAADC"/>
            </w:tcBorders>
            <w:shd w:val="clear" w:color="auto" w:fill="DAE3F3"/>
          </w:tcPr>
          <w:p>
            <w:pPr>
              <w:spacing w:after="0"/>
              <w:rPr>
                <w:sz w:val="16"/>
                <w:szCs w:val="16"/>
                <w:color w:val="auto"/>
              </w:rPr>
            </w:pPr>
          </w:p>
        </w:tc>
        <w:tc>
          <w:tcPr>
            <w:tcW w:w="320" w:type="dxa"/>
            <w:vAlign w:val="bottom"/>
            <w:tcBorders>
              <w:bottom w:val="single" w:sz="8" w:color="8FAADC"/>
              <w:right w:val="single" w:sz="8" w:color="8FAADC"/>
            </w:tcBorders>
            <w:shd w:val="clear" w:color="auto" w:fill="DAE3F3"/>
          </w:tcPr>
          <w:p>
            <w:pPr>
              <w:spacing w:after="0"/>
              <w:rPr>
                <w:sz w:val="16"/>
                <w:szCs w:val="16"/>
                <w:color w:val="auto"/>
              </w:rPr>
            </w:pPr>
          </w:p>
        </w:tc>
        <w:tc>
          <w:tcPr>
            <w:tcW w:w="4200" w:type="dxa"/>
            <w:vAlign w:val="bottom"/>
            <w:tcBorders>
              <w:bottom w:val="single" w:sz="8" w:color="8FAADC"/>
              <w:right w:val="single" w:sz="8" w:color="8FAADC"/>
            </w:tcBorders>
            <w:shd w:val="clear" w:color="auto" w:fill="DAE3F3"/>
          </w:tcPr>
          <w:p>
            <w:pPr>
              <w:spacing w:after="0"/>
              <w:rPr>
                <w:sz w:val="16"/>
                <w:szCs w:val="16"/>
                <w:color w:val="auto"/>
              </w:rPr>
            </w:pPr>
          </w:p>
        </w:tc>
        <w:tc>
          <w:tcPr>
            <w:tcW w:w="260" w:type="dxa"/>
            <w:vAlign w:val="bottom"/>
            <w:tcBorders>
              <w:bottom w:val="single" w:sz="8" w:color="8FAADC"/>
              <w:right w:val="single" w:sz="8" w:color="8FAADC"/>
            </w:tcBorders>
            <w:shd w:val="clear" w:color="auto" w:fill="DAE3F3"/>
          </w:tcPr>
          <w:p>
            <w:pPr>
              <w:spacing w:after="0"/>
              <w:rPr>
                <w:sz w:val="16"/>
                <w:szCs w:val="16"/>
                <w:color w:val="auto"/>
              </w:rPr>
            </w:pPr>
          </w:p>
        </w:tc>
        <w:tc>
          <w:tcPr>
            <w:tcW w:w="180" w:type="dxa"/>
            <w:vAlign w:val="bottom"/>
            <w:tcBorders>
              <w:bottom w:val="single" w:sz="8" w:color="8FAADC"/>
            </w:tcBorders>
            <w:shd w:val="clear" w:color="auto" w:fill="DAE3F3"/>
          </w:tcPr>
          <w:p>
            <w:pPr>
              <w:spacing w:after="0"/>
              <w:rPr>
                <w:sz w:val="16"/>
                <w:szCs w:val="16"/>
                <w:color w:val="auto"/>
              </w:rPr>
            </w:pPr>
          </w:p>
        </w:tc>
        <w:tc>
          <w:tcPr>
            <w:tcW w:w="120" w:type="dxa"/>
            <w:vAlign w:val="bottom"/>
            <w:tcBorders>
              <w:bottom w:val="single" w:sz="8" w:color="8FAADC"/>
              <w:right w:val="single" w:sz="8" w:color="DAE3F3"/>
            </w:tcBorders>
            <w:shd w:val="clear" w:color="auto" w:fill="DAE3F3"/>
          </w:tcPr>
          <w:p>
            <w:pPr>
              <w:spacing w:after="0"/>
              <w:rPr>
                <w:sz w:val="16"/>
                <w:szCs w:val="16"/>
                <w:color w:val="auto"/>
              </w:rPr>
            </w:pPr>
          </w:p>
        </w:tc>
        <w:tc>
          <w:tcPr>
            <w:tcW w:w="102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4"/>
                <w:szCs w:val="14"/>
                <w:b w:val="1"/>
                <w:bCs w:val="1"/>
                <w:color w:val="auto"/>
              </w:rPr>
              <w:t>Base Pay</w:t>
            </w:r>
          </w:p>
        </w:tc>
        <w:tc>
          <w:tcPr>
            <w:tcW w:w="180" w:type="dxa"/>
            <w:vAlign w:val="bottom"/>
            <w:tcBorders>
              <w:bottom w:val="single" w:sz="8" w:color="8FAADC"/>
            </w:tcBorders>
            <w:shd w:val="clear" w:color="auto" w:fill="DAE3F3"/>
          </w:tcPr>
          <w:p>
            <w:pPr>
              <w:spacing w:after="0"/>
              <w:rPr>
                <w:sz w:val="16"/>
                <w:szCs w:val="16"/>
                <w:color w:val="auto"/>
              </w:rPr>
            </w:pPr>
          </w:p>
        </w:tc>
        <w:tc>
          <w:tcPr>
            <w:tcW w:w="80" w:type="dxa"/>
            <w:vAlign w:val="bottom"/>
            <w:tcBorders>
              <w:bottom w:val="single" w:sz="8" w:color="8FAADC"/>
            </w:tcBorders>
            <w:shd w:val="clear" w:color="auto" w:fill="DAE3F3"/>
          </w:tcPr>
          <w:p>
            <w:pPr>
              <w:spacing w:after="0"/>
              <w:rPr>
                <w:sz w:val="16"/>
                <w:szCs w:val="16"/>
                <w:color w:val="auto"/>
              </w:rPr>
            </w:pPr>
          </w:p>
        </w:tc>
      </w:tr>
      <w:tr>
        <w:trPr>
          <w:trHeight w:val="210"/>
        </w:trPr>
        <w:tc>
          <w:tcPr>
            <w:tcW w:w="230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Russell J. Low</w:t>
            </w:r>
          </w:p>
        </w:tc>
        <w:tc>
          <w:tcPr>
            <w:tcW w:w="320" w:type="dxa"/>
            <w:vAlign w:val="bottom"/>
            <w:tcBorders>
              <w:bottom w:val="single" w:sz="8" w:color="8FAADC"/>
              <w:right w:val="single" w:sz="8" w:color="8FAADC"/>
            </w:tcBorders>
          </w:tcPr>
          <w:p>
            <w:pPr>
              <w:spacing w:after="0"/>
              <w:rPr>
                <w:sz w:val="18"/>
                <w:szCs w:val="18"/>
                <w:color w:val="auto"/>
              </w:rPr>
            </w:pPr>
          </w:p>
        </w:tc>
        <w:tc>
          <w:tcPr>
            <w:tcW w:w="4200" w:type="dxa"/>
            <w:vAlign w:val="bottom"/>
            <w:tcBorders>
              <w:bottom w:val="single" w:sz="8" w:color="8FAADC"/>
              <w:right w:val="single" w:sz="8" w:color="8FAADC"/>
            </w:tcBorders>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0" w:type="dxa"/>
            <w:vAlign w:val="bottom"/>
            <w:tcBorders>
              <w:bottom w:val="single" w:sz="8" w:color="8FAADC"/>
              <w:right w:val="single" w:sz="8" w:color="8FAADC"/>
            </w:tcBorders>
          </w:tcPr>
          <w:p>
            <w:pPr>
              <w:spacing w:after="0"/>
              <w:rPr>
                <w:sz w:val="18"/>
                <w:szCs w:val="18"/>
                <w:color w:val="auto"/>
              </w:rPr>
            </w:pPr>
          </w:p>
        </w:tc>
        <w:tc>
          <w:tcPr>
            <w:tcW w:w="180" w:type="dxa"/>
            <w:vAlign w:val="bottom"/>
            <w:tcBorders>
              <w:bottom w:val="single" w:sz="8" w:color="8FAAD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8FAADC"/>
              <w:right w:val="single" w:sz="8" w:color="8FAADC"/>
            </w:tcBorders>
          </w:tcPr>
          <w:p>
            <w:pPr>
              <w:spacing w:after="0"/>
              <w:rPr>
                <w:sz w:val="18"/>
                <w:szCs w:val="18"/>
                <w:color w:val="auto"/>
              </w:rPr>
            </w:pPr>
          </w:p>
        </w:tc>
        <w:tc>
          <w:tcPr>
            <w:tcW w:w="102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tcBorders>
              <w:bottom w:val="single" w:sz="8" w:color="8FAADC"/>
            </w:tcBorders>
          </w:tcPr>
          <w:p>
            <w:pPr>
              <w:spacing w:after="0"/>
              <w:rPr>
                <w:sz w:val="18"/>
                <w:szCs w:val="18"/>
                <w:color w:val="auto"/>
              </w:rPr>
            </w:pPr>
          </w:p>
        </w:tc>
        <w:tc>
          <w:tcPr>
            <w:tcW w:w="80" w:type="dxa"/>
            <w:vAlign w:val="bottom"/>
            <w:tcBorders>
              <w:bottom w:val="single" w:sz="8" w:color="8FAADC"/>
            </w:tcBorders>
          </w:tcPr>
          <w:p>
            <w:pPr>
              <w:spacing w:after="0"/>
              <w:rPr>
                <w:sz w:val="18"/>
                <w:szCs w:val="18"/>
                <w:color w:val="auto"/>
              </w:rPr>
            </w:pPr>
          </w:p>
        </w:tc>
      </w:tr>
      <w:tr>
        <w:trPr>
          <w:trHeight w:val="210"/>
        </w:trPr>
        <w:tc>
          <w:tcPr>
            <w:tcW w:w="230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8"/>
                <w:szCs w:val="18"/>
                <w:color w:val="auto"/>
              </w:rPr>
              <w:t>James G. Coogan</w:t>
            </w:r>
          </w:p>
        </w:tc>
        <w:tc>
          <w:tcPr>
            <w:tcW w:w="320" w:type="dxa"/>
            <w:vAlign w:val="bottom"/>
            <w:tcBorders>
              <w:bottom w:val="single" w:sz="8" w:color="8FAADC"/>
              <w:right w:val="single" w:sz="8" w:color="8FAADC"/>
            </w:tcBorders>
            <w:shd w:val="clear" w:color="auto" w:fill="DAE3F3"/>
          </w:tcPr>
          <w:p>
            <w:pPr>
              <w:spacing w:after="0"/>
              <w:rPr>
                <w:sz w:val="18"/>
                <w:szCs w:val="18"/>
                <w:color w:val="auto"/>
              </w:rPr>
            </w:pPr>
          </w:p>
        </w:tc>
        <w:tc>
          <w:tcPr>
            <w:tcW w:w="4200" w:type="dxa"/>
            <w:vAlign w:val="bottom"/>
            <w:tcBorders>
              <w:bottom w:val="single" w:sz="8" w:color="8FAADC"/>
              <w:right w:val="single" w:sz="8" w:color="8FAADC"/>
            </w:tcBorders>
            <w:shd w:val="clear" w:color="auto" w:fill="DAE3F3"/>
          </w:tcPr>
          <w:p>
            <w:pPr>
              <w:ind w:left="100"/>
              <w:spacing w:after="0"/>
              <w:rPr>
                <w:sz w:val="20"/>
                <w:szCs w:val="20"/>
                <w:color w:val="auto"/>
              </w:rPr>
            </w:pPr>
            <w:r>
              <w:rPr>
                <w:rFonts w:ascii="Times New Roman" w:cs="Times New Roman" w:eastAsia="Times New Roman" w:hAnsi="Times New Roman"/>
                <w:sz w:val="18"/>
                <w:szCs w:val="18"/>
                <w:color w:val="auto"/>
              </w:rPr>
              <w:t>Executive VP and Chief Financial Officer</w:t>
            </w:r>
          </w:p>
        </w:tc>
        <w:tc>
          <w:tcPr>
            <w:tcW w:w="260" w:type="dxa"/>
            <w:vAlign w:val="bottom"/>
            <w:tcBorders>
              <w:bottom w:val="single" w:sz="8" w:color="8FAADC"/>
              <w:right w:val="single" w:sz="8" w:color="8FAADC"/>
            </w:tcBorders>
            <w:shd w:val="clear" w:color="auto" w:fill="DAE3F3"/>
          </w:tcPr>
          <w:p>
            <w:pPr>
              <w:spacing w:after="0"/>
              <w:rPr>
                <w:sz w:val="18"/>
                <w:szCs w:val="18"/>
                <w:color w:val="auto"/>
              </w:rPr>
            </w:pPr>
          </w:p>
        </w:tc>
        <w:tc>
          <w:tcPr>
            <w:tcW w:w="180" w:type="dxa"/>
            <w:vAlign w:val="bottom"/>
            <w:tcBorders>
              <w:bottom w:val="single" w:sz="8" w:color="8FAADC"/>
            </w:tcBorders>
            <w:shd w:val="clear" w:color="auto" w:fill="DAE3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8FAADC"/>
              <w:right w:val="single" w:sz="8" w:color="8FAADC"/>
            </w:tcBorders>
            <w:shd w:val="clear" w:color="auto" w:fill="DAE3F3"/>
          </w:tcPr>
          <w:p>
            <w:pPr>
              <w:spacing w:after="0"/>
              <w:rPr>
                <w:sz w:val="18"/>
                <w:szCs w:val="18"/>
                <w:color w:val="auto"/>
              </w:rPr>
            </w:pPr>
          </w:p>
        </w:tc>
        <w:tc>
          <w:tcPr>
            <w:tcW w:w="102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8"/>
                <w:szCs w:val="18"/>
                <w:color w:val="auto"/>
              </w:rPr>
              <w:t>485,000</w:t>
            </w:r>
          </w:p>
        </w:tc>
        <w:tc>
          <w:tcPr>
            <w:tcW w:w="180" w:type="dxa"/>
            <w:vAlign w:val="bottom"/>
            <w:tcBorders>
              <w:bottom w:val="single" w:sz="8" w:color="8FAADC"/>
            </w:tcBorders>
            <w:shd w:val="clear" w:color="auto" w:fill="DAE3F3"/>
          </w:tcPr>
          <w:p>
            <w:pPr>
              <w:spacing w:after="0"/>
              <w:rPr>
                <w:sz w:val="18"/>
                <w:szCs w:val="18"/>
                <w:color w:val="auto"/>
              </w:rPr>
            </w:pPr>
          </w:p>
        </w:tc>
        <w:tc>
          <w:tcPr>
            <w:tcW w:w="80" w:type="dxa"/>
            <w:vAlign w:val="bottom"/>
            <w:tcBorders>
              <w:bottom w:val="single" w:sz="8" w:color="8FAADC"/>
            </w:tcBorders>
            <w:shd w:val="clear" w:color="auto" w:fill="DAE3F3"/>
          </w:tcPr>
          <w:p>
            <w:pPr>
              <w:spacing w:after="0"/>
              <w:rPr>
                <w:sz w:val="18"/>
                <w:szCs w:val="18"/>
                <w:color w:val="auto"/>
              </w:rPr>
            </w:pPr>
          </w:p>
        </w:tc>
      </w:tr>
      <w:tr>
        <w:trPr>
          <w:trHeight w:val="209"/>
        </w:trPr>
        <w:tc>
          <w:tcPr>
            <w:tcW w:w="230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Eileen J. Evans</w:t>
            </w:r>
          </w:p>
        </w:tc>
        <w:tc>
          <w:tcPr>
            <w:tcW w:w="320" w:type="dxa"/>
            <w:vAlign w:val="bottom"/>
            <w:tcBorders>
              <w:bottom w:val="single" w:sz="8" w:color="8FAADC"/>
              <w:right w:val="single" w:sz="8" w:color="8FAADC"/>
            </w:tcBorders>
          </w:tcPr>
          <w:p>
            <w:pPr>
              <w:spacing w:after="0"/>
              <w:rPr>
                <w:sz w:val="18"/>
                <w:szCs w:val="18"/>
                <w:color w:val="auto"/>
              </w:rPr>
            </w:pPr>
          </w:p>
        </w:tc>
        <w:tc>
          <w:tcPr>
            <w:tcW w:w="4200" w:type="dxa"/>
            <w:vAlign w:val="bottom"/>
            <w:tcBorders>
              <w:bottom w:val="single" w:sz="8" w:color="8FAADC"/>
              <w:right w:val="single" w:sz="8" w:color="8FAADC"/>
            </w:tcBorders>
          </w:tcPr>
          <w:p>
            <w:pPr>
              <w:ind w:left="100"/>
              <w:spacing w:after="0"/>
              <w:rPr>
                <w:sz w:val="20"/>
                <w:szCs w:val="20"/>
                <w:color w:val="auto"/>
              </w:rPr>
            </w:pPr>
            <w:r>
              <w:rPr>
                <w:rFonts w:ascii="Times New Roman" w:cs="Times New Roman" w:eastAsia="Times New Roman" w:hAnsi="Times New Roman"/>
                <w:sz w:val="18"/>
                <w:szCs w:val="18"/>
                <w:color w:val="auto"/>
              </w:rPr>
              <w:t>Executive VP, HR and Legal, and General Counsel</w:t>
            </w:r>
          </w:p>
        </w:tc>
        <w:tc>
          <w:tcPr>
            <w:tcW w:w="260" w:type="dxa"/>
            <w:vAlign w:val="bottom"/>
            <w:tcBorders>
              <w:bottom w:val="single" w:sz="8" w:color="8FAADC"/>
              <w:right w:val="single" w:sz="8" w:color="8FAADC"/>
            </w:tcBorders>
          </w:tcPr>
          <w:p>
            <w:pPr>
              <w:spacing w:after="0"/>
              <w:rPr>
                <w:sz w:val="18"/>
                <w:szCs w:val="18"/>
                <w:color w:val="auto"/>
              </w:rPr>
            </w:pPr>
          </w:p>
        </w:tc>
        <w:tc>
          <w:tcPr>
            <w:tcW w:w="180" w:type="dxa"/>
            <w:vAlign w:val="bottom"/>
            <w:tcBorders>
              <w:bottom w:val="single" w:sz="8" w:color="8FAAD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8FAADC"/>
              <w:right w:val="single" w:sz="8" w:color="8FAADC"/>
            </w:tcBorders>
          </w:tcPr>
          <w:p>
            <w:pPr>
              <w:spacing w:after="0"/>
              <w:rPr>
                <w:sz w:val="18"/>
                <w:szCs w:val="18"/>
                <w:color w:val="auto"/>
              </w:rPr>
            </w:pPr>
          </w:p>
        </w:tc>
        <w:tc>
          <w:tcPr>
            <w:tcW w:w="102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420,000</w:t>
            </w:r>
          </w:p>
        </w:tc>
        <w:tc>
          <w:tcPr>
            <w:tcW w:w="180" w:type="dxa"/>
            <w:vAlign w:val="bottom"/>
            <w:tcBorders>
              <w:bottom w:val="single" w:sz="8" w:color="8FAADC"/>
            </w:tcBorders>
          </w:tcPr>
          <w:p>
            <w:pPr>
              <w:spacing w:after="0"/>
              <w:rPr>
                <w:sz w:val="18"/>
                <w:szCs w:val="18"/>
                <w:color w:val="auto"/>
              </w:rPr>
            </w:pPr>
          </w:p>
        </w:tc>
        <w:tc>
          <w:tcPr>
            <w:tcW w:w="80" w:type="dxa"/>
            <w:vAlign w:val="bottom"/>
            <w:tcBorders>
              <w:bottom w:val="single" w:sz="8" w:color="8FAADC"/>
            </w:tcBorders>
          </w:tcPr>
          <w:p>
            <w:pPr>
              <w:spacing w:after="0"/>
              <w:rPr>
                <w:sz w:val="18"/>
                <w:szCs w:val="18"/>
                <w:color w:val="auto"/>
              </w:rPr>
            </w:pPr>
          </w:p>
        </w:tc>
      </w:tr>
      <w:tr>
        <w:trPr>
          <w:trHeight w:val="210"/>
        </w:trPr>
        <w:tc>
          <w:tcPr>
            <w:tcW w:w="230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8"/>
                <w:szCs w:val="18"/>
                <w:color w:val="auto"/>
              </w:rPr>
              <w:t>Gregory F. Redinbo</w:t>
            </w:r>
          </w:p>
        </w:tc>
        <w:tc>
          <w:tcPr>
            <w:tcW w:w="320" w:type="dxa"/>
            <w:vAlign w:val="bottom"/>
            <w:tcBorders>
              <w:bottom w:val="single" w:sz="8" w:color="8FAADC"/>
              <w:right w:val="single" w:sz="8" w:color="8FAADC"/>
            </w:tcBorders>
            <w:shd w:val="clear" w:color="auto" w:fill="DAE3F3"/>
          </w:tcPr>
          <w:p>
            <w:pPr>
              <w:spacing w:after="0"/>
              <w:rPr>
                <w:sz w:val="18"/>
                <w:szCs w:val="18"/>
                <w:color w:val="auto"/>
              </w:rPr>
            </w:pPr>
          </w:p>
        </w:tc>
        <w:tc>
          <w:tcPr>
            <w:tcW w:w="4200" w:type="dxa"/>
            <w:vAlign w:val="bottom"/>
            <w:tcBorders>
              <w:bottom w:val="single" w:sz="8" w:color="8FAADC"/>
              <w:right w:val="single" w:sz="8" w:color="8FAADC"/>
            </w:tcBorders>
            <w:shd w:val="clear" w:color="auto" w:fill="DAE3F3"/>
          </w:tcPr>
          <w:p>
            <w:pPr>
              <w:ind w:left="100"/>
              <w:spacing w:after="0"/>
              <w:rPr>
                <w:sz w:val="20"/>
                <w:szCs w:val="20"/>
                <w:color w:val="auto"/>
              </w:rPr>
            </w:pPr>
            <w:r>
              <w:rPr>
                <w:rFonts w:ascii="Times New Roman" w:cs="Times New Roman" w:eastAsia="Times New Roman" w:hAnsi="Times New Roman"/>
                <w:sz w:val="18"/>
                <w:szCs w:val="18"/>
                <w:color w:val="auto"/>
              </w:rPr>
              <w:t>Executive VP, Marketing and Applications</w:t>
            </w:r>
          </w:p>
        </w:tc>
        <w:tc>
          <w:tcPr>
            <w:tcW w:w="260" w:type="dxa"/>
            <w:vAlign w:val="bottom"/>
            <w:tcBorders>
              <w:bottom w:val="single" w:sz="8" w:color="8FAADC"/>
              <w:right w:val="single" w:sz="8" w:color="8FAADC"/>
            </w:tcBorders>
            <w:shd w:val="clear" w:color="auto" w:fill="DAE3F3"/>
          </w:tcPr>
          <w:p>
            <w:pPr>
              <w:spacing w:after="0"/>
              <w:rPr>
                <w:sz w:val="18"/>
                <w:szCs w:val="18"/>
                <w:color w:val="auto"/>
              </w:rPr>
            </w:pPr>
          </w:p>
        </w:tc>
        <w:tc>
          <w:tcPr>
            <w:tcW w:w="180" w:type="dxa"/>
            <w:vAlign w:val="bottom"/>
            <w:tcBorders>
              <w:bottom w:val="single" w:sz="8" w:color="8FAADC"/>
            </w:tcBorders>
            <w:shd w:val="clear" w:color="auto" w:fill="DAE3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8FAADC"/>
              <w:right w:val="single" w:sz="8" w:color="8FAADC"/>
            </w:tcBorders>
            <w:shd w:val="clear" w:color="auto" w:fill="DAE3F3"/>
          </w:tcPr>
          <w:p>
            <w:pPr>
              <w:spacing w:after="0"/>
              <w:rPr>
                <w:sz w:val="18"/>
                <w:szCs w:val="18"/>
                <w:color w:val="auto"/>
              </w:rPr>
            </w:pPr>
          </w:p>
        </w:tc>
        <w:tc>
          <w:tcPr>
            <w:tcW w:w="102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Borders>
              <w:bottom w:val="single" w:sz="8" w:color="8FAADC"/>
            </w:tcBorders>
            <w:shd w:val="clear" w:color="auto" w:fill="DAE3F3"/>
          </w:tcPr>
          <w:p>
            <w:pPr>
              <w:spacing w:after="0"/>
              <w:rPr>
                <w:sz w:val="18"/>
                <w:szCs w:val="18"/>
                <w:color w:val="auto"/>
              </w:rPr>
            </w:pPr>
          </w:p>
        </w:tc>
        <w:tc>
          <w:tcPr>
            <w:tcW w:w="80" w:type="dxa"/>
            <w:vAlign w:val="bottom"/>
            <w:tcBorders>
              <w:bottom w:val="single" w:sz="8" w:color="8FAADC"/>
            </w:tcBorders>
            <w:shd w:val="clear" w:color="auto" w:fill="DAE3F3"/>
          </w:tcPr>
          <w:p>
            <w:pPr>
              <w:spacing w:after="0"/>
              <w:rPr>
                <w:sz w:val="18"/>
                <w:szCs w:val="18"/>
                <w:color w:val="auto"/>
              </w:rPr>
            </w:pPr>
          </w:p>
        </w:tc>
      </w:tr>
      <w:tr>
        <w:trPr>
          <w:trHeight w:val="210"/>
        </w:trPr>
        <w:tc>
          <w:tcPr>
            <w:tcW w:w="230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Christopher J. Tatnall</w:t>
            </w:r>
          </w:p>
        </w:tc>
        <w:tc>
          <w:tcPr>
            <w:tcW w:w="320" w:type="dxa"/>
            <w:vAlign w:val="bottom"/>
            <w:tcBorders>
              <w:bottom w:val="single" w:sz="8" w:color="8FAADC"/>
              <w:right w:val="single" w:sz="8" w:color="8FAADC"/>
            </w:tcBorders>
          </w:tcPr>
          <w:p>
            <w:pPr>
              <w:spacing w:after="0"/>
              <w:rPr>
                <w:sz w:val="18"/>
                <w:szCs w:val="18"/>
                <w:color w:val="auto"/>
              </w:rPr>
            </w:pPr>
          </w:p>
        </w:tc>
        <w:tc>
          <w:tcPr>
            <w:tcW w:w="4200" w:type="dxa"/>
            <w:vAlign w:val="bottom"/>
            <w:tcBorders>
              <w:bottom w:val="single" w:sz="8" w:color="8FAADC"/>
              <w:right w:val="single" w:sz="8" w:color="8FAADC"/>
            </w:tcBorders>
          </w:tcPr>
          <w:p>
            <w:pPr>
              <w:ind w:left="100"/>
              <w:spacing w:after="0"/>
              <w:rPr>
                <w:sz w:val="20"/>
                <w:szCs w:val="20"/>
                <w:color w:val="auto"/>
              </w:rPr>
            </w:pPr>
            <w:r>
              <w:rPr>
                <w:rFonts w:ascii="Times New Roman" w:cs="Times New Roman" w:eastAsia="Times New Roman" w:hAnsi="Times New Roman"/>
                <w:sz w:val="18"/>
                <w:szCs w:val="18"/>
                <w:color w:val="auto"/>
              </w:rPr>
              <w:t>Executive VP, Global Customer Operations</w:t>
            </w:r>
          </w:p>
        </w:tc>
        <w:tc>
          <w:tcPr>
            <w:tcW w:w="260" w:type="dxa"/>
            <w:vAlign w:val="bottom"/>
            <w:tcBorders>
              <w:bottom w:val="single" w:sz="8" w:color="8FAADC"/>
              <w:right w:val="single" w:sz="8" w:color="8FAADC"/>
            </w:tcBorders>
          </w:tcPr>
          <w:p>
            <w:pPr>
              <w:spacing w:after="0"/>
              <w:rPr>
                <w:sz w:val="18"/>
                <w:szCs w:val="18"/>
                <w:color w:val="auto"/>
              </w:rPr>
            </w:pPr>
          </w:p>
        </w:tc>
        <w:tc>
          <w:tcPr>
            <w:tcW w:w="180" w:type="dxa"/>
            <w:vAlign w:val="bottom"/>
            <w:tcBorders>
              <w:bottom w:val="single" w:sz="8" w:color="8FAAD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8FAADC"/>
              <w:right w:val="single" w:sz="8" w:color="8FAADC"/>
            </w:tcBorders>
          </w:tcPr>
          <w:p>
            <w:pPr>
              <w:spacing w:after="0"/>
              <w:rPr>
                <w:sz w:val="18"/>
                <w:szCs w:val="18"/>
                <w:color w:val="auto"/>
              </w:rPr>
            </w:pPr>
          </w:p>
        </w:tc>
        <w:tc>
          <w:tcPr>
            <w:tcW w:w="102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Borders>
              <w:bottom w:val="single" w:sz="8" w:color="8FAADC"/>
            </w:tcBorders>
          </w:tcPr>
          <w:p>
            <w:pPr>
              <w:spacing w:after="0"/>
              <w:rPr>
                <w:sz w:val="18"/>
                <w:szCs w:val="18"/>
                <w:color w:val="auto"/>
              </w:rPr>
            </w:pPr>
          </w:p>
        </w:tc>
        <w:tc>
          <w:tcPr>
            <w:tcW w:w="80" w:type="dxa"/>
            <w:vAlign w:val="bottom"/>
            <w:tcBorders>
              <w:bottom w:val="single" w:sz="8" w:color="8FAADC"/>
            </w:tcBorders>
          </w:tcPr>
          <w:p>
            <w:pPr>
              <w:spacing w:after="0"/>
              <w:rPr>
                <w:sz w:val="18"/>
                <w:szCs w:val="18"/>
                <w:color w:val="auto"/>
              </w:rPr>
            </w:pPr>
          </w:p>
        </w:tc>
      </w:tr>
      <w:tr>
        <w:trPr>
          <w:trHeight w:val="210"/>
        </w:trPr>
        <w:tc>
          <w:tcPr>
            <w:tcW w:w="230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8"/>
                <w:szCs w:val="18"/>
                <w:color w:val="auto"/>
              </w:rPr>
              <w:t>Gerald M. Blumenstock</w:t>
            </w:r>
          </w:p>
        </w:tc>
        <w:tc>
          <w:tcPr>
            <w:tcW w:w="320" w:type="dxa"/>
            <w:vAlign w:val="bottom"/>
            <w:tcBorders>
              <w:bottom w:val="single" w:sz="8" w:color="8FAADC"/>
              <w:right w:val="single" w:sz="8" w:color="8FAADC"/>
            </w:tcBorders>
            <w:shd w:val="clear" w:color="auto" w:fill="DAE3F3"/>
          </w:tcPr>
          <w:p>
            <w:pPr>
              <w:spacing w:after="0"/>
              <w:rPr>
                <w:sz w:val="18"/>
                <w:szCs w:val="18"/>
                <w:color w:val="auto"/>
              </w:rPr>
            </w:pPr>
          </w:p>
        </w:tc>
        <w:tc>
          <w:tcPr>
            <w:tcW w:w="4200" w:type="dxa"/>
            <w:vAlign w:val="bottom"/>
            <w:tcBorders>
              <w:bottom w:val="single" w:sz="8" w:color="8FAADC"/>
              <w:right w:val="single" w:sz="8" w:color="8FAADC"/>
            </w:tcBorders>
            <w:shd w:val="clear" w:color="auto" w:fill="DAE3F3"/>
          </w:tcPr>
          <w:p>
            <w:pPr>
              <w:ind w:left="100"/>
              <w:spacing w:after="0"/>
              <w:rPr>
                <w:sz w:val="20"/>
                <w:szCs w:val="20"/>
                <w:color w:val="auto"/>
              </w:rPr>
            </w:pPr>
            <w:r>
              <w:rPr>
                <w:rFonts w:ascii="Times New Roman" w:cs="Times New Roman" w:eastAsia="Times New Roman" w:hAnsi="Times New Roman"/>
                <w:sz w:val="18"/>
                <w:szCs w:val="18"/>
                <w:color w:val="auto"/>
              </w:rPr>
              <w:t>Executive VP, Research, Development &amp; Engineering</w:t>
            </w:r>
          </w:p>
        </w:tc>
        <w:tc>
          <w:tcPr>
            <w:tcW w:w="260" w:type="dxa"/>
            <w:vAlign w:val="bottom"/>
            <w:tcBorders>
              <w:bottom w:val="single" w:sz="8" w:color="8FAADC"/>
              <w:right w:val="single" w:sz="8" w:color="8FAADC"/>
            </w:tcBorders>
            <w:shd w:val="clear" w:color="auto" w:fill="DAE3F3"/>
          </w:tcPr>
          <w:p>
            <w:pPr>
              <w:spacing w:after="0"/>
              <w:rPr>
                <w:sz w:val="18"/>
                <w:szCs w:val="18"/>
                <w:color w:val="auto"/>
              </w:rPr>
            </w:pPr>
          </w:p>
        </w:tc>
        <w:tc>
          <w:tcPr>
            <w:tcW w:w="180" w:type="dxa"/>
            <w:vAlign w:val="bottom"/>
            <w:tcBorders>
              <w:bottom w:val="single" w:sz="8" w:color="8FAADC"/>
            </w:tcBorders>
            <w:shd w:val="clear" w:color="auto" w:fill="DAE3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8FAADC"/>
              <w:right w:val="single" w:sz="8" w:color="8FAADC"/>
            </w:tcBorders>
            <w:shd w:val="clear" w:color="auto" w:fill="DAE3F3"/>
          </w:tcPr>
          <w:p>
            <w:pPr>
              <w:spacing w:after="0"/>
              <w:rPr>
                <w:sz w:val="18"/>
                <w:szCs w:val="18"/>
                <w:color w:val="auto"/>
              </w:rPr>
            </w:pPr>
          </w:p>
        </w:tc>
        <w:tc>
          <w:tcPr>
            <w:tcW w:w="102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Borders>
              <w:bottom w:val="single" w:sz="8" w:color="8FAADC"/>
            </w:tcBorders>
            <w:shd w:val="clear" w:color="auto" w:fill="DAE3F3"/>
          </w:tcPr>
          <w:p>
            <w:pPr>
              <w:spacing w:after="0"/>
              <w:rPr>
                <w:sz w:val="18"/>
                <w:szCs w:val="18"/>
                <w:color w:val="auto"/>
              </w:rPr>
            </w:pPr>
          </w:p>
        </w:tc>
        <w:tc>
          <w:tcPr>
            <w:tcW w:w="80" w:type="dxa"/>
            <w:vAlign w:val="bottom"/>
            <w:tcBorders>
              <w:bottom w:val="single" w:sz="8" w:color="8FAADC"/>
            </w:tcBorders>
            <w:shd w:val="clear" w:color="auto" w:fill="DAE3F3"/>
          </w:tcPr>
          <w:p>
            <w:pPr>
              <w:spacing w:after="0"/>
              <w:rPr>
                <w:sz w:val="18"/>
                <w:szCs w:val="18"/>
                <w:color w:val="auto"/>
              </w:rPr>
            </w:pPr>
          </w:p>
        </w:tc>
      </w:tr>
      <w:tr>
        <w:trPr>
          <w:trHeight w:val="770"/>
        </w:trPr>
        <w:tc>
          <w:tcPr>
            <w:tcW w:w="2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3" w:name="page94"/>
    <w:bookmarkEnd w:id="93"/>
    <w:p>
      <w:pPr>
        <w:ind w:left="7860"/>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Non-Employee Director Cash Compensation at February 14, 2026</w:t>
      </w:r>
    </w:p>
    <w:p>
      <w:pPr>
        <w:spacing w:after="0" w:line="207" w:lineRule="exact"/>
        <w:rPr>
          <w:sz w:val="20"/>
          <w:szCs w:val="20"/>
          <w:color w:val="auto"/>
        </w:rPr>
      </w:pPr>
    </w:p>
    <w:p>
      <w:pPr>
        <w:ind w:left="200" w:right="460" w:firstLine="648"/>
        <w:spacing w:after="0" w:line="258" w:lineRule="auto"/>
        <w:rPr>
          <w:sz w:val="20"/>
          <w:szCs w:val="20"/>
          <w:color w:val="auto"/>
        </w:rPr>
      </w:pPr>
      <w:r>
        <w:rPr>
          <w:rFonts w:ascii="Times New Roman" w:cs="Times New Roman" w:eastAsia="Times New Roman" w:hAnsi="Times New Roman"/>
          <w:sz w:val="18"/>
          <w:szCs w:val="18"/>
          <w:color w:val="auto"/>
        </w:rPr>
        <w:t>This Exhibit discloses the current understandings with respect to cash compensation between Axcelis Technologies, Inc. (the “Company”) and each of its non-employee directors. Axcelis provides cash retainers to its non-employee directors, as follows:</w:t>
      </w:r>
    </w:p>
    <w:p>
      <w:pPr>
        <w:spacing w:after="0" w:line="181" w:lineRule="exact"/>
        <w:rPr>
          <w:sz w:val="20"/>
          <w:szCs w:val="20"/>
          <w:color w:val="auto"/>
        </w:rPr>
      </w:pPr>
    </w:p>
    <w:tbl>
      <w:tblPr>
        <w:tblLayout w:type="fixed"/>
        <w:tblInd w:w="230" w:type="dxa"/>
        <w:tblCellMar>
          <w:top w:w="0" w:type="dxa"/>
          <w:left w:w="0" w:type="dxa"/>
          <w:bottom w:w="0" w:type="dxa"/>
          <w:right w:w="0" w:type="dxa"/>
        </w:tblCellMar>
      </w:tblPr>
      <w:tr>
        <w:trPr>
          <w:trHeight w:val="224"/>
        </w:trPr>
        <w:tc>
          <w:tcPr>
            <w:tcW w:w="5380" w:type="dxa"/>
            <w:vAlign w:val="bottom"/>
            <w:tcBorders>
              <w:top w:val="single" w:sz="8" w:color="4472C4"/>
              <w:left w:val="single" w:sz="8" w:color="8FAADC"/>
              <w:right w:val="single" w:sz="8" w:color="8FAADC"/>
            </w:tcBorders>
            <w:shd w:val="clear" w:color="auto" w:fill="DAE3F3"/>
          </w:tcPr>
          <w:p>
            <w:pPr>
              <w:ind w:left="100"/>
              <w:spacing w:after="0"/>
              <w:rPr>
                <w:sz w:val="20"/>
                <w:szCs w:val="20"/>
                <w:color w:val="auto"/>
              </w:rPr>
            </w:pPr>
            <w:r>
              <w:rPr>
                <w:rFonts w:ascii="Arial" w:cs="Arial" w:eastAsia="Arial" w:hAnsi="Arial"/>
                <w:sz w:val="18"/>
                <w:szCs w:val="18"/>
                <w:b w:val="1"/>
                <w:bCs w:val="1"/>
                <w:color w:val="auto"/>
              </w:rPr>
              <w:t>Role</w:t>
            </w:r>
          </w:p>
        </w:tc>
        <w:tc>
          <w:tcPr>
            <w:tcW w:w="3620" w:type="dxa"/>
            <w:vAlign w:val="bottom"/>
            <w:tcBorders>
              <w:top w:val="single" w:sz="8" w:color="4472C4"/>
              <w:right w:val="single" w:sz="8" w:color="8FAADC"/>
            </w:tcBorders>
            <w:shd w:val="clear" w:color="auto" w:fill="DAE3F3"/>
          </w:tcPr>
          <w:p>
            <w:pPr>
              <w:ind w:left="220"/>
              <w:spacing w:after="0"/>
              <w:rPr>
                <w:sz w:val="20"/>
                <w:szCs w:val="20"/>
                <w:color w:val="auto"/>
              </w:rPr>
            </w:pPr>
            <w:r>
              <w:rPr>
                <w:rFonts w:ascii="Arial" w:cs="Arial" w:eastAsia="Arial" w:hAnsi="Arial"/>
                <w:sz w:val="18"/>
                <w:szCs w:val="18"/>
                <w:color w:val="auto"/>
              </w:rPr>
              <w:t>Annual Retainers in Effect as of July 1,</w:t>
            </w:r>
          </w:p>
        </w:tc>
      </w:tr>
      <w:tr>
        <w:trPr>
          <w:trHeight w:val="235"/>
        </w:trPr>
        <w:tc>
          <w:tcPr>
            <w:tcW w:w="5380" w:type="dxa"/>
            <w:vAlign w:val="bottom"/>
            <w:tcBorders>
              <w:left w:val="single" w:sz="8" w:color="8FAADC"/>
              <w:bottom w:val="single" w:sz="8" w:color="8FAADC"/>
              <w:right w:val="single" w:sz="8" w:color="8FAADC"/>
            </w:tcBorders>
            <w:shd w:val="clear" w:color="auto" w:fill="DAE3F3"/>
          </w:tcPr>
          <w:p>
            <w:pPr>
              <w:spacing w:after="0"/>
              <w:rPr>
                <w:sz w:val="20"/>
                <w:szCs w:val="20"/>
                <w:color w:val="auto"/>
              </w:rPr>
            </w:pPr>
          </w:p>
        </w:tc>
        <w:tc>
          <w:tcPr>
            <w:tcW w:w="3620" w:type="dxa"/>
            <w:vAlign w:val="bottom"/>
            <w:tcBorders>
              <w:bottom w:val="single" w:sz="8" w:color="8FAADC"/>
              <w:right w:val="single" w:sz="8" w:color="8FAADC"/>
            </w:tcBorders>
            <w:shd w:val="clear" w:color="auto" w:fill="DAE3F3"/>
          </w:tcPr>
          <w:p>
            <w:pPr>
              <w:ind w:left="220"/>
              <w:spacing w:after="0"/>
              <w:rPr>
                <w:sz w:val="20"/>
                <w:szCs w:val="20"/>
                <w:color w:val="auto"/>
              </w:rPr>
            </w:pPr>
            <w:r>
              <w:rPr>
                <w:rFonts w:ascii="Arial" w:cs="Arial" w:eastAsia="Arial" w:hAnsi="Arial"/>
                <w:sz w:val="18"/>
                <w:szCs w:val="18"/>
                <w:color w:val="auto"/>
              </w:rPr>
              <w:t>2025 to date, paid quarterly in advance</w:t>
            </w:r>
          </w:p>
        </w:tc>
      </w:tr>
      <w:tr>
        <w:trPr>
          <w:trHeight w:val="240"/>
        </w:trPr>
        <w:tc>
          <w:tcPr>
            <w:tcW w:w="5380" w:type="dxa"/>
            <w:vAlign w:val="bottom"/>
            <w:tcBorders>
              <w:left w:val="single" w:sz="8" w:color="8FAADC"/>
              <w:right w:val="single" w:sz="8" w:color="8FAADC"/>
            </w:tcBorders>
          </w:tcPr>
          <w:p>
            <w:pPr>
              <w:ind w:left="100"/>
              <w:spacing w:after="0"/>
              <w:rPr>
                <w:sz w:val="20"/>
                <w:szCs w:val="20"/>
                <w:color w:val="auto"/>
              </w:rPr>
            </w:pPr>
            <w:r>
              <w:rPr>
                <w:rFonts w:ascii="Arial" w:cs="Arial" w:eastAsia="Arial" w:hAnsi="Arial"/>
                <w:sz w:val="18"/>
                <w:szCs w:val="18"/>
                <w:b w:val="1"/>
                <w:bCs w:val="1"/>
                <w:color w:val="auto"/>
              </w:rPr>
              <w:t>Board Member</w:t>
            </w:r>
          </w:p>
        </w:tc>
        <w:tc>
          <w:tcPr>
            <w:tcW w:w="3620" w:type="dxa"/>
            <w:vAlign w:val="bottom"/>
            <w:tcBorders>
              <w:right w:val="single" w:sz="8" w:color="8FAADC"/>
            </w:tcBorders>
          </w:tcPr>
          <w:p>
            <w:pPr>
              <w:jc w:val="center"/>
              <w:spacing w:after="0"/>
              <w:rPr>
                <w:sz w:val="20"/>
                <w:szCs w:val="20"/>
                <w:color w:val="auto"/>
              </w:rPr>
            </w:pPr>
            <w:r>
              <w:rPr>
                <w:rFonts w:ascii="Arial" w:cs="Arial" w:eastAsia="Arial" w:hAnsi="Arial"/>
                <w:sz w:val="18"/>
                <w:szCs w:val="18"/>
                <w:color w:val="auto"/>
                <w:w w:val="98"/>
              </w:rPr>
              <w:t>$65,000</w:t>
            </w:r>
          </w:p>
        </w:tc>
      </w:tr>
      <w:tr>
        <w:trPr>
          <w:trHeight w:val="37"/>
        </w:trPr>
        <w:tc>
          <w:tcPr>
            <w:tcW w:w="5380" w:type="dxa"/>
            <w:vAlign w:val="bottom"/>
            <w:tcBorders>
              <w:left w:val="single" w:sz="8" w:color="8FAADC"/>
              <w:bottom w:val="single" w:sz="8" w:color="8FAADC"/>
              <w:right w:val="single" w:sz="8" w:color="8FAADC"/>
            </w:tcBorders>
          </w:tcPr>
          <w:p>
            <w:pPr>
              <w:spacing w:after="0"/>
              <w:rPr>
                <w:sz w:val="3"/>
                <w:szCs w:val="3"/>
                <w:color w:val="auto"/>
              </w:rPr>
            </w:pPr>
          </w:p>
        </w:tc>
        <w:tc>
          <w:tcPr>
            <w:tcW w:w="3620" w:type="dxa"/>
            <w:vAlign w:val="bottom"/>
            <w:tcBorders>
              <w:bottom w:val="single" w:sz="8" w:color="8FAADC"/>
              <w:right w:val="single" w:sz="8" w:color="8FAADC"/>
            </w:tcBorders>
          </w:tcPr>
          <w:p>
            <w:pPr>
              <w:spacing w:after="0"/>
              <w:rPr>
                <w:sz w:val="3"/>
                <w:szCs w:val="3"/>
                <w:color w:val="auto"/>
              </w:rPr>
            </w:pPr>
          </w:p>
        </w:tc>
      </w:tr>
      <w:tr>
        <w:trPr>
          <w:trHeight w:val="282"/>
        </w:trPr>
        <w:tc>
          <w:tcPr>
            <w:tcW w:w="5380" w:type="dxa"/>
            <w:vAlign w:val="bottom"/>
            <w:tcBorders>
              <w:left w:val="single" w:sz="8" w:color="8FAADC"/>
              <w:bottom w:val="single" w:sz="8" w:color="DAE3F3"/>
              <w:right w:val="single" w:sz="8" w:color="8FAADC"/>
            </w:tcBorders>
            <w:shd w:val="clear" w:color="auto" w:fill="DAE3F3"/>
          </w:tcPr>
          <w:p>
            <w:pPr>
              <w:ind w:left="100"/>
              <w:spacing w:after="0"/>
              <w:rPr>
                <w:sz w:val="20"/>
                <w:szCs w:val="20"/>
                <w:color w:val="auto"/>
              </w:rPr>
            </w:pPr>
            <w:r>
              <w:rPr>
                <w:rFonts w:ascii="Arial" w:cs="Arial" w:eastAsia="Arial" w:hAnsi="Arial"/>
                <w:sz w:val="18"/>
                <w:szCs w:val="18"/>
                <w:b w:val="1"/>
                <w:bCs w:val="1"/>
                <w:color w:val="auto"/>
              </w:rPr>
              <w:t>Audit Committee Chair</w:t>
            </w:r>
          </w:p>
        </w:tc>
        <w:tc>
          <w:tcPr>
            <w:tcW w:w="3620" w:type="dxa"/>
            <w:vAlign w:val="bottom"/>
            <w:tcBorders>
              <w:bottom w:val="single" w:sz="8" w:color="DAE3F3"/>
              <w:right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8"/>
              </w:rPr>
              <w:t>$25,000</w:t>
            </w:r>
          </w:p>
        </w:tc>
      </w:tr>
      <w:tr>
        <w:trPr>
          <w:trHeight w:val="240"/>
        </w:trPr>
        <w:tc>
          <w:tcPr>
            <w:tcW w:w="5380" w:type="dxa"/>
            <w:vAlign w:val="bottom"/>
            <w:tcBorders>
              <w:top w:val="single" w:sz="8" w:color="8FAADC"/>
              <w:left w:val="single" w:sz="8" w:color="8FAADC"/>
              <w:right w:val="single" w:sz="8" w:color="8FAADC"/>
            </w:tcBorders>
          </w:tcPr>
          <w:p>
            <w:pPr>
              <w:ind w:left="100"/>
              <w:spacing w:after="0"/>
              <w:rPr>
                <w:sz w:val="20"/>
                <w:szCs w:val="20"/>
                <w:color w:val="auto"/>
              </w:rPr>
            </w:pPr>
            <w:r>
              <w:rPr>
                <w:rFonts w:ascii="Arial" w:cs="Arial" w:eastAsia="Arial" w:hAnsi="Arial"/>
                <w:sz w:val="18"/>
                <w:szCs w:val="18"/>
                <w:b w:val="1"/>
                <w:bCs w:val="1"/>
                <w:color w:val="auto"/>
              </w:rPr>
              <w:t>Compensation Committee Chair</w:t>
            </w:r>
          </w:p>
        </w:tc>
        <w:tc>
          <w:tcPr>
            <w:tcW w:w="3620" w:type="dxa"/>
            <w:vAlign w:val="bottom"/>
            <w:tcBorders>
              <w:top w:val="single" w:sz="8" w:color="8FAADC"/>
              <w:right w:val="single" w:sz="8" w:color="8FAADC"/>
            </w:tcBorders>
          </w:tcPr>
          <w:p>
            <w:pPr>
              <w:jc w:val="center"/>
              <w:spacing w:after="0"/>
              <w:rPr>
                <w:sz w:val="20"/>
                <w:szCs w:val="20"/>
                <w:color w:val="auto"/>
              </w:rPr>
            </w:pPr>
            <w:r>
              <w:rPr>
                <w:rFonts w:ascii="Arial" w:cs="Arial" w:eastAsia="Arial" w:hAnsi="Arial"/>
                <w:sz w:val="18"/>
                <w:szCs w:val="18"/>
                <w:color w:val="auto"/>
                <w:w w:val="98"/>
              </w:rPr>
              <w:t>$20,000</w:t>
            </w:r>
          </w:p>
        </w:tc>
      </w:tr>
      <w:tr>
        <w:trPr>
          <w:trHeight w:val="37"/>
        </w:trPr>
        <w:tc>
          <w:tcPr>
            <w:tcW w:w="5380" w:type="dxa"/>
            <w:vAlign w:val="bottom"/>
            <w:tcBorders>
              <w:left w:val="single" w:sz="8" w:color="8FAADC"/>
              <w:bottom w:val="single" w:sz="8" w:color="8FAADC"/>
              <w:right w:val="single" w:sz="8" w:color="8FAADC"/>
            </w:tcBorders>
          </w:tcPr>
          <w:p>
            <w:pPr>
              <w:spacing w:after="0"/>
              <w:rPr>
                <w:sz w:val="3"/>
                <w:szCs w:val="3"/>
                <w:color w:val="auto"/>
              </w:rPr>
            </w:pPr>
          </w:p>
        </w:tc>
        <w:tc>
          <w:tcPr>
            <w:tcW w:w="3620" w:type="dxa"/>
            <w:vAlign w:val="bottom"/>
            <w:tcBorders>
              <w:bottom w:val="single" w:sz="8" w:color="8FAADC"/>
              <w:right w:val="single" w:sz="8" w:color="8FAADC"/>
            </w:tcBorders>
          </w:tcPr>
          <w:p>
            <w:pPr>
              <w:spacing w:after="0"/>
              <w:rPr>
                <w:sz w:val="3"/>
                <w:szCs w:val="3"/>
                <w:color w:val="auto"/>
              </w:rPr>
            </w:pPr>
          </w:p>
        </w:tc>
      </w:tr>
      <w:tr>
        <w:trPr>
          <w:trHeight w:val="282"/>
        </w:trPr>
        <w:tc>
          <w:tcPr>
            <w:tcW w:w="5380" w:type="dxa"/>
            <w:vAlign w:val="bottom"/>
            <w:tcBorders>
              <w:left w:val="single" w:sz="8" w:color="8FAADC"/>
              <w:bottom w:val="single" w:sz="8" w:color="DAE3F3"/>
              <w:right w:val="single" w:sz="8" w:color="8FAADC"/>
            </w:tcBorders>
            <w:shd w:val="clear" w:color="auto" w:fill="DAE3F3"/>
          </w:tcPr>
          <w:p>
            <w:pPr>
              <w:ind w:left="100"/>
              <w:spacing w:after="0"/>
              <w:rPr>
                <w:sz w:val="20"/>
                <w:szCs w:val="20"/>
                <w:color w:val="auto"/>
              </w:rPr>
            </w:pPr>
            <w:r>
              <w:rPr>
                <w:rFonts w:ascii="Arial" w:cs="Arial" w:eastAsia="Arial" w:hAnsi="Arial"/>
                <w:sz w:val="18"/>
                <w:szCs w:val="18"/>
                <w:b w:val="1"/>
                <w:bCs w:val="1"/>
                <w:color w:val="auto"/>
              </w:rPr>
              <w:t>Nominating and Governance Committee Chair</w:t>
            </w:r>
          </w:p>
        </w:tc>
        <w:tc>
          <w:tcPr>
            <w:tcW w:w="3620" w:type="dxa"/>
            <w:vAlign w:val="bottom"/>
            <w:tcBorders>
              <w:bottom w:val="single" w:sz="8" w:color="DAE3F3"/>
              <w:right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8"/>
              </w:rPr>
              <w:t>$10,000</w:t>
            </w:r>
          </w:p>
        </w:tc>
      </w:tr>
      <w:tr>
        <w:trPr>
          <w:trHeight w:val="191"/>
        </w:trPr>
        <w:tc>
          <w:tcPr>
            <w:tcW w:w="5380" w:type="dxa"/>
            <w:vAlign w:val="bottom"/>
            <w:tcBorders>
              <w:top w:val="single" w:sz="8" w:color="8FAADC"/>
              <w:left w:val="single" w:sz="8" w:color="8FAADC"/>
              <w:right w:val="single" w:sz="8" w:color="8FAADC"/>
            </w:tcBorders>
          </w:tcPr>
          <w:p>
            <w:pPr>
              <w:ind w:left="100"/>
              <w:spacing w:after="0" w:line="191" w:lineRule="exact"/>
              <w:rPr>
                <w:sz w:val="20"/>
                <w:szCs w:val="20"/>
                <w:color w:val="auto"/>
              </w:rPr>
            </w:pPr>
            <w:r>
              <w:rPr>
                <w:rFonts w:ascii="Arial" w:cs="Arial" w:eastAsia="Arial" w:hAnsi="Arial"/>
                <w:sz w:val="18"/>
                <w:szCs w:val="18"/>
                <w:b w:val="1"/>
                <w:bCs w:val="1"/>
                <w:color w:val="auto"/>
              </w:rPr>
              <w:t>Technology and New Product Development Committee</w:t>
            </w:r>
          </w:p>
        </w:tc>
        <w:tc>
          <w:tcPr>
            <w:tcW w:w="3620" w:type="dxa"/>
            <w:vAlign w:val="bottom"/>
            <w:tcBorders>
              <w:top w:val="single" w:sz="8" w:color="8FAADC"/>
              <w:right w:val="single" w:sz="8" w:color="8FAADC"/>
            </w:tcBorders>
          </w:tcPr>
          <w:p>
            <w:pPr>
              <w:jc w:val="center"/>
              <w:spacing w:after="0" w:line="191" w:lineRule="exact"/>
              <w:rPr>
                <w:sz w:val="20"/>
                <w:szCs w:val="20"/>
                <w:color w:val="auto"/>
              </w:rPr>
            </w:pPr>
            <w:r>
              <w:rPr>
                <w:rFonts w:ascii="Arial" w:cs="Arial" w:eastAsia="Arial" w:hAnsi="Arial"/>
                <w:sz w:val="18"/>
                <w:szCs w:val="18"/>
                <w:color w:val="auto"/>
                <w:w w:val="98"/>
              </w:rPr>
              <w:t>$10,000</w:t>
            </w:r>
          </w:p>
        </w:tc>
      </w:tr>
      <w:tr>
        <w:trPr>
          <w:trHeight w:val="235"/>
        </w:trPr>
        <w:tc>
          <w:tcPr>
            <w:tcW w:w="5380" w:type="dxa"/>
            <w:vAlign w:val="bottom"/>
            <w:tcBorders>
              <w:left w:val="single" w:sz="8" w:color="8FAADC"/>
              <w:bottom w:val="single" w:sz="8" w:color="8FAADC"/>
              <w:right w:val="single" w:sz="8" w:color="8FAADC"/>
            </w:tcBorders>
          </w:tcPr>
          <w:p>
            <w:pPr>
              <w:ind w:left="1400"/>
              <w:spacing w:after="0"/>
              <w:rPr>
                <w:sz w:val="20"/>
                <w:szCs w:val="20"/>
                <w:color w:val="auto"/>
              </w:rPr>
            </w:pPr>
            <w:r>
              <w:rPr>
                <w:rFonts w:ascii="Arial" w:cs="Arial" w:eastAsia="Arial" w:hAnsi="Arial"/>
                <w:sz w:val="18"/>
                <w:szCs w:val="18"/>
                <w:b w:val="1"/>
                <w:bCs w:val="1"/>
                <w:color w:val="auto"/>
              </w:rPr>
              <w:t>Chair</w:t>
            </w:r>
          </w:p>
        </w:tc>
        <w:tc>
          <w:tcPr>
            <w:tcW w:w="3620" w:type="dxa"/>
            <w:vAlign w:val="bottom"/>
            <w:tcBorders>
              <w:bottom w:val="single" w:sz="8" w:color="8FAADC"/>
              <w:right w:val="single" w:sz="8" w:color="8FAADC"/>
            </w:tcBorders>
          </w:tcPr>
          <w:p>
            <w:pPr>
              <w:spacing w:after="0"/>
              <w:rPr>
                <w:sz w:val="20"/>
                <w:szCs w:val="20"/>
                <w:color w:val="auto"/>
              </w:rPr>
            </w:pPr>
          </w:p>
        </w:tc>
      </w:tr>
      <w:tr>
        <w:trPr>
          <w:trHeight w:val="282"/>
        </w:trPr>
        <w:tc>
          <w:tcPr>
            <w:tcW w:w="5380" w:type="dxa"/>
            <w:vAlign w:val="bottom"/>
            <w:tcBorders>
              <w:left w:val="single" w:sz="8" w:color="8FAADC"/>
              <w:bottom w:val="single" w:sz="8" w:color="DAE3F3"/>
              <w:right w:val="single" w:sz="8" w:color="8FAADC"/>
            </w:tcBorders>
            <w:shd w:val="clear" w:color="auto" w:fill="DAE3F3"/>
          </w:tcPr>
          <w:p>
            <w:pPr>
              <w:ind w:left="100"/>
              <w:spacing w:after="0"/>
              <w:rPr>
                <w:sz w:val="20"/>
                <w:szCs w:val="20"/>
                <w:color w:val="auto"/>
              </w:rPr>
            </w:pPr>
            <w:r>
              <w:rPr>
                <w:rFonts w:ascii="Arial" w:cs="Arial" w:eastAsia="Arial" w:hAnsi="Arial"/>
                <w:sz w:val="18"/>
                <w:szCs w:val="18"/>
                <w:b w:val="1"/>
                <w:bCs w:val="1"/>
                <w:color w:val="auto"/>
              </w:rPr>
              <w:t>Audit Committee Member</w:t>
            </w:r>
          </w:p>
        </w:tc>
        <w:tc>
          <w:tcPr>
            <w:tcW w:w="3620" w:type="dxa"/>
            <w:vAlign w:val="bottom"/>
            <w:tcBorders>
              <w:bottom w:val="single" w:sz="8" w:color="DAE3F3"/>
              <w:right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8"/>
              </w:rPr>
              <w:t>$12,500</w:t>
            </w:r>
          </w:p>
        </w:tc>
      </w:tr>
      <w:tr>
        <w:trPr>
          <w:trHeight w:val="240"/>
        </w:trPr>
        <w:tc>
          <w:tcPr>
            <w:tcW w:w="5380" w:type="dxa"/>
            <w:vAlign w:val="bottom"/>
            <w:tcBorders>
              <w:top w:val="single" w:sz="8" w:color="8FAADC"/>
              <w:left w:val="single" w:sz="8" w:color="8FAADC"/>
              <w:right w:val="single" w:sz="8" w:color="8FAADC"/>
            </w:tcBorders>
          </w:tcPr>
          <w:p>
            <w:pPr>
              <w:ind w:left="100"/>
              <w:spacing w:after="0"/>
              <w:rPr>
                <w:sz w:val="20"/>
                <w:szCs w:val="20"/>
                <w:color w:val="auto"/>
              </w:rPr>
            </w:pPr>
            <w:r>
              <w:rPr>
                <w:rFonts w:ascii="Arial" w:cs="Arial" w:eastAsia="Arial" w:hAnsi="Arial"/>
                <w:sz w:val="18"/>
                <w:szCs w:val="18"/>
                <w:b w:val="1"/>
                <w:bCs w:val="1"/>
                <w:color w:val="auto"/>
              </w:rPr>
              <w:t>Compensation Committee Member</w:t>
            </w:r>
          </w:p>
        </w:tc>
        <w:tc>
          <w:tcPr>
            <w:tcW w:w="3620" w:type="dxa"/>
            <w:vAlign w:val="bottom"/>
            <w:tcBorders>
              <w:top w:val="single" w:sz="8" w:color="8FAADC"/>
              <w:right w:val="single" w:sz="8" w:color="8FAADC"/>
            </w:tcBorders>
          </w:tcPr>
          <w:p>
            <w:pPr>
              <w:jc w:val="center"/>
              <w:spacing w:after="0"/>
              <w:rPr>
                <w:sz w:val="20"/>
                <w:szCs w:val="20"/>
                <w:color w:val="auto"/>
              </w:rPr>
            </w:pPr>
            <w:r>
              <w:rPr>
                <w:rFonts w:ascii="Arial" w:cs="Arial" w:eastAsia="Arial" w:hAnsi="Arial"/>
                <w:sz w:val="18"/>
                <w:szCs w:val="18"/>
                <w:color w:val="auto"/>
                <w:w w:val="98"/>
              </w:rPr>
              <w:t>$10,000</w:t>
            </w:r>
          </w:p>
        </w:tc>
      </w:tr>
      <w:tr>
        <w:trPr>
          <w:trHeight w:val="37"/>
        </w:trPr>
        <w:tc>
          <w:tcPr>
            <w:tcW w:w="5380" w:type="dxa"/>
            <w:vAlign w:val="bottom"/>
            <w:tcBorders>
              <w:left w:val="single" w:sz="8" w:color="8FAADC"/>
              <w:bottom w:val="single" w:sz="8" w:color="8FAADC"/>
              <w:right w:val="single" w:sz="8" w:color="8FAADC"/>
            </w:tcBorders>
          </w:tcPr>
          <w:p>
            <w:pPr>
              <w:spacing w:after="0"/>
              <w:rPr>
                <w:sz w:val="3"/>
                <w:szCs w:val="3"/>
                <w:color w:val="auto"/>
              </w:rPr>
            </w:pPr>
          </w:p>
        </w:tc>
        <w:tc>
          <w:tcPr>
            <w:tcW w:w="3620" w:type="dxa"/>
            <w:vAlign w:val="bottom"/>
            <w:tcBorders>
              <w:bottom w:val="single" w:sz="8" w:color="8FAADC"/>
              <w:right w:val="single" w:sz="8" w:color="8FAADC"/>
            </w:tcBorders>
          </w:tcPr>
          <w:p>
            <w:pPr>
              <w:spacing w:after="0"/>
              <w:rPr>
                <w:sz w:val="3"/>
                <w:szCs w:val="3"/>
                <w:color w:val="auto"/>
              </w:rPr>
            </w:pPr>
          </w:p>
        </w:tc>
      </w:tr>
      <w:tr>
        <w:trPr>
          <w:trHeight w:val="240"/>
        </w:trPr>
        <w:tc>
          <w:tcPr>
            <w:tcW w:w="5380" w:type="dxa"/>
            <w:vAlign w:val="bottom"/>
            <w:tcBorders>
              <w:left w:val="single" w:sz="8" w:color="8FAADC"/>
              <w:right w:val="single" w:sz="8" w:color="8FAADC"/>
            </w:tcBorders>
            <w:shd w:val="clear" w:color="auto" w:fill="DAE3F3"/>
          </w:tcPr>
          <w:p>
            <w:pPr>
              <w:ind w:left="100"/>
              <w:spacing w:after="0"/>
              <w:rPr>
                <w:sz w:val="20"/>
                <w:szCs w:val="20"/>
                <w:color w:val="auto"/>
              </w:rPr>
            </w:pPr>
            <w:r>
              <w:rPr>
                <w:rFonts w:ascii="Arial" w:cs="Arial" w:eastAsia="Arial" w:hAnsi="Arial"/>
                <w:sz w:val="18"/>
                <w:szCs w:val="18"/>
                <w:b w:val="1"/>
                <w:bCs w:val="1"/>
                <w:color w:val="auto"/>
              </w:rPr>
              <w:t>Nominating and Governance Committee Member</w:t>
            </w:r>
          </w:p>
        </w:tc>
        <w:tc>
          <w:tcPr>
            <w:tcW w:w="3620" w:type="dxa"/>
            <w:vAlign w:val="bottom"/>
            <w:tcBorders>
              <w:right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rPr>
              <w:t>$5,000</w:t>
            </w:r>
          </w:p>
        </w:tc>
      </w:tr>
      <w:tr>
        <w:trPr>
          <w:trHeight w:val="64"/>
        </w:trPr>
        <w:tc>
          <w:tcPr>
            <w:tcW w:w="5380" w:type="dxa"/>
            <w:vAlign w:val="bottom"/>
            <w:tcBorders>
              <w:left w:val="single" w:sz="8" w:color="8FAADC"/>
              <w:bottom w:val="single" w:sz="8" w:color="8FAADC"/>
              <w:right w:val="single" w:sz="8" w:color="8FAADC"/>
            </w:tcBorders>
            <w:shd w:val="clear" w:color="auto" w:fill="DAE3F3"/>
          </w:tcPr>
          <w:p>
            <w:pPr>
              <w:spacing w:after="0"/>
              <w:rPr>
                <w:sz w:val="5"/>
                <w:szCs w:val="5"/>
                <w:color w:val="auto"/>
              </w:rPr>
            </w:pPr>
          </w:p>
        </w:tc>
        <w:tc>
          <w:tcPr>
            <w:tcW w:w="3620" w:type="dxa"/>
            <w:vAlign w:val="bottom"/>
            <w:tcBorders>
              <w:bottom w:val="single" w:sz="8" w:color="8FAADC"/>
              <w:right w:val="single" w:sz="8" w:color="8FAADC"/>
            </w:tcBorders>
            <w:shd w:val="clear" w:color="auto" w:fill="DAE3F3"/>
          </w:tcPr>
          <w:p>
            <w:pPr>
              <w:spacing w:after="0"/>
              <w:rPr>
                <w:sz w:val="5"/>
                <w:szCs w:val="5"/>
                <w:color w:val="auto"/>
              </w:rPr>
            </w:pPr>
          </w:p>
        </w:tc>
      </w:tr>
      <w:tr>
        <w:trPr>
          <w:trHeight w:val="191"/>
        </w:trPr>
        <w:tc>
          <w:tcPr>
            <w:tcW w:w="5380" w:type="dxa"/>
            <w:vAlign w:val="bottom"/>
            <w:tcBorders>
              <w:left w:val="single" w:sz="8" w:color="8FAADC"/>
              <w:right w:val="single" w:sz="8" w:color="8FAADC"/>
            </w:tcBorders>
          </w:tcPr>
          <w:p>
            <w:pPr>
              <w:ind w:left="100"/>
              <w:spacing w:after="0" w:line="191" w:lineRule="exact"/>
              <w:rPr>
                <w:sz w:val="20"/>
                <w:szCs w:val="20"/>
                <w:color w:val="auto"/>
              </w:rPr>
            </w:pPr>
            <w:r>
              <w:rPr>
                <w:rFonts w:ascii="Arial" w:cs="Arial" w:eastAsia="Arial" w:hAnsi="Arial"/>
                <w:sz w:val="18"/>
                <w:szCs w:val="18"/>
                <w:b w:val="1"/>
                <w:bCs w:val="1"/>
                <w:color w:val="auto"/>
              </w:rPr>
              <w:t>Technology and New Product Development Committee</w:t>
            </w:r>
          </w:p>
        </w:tc>
        <w:tc>
          <w:tcPr>
            <w:tcW w:w="3620" w:type="dxa"/>
            <w:vAlign w:val="bottom"/>
            <w:tcBorders>
              <w:right w:val="single" w:sz="8" w:color="8FAADC"/>
            </w:tcBorders>
          </w:tcPr>
          <w:p>
            <w:pPr>
              <w:jc w:val="center"/>
              <w:spacing w:after="0" w:line="191" w:lineRule="exact"/>
              <w:rPr>
                <w:sz w:val="20"/>
                <w:szCs w:val="20"/>
                <w:color w:val="auto"/>
              </w:rPr>
            </w:pPr>
            <w:r>
              <w:rPr>
                <w:rFonts w:ascii="Arial" w:cs="Arial" w:eastAsia="Arial" w:hAnsi="Arial"/>
                <w:sz w:val="18"/>
                <w:szCs w:val="18"/>
                <w:color w:val="auto"/>
              </w:rPr>
              <w:t>$5,000</w:t>
            </w:r>
          </w:p>
        </w:tc>
      </w:tr>
      <w:tr>
        <w:trPr>
          <w:trHeight w:val="235"/>
        </w:trPr>
        <w:tc>
          <w:tcPr>
            <w:tcW w:w="5380" w:type="dxa"/>
            <w:vAlign w:val="bottom"/>
            <w:tcBorders>
              <w:left w:val="single" w:sz="8" w:color="8FAADC"/>
              <w:bottom w:val="single" w:sz="8" w:color="8FAADC"/>
              <w:right w:val="single" w:sz="8" w:color="8FAADC"/>
            </w:tcBorders>
          </w:tcPr>
          <w:p>
            <w:pPr>
              <w:ind w:left="1400"/>
              <w:spacing w:after="0"/>
              <w:rPr>
                <w:sz w:val="20"/>
                <w:szCs w:val="20"/>
                <w:color w:val="auto"/>
              </w:rPr>
            </w:pPr>
            <w:r>
              <w:rPr>
                <w:rFonts w:ascii="Arial" w:cs="Arial" w:eastAsia="Arial" w:hAnsi="Arial"/>
                <w:sz w:val="18"/>
                <w:szCs w:val="18"/>
                <w:b w:val="1"/>
                <w:bCs w:val="1"/>
                <w:color w:val="auto"/>
              </w:rPr>
              <w:t>Member</w:t>
            </w:r>
          </w:p>
        </w:tc>
        <w:tc>
          <w:tcPr>
            <w:tcW w:w="3620" w:type="dxa"/>
            <w:vAlign w:val="bottom"/>
            <w:tcBorders>
              <w:bottom w:val="single" w:sz="8" w:color="8FAADC"/>
              <w:right w:val="single" w:sz="8" w:color="8FAADC"/>
            </w:tcBorders>
          </w:tcPr>
          <w:p>
            <w:pPr>
              <w:spacing w:after="0"/>
              <w:rPr>
                <w:sz w:val="20"/>
                <w:szCs w:val="20"/>
                <w:color w:val="auto"/>
              </w:rPr>
            </w:pPr>
          </w:p>
        </w:tc>
      </w:tr>
      <w:tr>
        <w:trPr>
          <w:trHeight w:val="240"/>
        </w:trPr>
        <w:tc>
          <w:tcPr>
            <w:tcW w:w="5380" w:type="dxa"/>
            <w:vAlign w:val="bottom"/>
            <w:tcBorders>
              <w:left w:val="single" w:sz="8" w:color="8FAADC"/>
              <w:right w:val="single" w:sz="8" w:color="8FAADC"/>
            </w:tcBorders>
            <w:shd w:val="clear" w:color="auto" w:fill="DAE3F3"/>
          </w:tcPr>
          <w:p>
            <w:pPr>
              <w:ind w:left="100"/>
              <w:spacing w:after="0"/>
              <w:rPr>
                <w:sz w:val="20"/>
                <w:szCs w:val="20"/>
                <w:color w:val="auto"/>
              </w:rPr>
            </w:pPr>
            <w:r>
              <w:rPr>
                <w:rFonts w:ascii="Arial" w:cs="Arial" w:eastAsia="Arial" w:hAnsi="Arial"/>
                <w:sz w:val="18"/>
                <w:szCs w:val="18"/>
                <w:b w:val="1"/>
                <w:bCs w:val="1"/>
                <w:color w:val="auto"/>
              </w:rPr>
              <w:t>Chairperson/Lead Director of the Board Premium</w:t>
            </w:r>
          </w:p>
        </w:tc>
        <w:tc>
          <w:tcPr>
            <w:tcW w:w="3620" w:type="dxa"/>
            <w:vAlign w:val="bottom"/>
            <w:tcBorders>
              <w:right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8"/>
              </w:rPr>
              <w:t>$60,000</w:t>
            </w:r>
          </w:p>
        </w:tc>
      </w:tr>
      <w:tr>
        <w:trPr>
          <w:trHeight w:val="91"/>
        </w:trPr>
        <w:tc>
          <w:tcPr>
            <w:tcW w:w="5380" w:type="dxa"/>
            <w:vAlign w:val="bottom"/>
            <w:tcBorders>
              <w:left w:val="single" w:sz="8" w:color="8FAADC"/>
              <w:bottom w:val="single" w:sz="8" w:color="8FAADC"/>
              <w:right w:val="single" w:sz="8" w:color="8FAADC"/>
            </w:tcBorders>
            <w:shd w:val="clear" w:color="auto" w:fill="DAE3F3"/>
          </w:tcPr>
          <w:p>
            <w:pPr>
              <w:spacing w:after="0"/>
              <w:rPr>
                <w:sz w:val="7"/>
                <w:szCs w:val="7"/>
                <w:color w:val="auto"/>
              </w:rPr>
            </w:pPr>
          </w:p>
        </w:tc>
        <w:tc>
          <w:tcPr>
            <w:tcW w:w="3620" w:type="dxa"/>
            <w:vAlign w:val="bottom"/>
            <w:tcBorders>
              <w:bottom w:val="single" w:sz="8" w:color="8FAADC"/>
              <w:right w:val="single" w:sz="8" w:color="8FAADC"/>
            </w:tcBorders>
            <w:shd w:val="clear" w:color="auto" w:fill="DAE3F3"/>
          </w:tcPr>
          <w:p>
            <w:pPr>
              <w:spacing w:after="0"/>
              <w:rPr>
                <w:sz w:val="7"/>
                <w:szCs w:val="7"/>
                <w:color w:val="auto"/>
              </w:rPr>
            </w:pPr>
          </w:p>
        </w:tc>
      </w:tr>
    </w:tbl>
    <w:p>
      <w:pPr>
        <w:spacing w:after="0" w:line="200" w:lineRule="exact"/>
        <w:rPr>
          <w:sz w:val="20"/>
          <w:szCs w:val="20"/>
          <w:color w:val="auto"/>
        </w:rPr>
      </w:pPr>
    </w:p>
    <w:p>
      <w:pPr>
        <w:spacing w:after="0" w:line="214" w:lineRule="exact"/>
        <w:rPr>
          <w:sz w:val="20"/>
          <w:szCs w:val="20"/>
          <w:color w:val="auto"/>
        </w:rPr>
      </w:pPr>
    </w:p>
    <w:p>
      <w:pPr>
        <w:ind w:left="200" w:right="660" w:firstLine="648"/>
        <w:spacing w:after="0" w:line="282" w:lineRule="auto"/>
        <w:rPr>
          <w:sz w:val="20"/>
          <w:szCs w:val="20"/>
          <w:color w:val="auto"/>
        </w:rPr>
      </w:pPr>
      <w:r>
        <w:rPr>
          <w:rFonts w:ascii="Times New Roman" w:cs="Times New Roman" w:eastAsia="Times New Roman" w:hAnsi="Times New Roman"/>
          <w:sz w:val="18"/>
          <w:szCs w:val="18"/>
          <w:color w:val="auto"/>
        </w:rPr>
        <w:t>Non-employee directors also receive reimbursement of out-of-pocket expenses incurred in attending Board and committee meetings. Non-employee directors do not receive any Company-paid perquisites.</w:t>
      </w:r>
    </w:p>
    <w:p>
      <w:pPr>
        <w:spacing w:after="0" w:line="162" w:lineRule="exact"/>
        <w:rPr>
          <w:sz w:val="20"/>
          <w:szCs w:val="20"/>
          <w:color w:val="auto"/>
        </w:rPr>
      </w:pPr>
    </w:p>
    <w:p>
      <w:pPr>
        <w:ind w:left="200" w:right="500"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may, from time to time, form committees in addition to the Audit, Compensation, Nominating and Governance and Technology and Product Development Committees and set compensation for service on such additional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220"/>
          </w:cols>
          <w:pgMar w:left="1440" w:top="117" w:right="1239" w:bottom="1440" w:gutter="0" w:footer="0" w:header="0"/>
        </w:sectPr>
      </w:pPr>
    </w:p>
    <w:bookmarkStart w:id="94" w:name="page95"/>
    <w:bookmarkEnd w:id="94"/>
    <w:p>
      <w:pPr>
        <w:jc w:val="right"/>
        <w:ind w:right="219"/>
        <w:spacing w:after="0"/>
        <w:rPr>
          <w:sz w:val="20"/>
          <w:szCs w:val="20"/>
          <w:color w:val="auto"/>
        </w:rPr>
      </w:pPr>
      <w:r>
        <w:rPr>
          <w:rFonts w:ascii="Arial" w:cs="Arial" w:eastAsia="Arial" w:hAnsi="Arial"/>
          <w:sz w:val="20"/>
          <w:szCs w:val="20"/>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-131445</wp:posOffset>
            </wp:positionV>
            <wp:extent cx="2057400" cy="8229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2057400" cy="822960"/>
                    </a:xfrm>
                    <a:prstGeom prst="rect">
                      <a:avLst/>
                    </a:prstGeom>
                    <a:noFill/>
                  </pic:spPr>
                </pic:pic>
              </a:graphicData>
            </a:graphic>
          </wp:anchor>
        </w:drawing>
      </w:r>
    </w:p>
    <w:p>
      <w:pPr>
        <w:spacing w:after="0" w:line="386"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Ethical Business Conduct at Axcelis</w:t>
      </w: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EXPECTATIONS</w:t>
      </w:r>
    </w:p>
    <w:p>
      <w:pPr>
        <w:spacing w:after="0" w:line="15" w:lineRule="exact"/>
        <w:rPr>
          <w:sz w:val="20"/>
          <w:szCs w:val="20"/>
          <w:color w:val="auto"/>
        </w:rPr>
      </w:pPr>
    </w:p>
    <w:p>
      <w:pPr>
        <w:ind w:left="460" w:right="259"/>
        <w:spacing w:after="0" w:line="248" w:lineRule="auto"/>
        <w:rPr>
          <w:sz w:val="20"/>
          <w:szCs w:val="20"/>
          <w:color w:val="auto"/>
        </w:rPr>
      </w:pPr>
      <w:r>
        <w:rPr>
          <w:rFonts w:ascii="Arial" w:cs="Arial" w:eastAsia="Arial" w:hAnsi="Arial"/>
          <w:sz w:val="20"/>
          <w:szCs w:val="20"/>
          <w:color w:val="auto"/>
        </w:rPr>
        <w:t>This policy is a formal statement of the expectations of Axcelis management and its Board of Directors that all employees, officers and members of our Board of Directors will in the day-to-day conduct of Axcelis’ business act in an ethical manner and in full compliance with applicable law.</w:t>
      </w:r>
    </w:p>
    <w:p>
      <w:pPr>
        <w:spacing w:after="0" w:line="165" w:lineRule="exact"/>
        <w:rPr>
          <w:sz w:val="20"/>
          <w:szCs w:val="20"/>
          <w:color w:val="auto"/>
        </w:rPr>
      </w:pPr>
    </w:p>
    <w:p>
      <w:pPr>
        <w:ind w:left="460" w:right="259"/>
        <w:spacing w:after="0" w:line="255" w:lineRule="auto"/>
        <w:rPr>
          <w:sz w:val="20"/>
          <w:szCs w:val="20"/>
          <w:color w:val="auto"/>
        </w:rPr>
      </w:pPr>
      <w:r>
        <w:rPr>
          <w:rFonts w:ascii="Arial" w:cs="Arial" w:eastAsia="Arial" w:hAnsi="Arial"/>
          <w:sz w:val="20"/>
          <w:szCs w:val="20"/>
          <w:color w:val="auto"/>
        </w:rPr>
        <w:t>We expect our employees, officers and members of the Board of Directors to read and become familiar with the principles expressed in this policy, and to adhere to these principles in the discharge of your responsibilities.</w:t>
      </w:r>
    </w:p>
    <w:p>
      <w:pPr>
        <w:spacing w:after="0" w:line="158" w:lineRule="exact"/>
        <w:rPr>
          <w:sz w:val="20"/>
          <w:szCs w:val="20"/>
          <w:color w:val="auto"/>
        </w:rPr>
      </w:pPr>
    </w:p>
    <w:p>
      <w:pPr>
        <w:ind w:left="460" w:right="259"/>
        <w:spacing w:after="0" w:line="254" w:lineRule="auto"/>
        <w:rPr>
          <w:sz w:val="20"/>
          <w:szCs w:val="20"/>
          <w:color w:val="auto"/>
        </w:rPr>
      </w:pPr>
      <w:r>
        <w:rPr>
          <w:rFonts w:ascii="Arial" w:cs="Arial" w:eastAsia="Arial" w:hAnsi="Arial"/>
          <w:sz w:val="20"/>
          <w:szCs w:val="20"/>
          <w:color w:val="auto"/>
        </w:rPr>
        <w:t>It is important that the policies and principles set forth here be understood and followed on a consistent basis by each of us. We particularly want to emphasize that our standards remain constant even in countries where local ethical or legal standards may differ from those in the United States. Our reputation for integrity is an important corporate asset, and we must protect it.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PURPOSE</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This Code of Conduct is designed to deter wrongdoing and to promote:</w:t>
      </w:r>
    </w:p>
    <w:p>
      <w:pPr>
        <w:spacing w:after="0" w:line="144" w:lineRule="exact"/>
        <w:rPr>
          <w:sz w:val="20"/>
          <w:szCs w:val="20"/>
          <w:color w:val="auto"/>
        </w:rPr>
      </w:pPr>
    </w:p>
    <w:p>
      <w:pPr>
        <w:ind w:left="860" w:right="259" w:hanging="327"/>
        <w:spacing w:after="0" w:line="255" w:lineRule="auto"/>
        <w:tabs>
          <w:tab w:leader="none" w:pos="8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Honest and ethical conduct, including the ethical handling of actual or apparent conflicts of interest between personal and professional relationships;</w:t>
      </w:r>
    </w:p>
    <w:p>
      <w:pPr>
        <w:spacing w:after="0" w:line="1" w:lineRule="exact"/>
        <w:rPr>
          <w:rFonts w:ascii="Arial" w:cs="Arial" w:eastAsia="Arial" w:hAnsi="Arial"/>
          <w:sz w:val="20"/>
          <w:szCs w:val="20"/>
          <w:color w:val="auto"/>
        </w:rPr>
      </w:pPr>
    </w:p>
    <w:p>
      <w:pPr>
        <w:jc w:val="both"/>
        <w:ind w:left="860" w:right="299" w:hanging="327"/>
        <w:spacing w:after="0" w:line="244" w:lineRule="auto"/>
        <w:tabs>
          <w:tab w:leader="none" w:pos="8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Avoidance of conflicts of interest, including disclosure to an appropriate person or persons identified in this Code, of any material transaction or relationship that reasonably could be expected to give rise to such a conflict;</w:t>
      </w:r>
    </w:p>
    <w:p>
      <w:pPr>
        <w:ind w:left="860" w:right="239" w:hanging="327"/>
        <w:spacing w:after="0" w:line="248" w:lineRule="auto"/>
        <w:tabs>
          <w:tab w:leader="none" w:pos="8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Full, fair, accurate, timely and understandable disclosure in reports and documents that Axcelis files with, or submits to, the Securities and Exchange Commission and other public communications made by Axcelis;</w:t>
      </w:r>
    </w:p>
    <w:p>
      <w:pPr>
        <w:spacing w:after="0" w:line="2" w:lineRule="exact"/>
        <w:rPr>
          <w:rFonts w:ascii="Arial" w:cs="Arial" w:eastAsia="Arial" w:hAnsi="Arial"/>
          <w:sz w:val="20"/>
          <w:szCs w:val="20"/>
          <w:color w:val="auto"/>
        </w:rPr>
      </w:pPr>
    </w:p>
    <w:p>
      <w:pPr>
        <w:ind w:left="860" w:hanging="327"/>
        <w:spacing w:after="0"/>
        <w:tabs>
          <w:tab w:leader="none" w:pos="8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Compliance with applicable governmental rules and regulations;</w:t>
      </w:r>
    </w:p>
    <w:p>
      <w:pPr>
        <w:spacing w:after="0" w:line="143" w:lineRule="exact"/>
        <w:rPr>
          <w:rFonts w:ascii="Arial" w:cs="Arial" w:eastAsia="Arial" w:hAnsi="Arial"/>
          <w:sz w:val="20"/>
          <w:szCs w:val="20"/>
          <w:color w:val="auto"/>
        </w:rPr>
      </w:pPr>
    </w:p>
    <w:p>
      <w:pPr>
        <w:ind w:left="860" w:right="399" w:hanging="327"/>
        <w:spacing w:after="0" w:line="300" w:lineRule="auto"/>
        <w:tabs>
          <w:tab w:leader="none" w:pos="8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prompt internal reporting, to appropriate person or persons identified in this Code, of violations of this Code; and</w:t>
      </w:r>
    </w:p>
    <w:p>
      <w:pPr>
        <w:spacing w:after="0" w:line="73" w:lineRule="exact"/>
        <w:rPr>
          <w:rFonts w:ascii="Arial" w:cs="Arial" w:eastAsia="Arial" w:hAnsi="Arial"/>
          <w:sz w:val="20"/>
          <w:szCs w:val="20"/>
          <w:color w:val="auto"/>
        </w:rPr>
      </w:pPr>
    </w:p>
    <w:p>
      <w:pPr>
        <w:ind w:left="860" w:hanging="327"/>
        <w:spacing w:after="0"/>
        <w:tabs>
          <w:tab w:leader="none" w:pos="8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Accountability for adherence to this Code.</w:t>
      </w:r>
    </w:p>
    <w:p>
      <w:pPr>
        <w:spacing w:after="0" w:line="200" w:lineRule="exact"/>
        <w:rPr>
          <w:sz w:val="20"/>
          <w:szCs w:val="20"/>
          <w:color w:val="auto"/>
        </w:rPr>
      </w:pPr>
    </w:p>
    <w:p>
      <w:pPr>
        <w:spacing w:after="0" w:line="326" w:lineRule="exact"/>
        <w:rPr>
          <w:sz w:val="20"/>
          <w:szCs w:val="20"/>
          <w:color w:val="auto"/>
        </w:rPr>
      </w:pPr>
    </w:p>
    <w:p>
      <w:pPr>
        <w:ind w:left="540" w:right="279"/>
        <w:spacing w:after="0" w:line="276" w:lineRule="auto"/>
        <w:rPr>
          <w:sz w:val="20"/>
          <w:szCs w:val="20"/>
          <w:color w:val="auto"/>
        </w:rPr>
      </w:pPr>
      <w:r>
        <w:rPr>
          <w:rFonts w:ascii="Arial" w:cs="Arial" w:eastAsia="Arial" w:hAnsi="Arial"/>
          <w:sz w:val="20"/>
          <w:szCs w:val="20"/>
          <w:color w:val="auto"/>
        </w:rPr>
        <w:t>This policy is a “code of ethics” as described in Section 406 of the U.S. Sarbanes-Oxley Act of 2002, and is also our “code of conduct” as may be required by the NASDAQ marketplace Rules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547370</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5" w:name="page96"/>
    <w:bookmarkEnd w:id="95"/>
    <w:p>
      <w:pPr>
        <w:ind w:left="200"/>
        <w:spacing w:after="0"/>
        <w:rPr>
          <w:sz w:val="20"/>
          <w:szCs w:val="20"/>
          <w:color w:val="auto"/>
        </w:rPr>
      </w:pPr>
      <w:r>
        <w:rPr>
          <w:rFonts w:ascii="Arial" w:cs="Arial" w:eastAsia="Arial" w:hAnsi="Arial"/>
          <w:sz w:val="22"/>
          <w:szCs w:val="22"/>
          <w:b w:val="1"/>
          <w:bCs w:val="1"/>
          <w:color w:val="auto"/>
        </w:rPr>
        <w:t>GENERAL PRINCIPLES</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Here are the fundamental principles of ethical business behavior:</w:t>
      </w:r>
    </w:p>
    <w:p>
      <w:pPr>
        <w:spacing w:after="0" w:line="200" w:lineRule="exact"/>
        <w:rPr>
          <w:sz w:val="20"/>
          <w:szCs w:val="20"/>
          <w:color w:val="auto"/>
        </w:rPr>
      </w:pPr>
    </w:p>
    <w:p>
      <w:pPr>
        <w:spacing w:after="0" w:line="306" w:lineRule="exact"/>
        <w:rPr>
          <w:sz w:val="20"/>
          <w:szCs w:val="20"/>
          <w:color w:val="auto"/>
        </w:rPr>
      </w:pPr>
    </w:p>
    <w:p>
      <w:pPr>
        <w:ind w:left="860" w:right="219"/>
        <w:spacing w:after="0" w:line="302" w:lineRule="auto"/>
        <w:rPr>
          <w:sz w:val="20"/>
          <w:szCs w:val="20"/>
          <w:color w:val="auto"/>
        </w:rPr>
      </w:pPr>
      <w:r>
        <w:rPr>
          <w:rFonts w:ascii="Arial" w:cs="Arial" w:eastAsia="Arial" w:hAnsi="Arial"/>
          <w:sz w:val="20"/>
          <w:szCs w:val="20"/>
          <w:b w:val="1"/>
          <w:bCs w:val="1"/>
          <w:color w:val="auto"/>
        </w:rPr>
        <w:t xml:space="preserve">Obeying the Law - </w:t>
      </w:r>
      <w:r>
        <w:rPr>
          <w:rFonts w:ascii="Arial" w:cs="Arial" w:eastAsia="Arial" w:hAnsi="Arial"/>
          <w:sz w:val="20"/>
          <w:szCs w:val="20"/>
          <w:color w:val="auto"/>
        </w:rPr>
        <w:t>We respect and obey the laws of the cities, states and countries where</w:t>
      </w:r>
      <w:r>
        <w:rPr>
          <w:rFonts w:ascii="Arial" w:cs="Arial" w:eastAsia="Arial" w:hAnsi="Arial"/>
          <w:sz w:val="20"/>
          <w:szCs w:val="20"/>
          <w:b w:val="1"/>
          <w:bCs w:val="1"/>
          <w:color w:val="auto"/>
        </w:rPr>
        <w:t xml:space="preserve"> </w:t>
      </w:r>
      <w:r>
        <w:rPr>
          <w:rFonts w:ascii="Arial" w:cs="Arial" w:eastAsia="Arial" w:hAnsi="Arial"/>
          <w:sz w:val="20"/>
          <w:szCs w:val="20"/>
          <w:color w:val="auto"/>
        </w:rPr>
        <w:t>we operate. This includes:</w:t>
      </w:r>
    </w:p>
    <w:p>
      <w:pPr>
        <w:spacing w:after="0" w:line="58" w:lineRule="exact"/>
        <w:rPr>
          <w:sz w:val="20"/>
          <w:szCs w:val="20"/>
          <w:color w:val="auto"/>
        </w:rPr>
      </w:pPr>
    </w:p>
    <w:p>
      <w:pPr>
        <w:ind w:left="1180" w:right="599" w:hanging="323"/>
        <w:spacing w:after="0" w:line="255" w:lineRule="auto"/>
        <w:tabs>
          <w:tab w:leader="none" w:pos="1180" w:val="left"/>
        </w:tabs>
        <w:numPr>
          <w:ilvl w:val="0"/>
          <w:numId w:val="84"/>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no illegal payments to government personnel - </w:t>
      </w:r>
      <w:r>
        <w:rPr>
          <w:rFonts w:ascii="Arial" w:cs="Arial" w:eastAsia="Arial" w:hAnsi="Arial"/>
          <w:sz w:val="20"/>
          <w:szCs w:val="20"/>
          <w:color w:val="auto"/>
        </w:rPr>
        <w:t>We do not make illegal payments to</w:t>
      </w:r>
      <w:r>
        <w:rPr>
          <w:rFonts w:ascii="Arial" w:cs="Arial" w:eastAsia="Arial" w:hAnsi="Arial"/>
          <w:sz w:val="20"/>
          <w:szCs w:val="20"/>
          <w:i w:val="1"/>
          <w:iCs w:val="1"/>
          <w:color w:val="auto"/>
        </w:rPr>
        <w:t xml:space="preserve"> </w:t>
      </w:r>
      <w:r>
        <w:rPr>
          <w:rFonts w:ascii="Arial" w:cs="Arial" w:eastAsia="Arial" w:hAnsi="Arial"/>
          <w:sz w:val="20"/>
          <w:szCs w:val="20"/>
          <w:color w:val="auto"/>
        </w:rPr>
        <w:t>government officials of any country.</w:t>
      </w:r>
    </w:p>
    <w:p>
      <w:pPr>
        <w:ind w:left="1180" w:right="699" w:hanging="323"/>
        <w:spacing w:after="0" w:line="248" w:lineRule="auto"/>
        <w:tabs>
          <w:tab w:leader="none" w:pos="1180" w:val="left"/>
        </w:tabs>
        <w:numPr>
          <w:ilvl w:val="0"/>
          <w:numId w:val="84"/>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no Company political contributions </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Our policy prohibits company contributions to</w:t>
      </w:r>
      <w:r>
        <w:rPr>
          <w:rFonts w:ascii="Arial" w:cs="Arial" w:eastAsia="Arial" w:hAnsi="Arial"/>
          <w:sz w:val="20"/>
          <w:szCs w:val="20"/>
          <w:i w:val="1"/>
          <w:iCs w:val="1"/>
          <w:color w:val="auto"/>
        </w:rPr>
        <w:t xml:space="preserve"> </w:t>
      </w:r>
      <w:r>
        <w:rPr>
          <w:rFonts w:ascii="Arial" w:cs="Arial" w:eastAsia="Arial" w:hAnsi="Arial"/>
          <w:sz w:val="20"/>
          <w:szCs w:val="20"/>
          <w:color w:val="auto"/>
        </w:rPr>
        <w:t>political candidates or parties even where such contributions are lawful. We encourage individual employees to be involved in the political process and make personal contributions as they see fit.</w:t>
      </w:r>
    </w:p>
    <w:p>
      <w:pPr>
        <w:spacing w:after="0" w:line="338" w:lineRule="exact"/>
        <w:rPr>
          <w:sz w:val="20"/>
          <w:szCs w:val="20"/>
          <w:color w:val="auto"/>
        </w:rPr>
      </w:pPr>
    </w:p>
    <w:p>
      <w:pPr>
        <w:ind w:left="860" w:right="499"/>
        <w:spacing w:after="0" w:line="284" w:lineRule="auto"/>
        <w:rPr>
          <w:sz w:val="20"/>
          <w:szCs w:val="20"/>
          <w:color w:val="auto"/>
        </w:rPr>
      </w:pPr>
      <w:r>
        <w:rPr>
          <w:rFonts w:ascii="Arial" w:cs="Arial" w:eastAsia="Arial" w:hAnsi="Arial"/>
          <w:sz w:val="20"/>
          <w:szCs w:val="20"/>
          <w:b w:val="1"/>
          <w:bCs w:val="1"/>
          <w:color w:val="auto"/>
        </w:rPr>
        <w:t xml:space="preserve">Honest and Ethical Conduct - </w:t>
      </w:r>
      <w:r>
        <w:rPr>
          <w:rFonts w:ascii="Arial" w:cs="Arial" w:eastAsia="Arial" w:hAnsi="Arial"/>
          <w:sz w:val="20"/>
          <w:szCs w:val="20"/>
          <w:color w:val="auto"/>
        </w:rPr>
        <w:t>We all need to proactively promote honest and ethical</w:t>
      </w:r>
      <w:r>
        <w:rPr>
          <w:rFonts w:ascii="Arial" w:cs="Arial" w:eastAsia="Arial" w:hAnsi="Arial"/>
          <w:sz w:val="20"/>
          <w:szCs w:val="20"/>
          <w:b w:val="1"/>
          <w:bCs w:val="1"/>
          <w:color w:val="auto"/>
        </w:rPr>
        <w:t xml:space="preserve"> </w:t>
      </w:r>
      <w:r>
        <w:rPr>
          <w:rFonts w:ascii="Arial" w:cs="Arial" w:eastAsia="Arial" w:hAnsi="Arial"/>
          <w:sz w:val="20"/>
          <w:szCs w:val="20"/>
          <w:color w:val="auto"/>
        </w:rPr>
        <w:t>behavior among our peers and subordinates both at work and in our communities. This includes:</w:t>
      </w:r>
    </w:p>
    <w:p>
      <w:pPr>
        <w:spacing w:after="0" w:line="77" w:lineRule="exact"/>
        <w:rPr>
          <w:sz w:val="20"/>
          <w:szCs w:val="20"/>
          <w:color w:val="auto"/>
        </w:rPr>
      </w:pPr>
    </w:p>
    <w:p>
      <w:pPr>
        <w:ind w:left="1180" w:right="319" w:hanging="323"/>
        <w:spacing w:after="0" w:line="251" w:lineRule="auto"/>
        <w:tabs>
          <w:tab w:leader="none" w:pos="1180" w:val="left"/>
        </w:tabs>
        <w:numPr>
          <w:ilvl w:val="0"/>
          <w:numId w:val="85"/>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fair dealing with our customers, suppliers, employees and shareholders-- </w:t>
      </w:r>
      <w:r>
        <w:rPr>
          <w:rFonts w:ascii="Arial" w:cs="Arial" w:eastAsia="Arial" w:hAnsi="Arial"/>
          <w:sz w:val="20"/>
          <w:szCs w:val="20"/>
          <w:color w:val="auto"/>
        </w:rPr>
        <w:t>We must</w:t>
      </w:r>
      <w:r>
        <w:rPr>
          <w:rFonts w:ascii="Arial" w:cs="Arial" w:eastAsia="Arial" w:hAnsi="Arial"/>
          <w:sz w:val="20"/>
          <w:szCs w:val="20"/>
          <w:i w:val="1"/>
          <w:iCs w:val="1"/>
          <w:color w:val="auto"/>
        </w:rPr>
        <w:t xml:space="preserve"> </w:t>
      </w:r>
      <w:r>
        <w:rPr>
          <w:rFonts w:ascii="Arial" w:cs="Arial" w:eastAsia="Arial" w:hAnsi="Arial"/>
          <w:sz w:val="20"/>
          <w:szCs w:val="20"/>
          <w:color w:val="auto"/>
        </w:rPr>
        <w:t>avoid taking unfair advantage of anyone through manipulation, concealment, abuse of privileged information, misrepresentation of material facts or any unfair-dealing practice.</w:t>
      </w:r>
    </w:p>
    <w:p>
      <w:pPr>
        <w:ind w:left="1180" w:right="239" w:hanging="323"/>
        <w:spacing w:after="0" w:line="243" w:lineRule="auto"/>
        <w:tabs>
          <w:tab w:leader="none" w:pos="1180" w:val="left"/>
        </w:tabs>
        <w:numPr>
          <w:ilvl w:val="0"/>
          <w:numId w:val="85"/>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fair dealing with our competitors </w:t>
      </w:r>
      <w:r>
        <w:rPr>
          <w:rFonts w:ascii="Arial" w:cs="Arial" w:eastAsia="Arial" w:hAnsi="Arial"/>
          <w:sz w:val="20"/>
          <w:szCs w:val="20"/>
          <w:b w:val="1"/>
          <w:bCs w:val="1"/>
          <w:color w:val="auto"/>
        </w:rPr>
        <w:t>—</w:t>
      </w:r>
      <w:r>
        <w:rPr>
          <w:rFonts w:ascii="Arial" w:cs="Arial" w:eastAsia="Arial" w:hAnsi="Arial"/>
          <w:sz w:val="20"/>
          <w:szCs w:val="20"/>
          <w:color w:val="auto"/>
        </w:rPr>
        <w:t>The only competitive advantages we seek are those</w:t>
      </w:r>
      <w:r>
        <w:rPr>
          <w:rFonts w:ascii="Arial" w:cs="Arial" w:eastAsia="Arial" w:hAnsi="Arial"/>
          <w:sz w:val="20"/>
          <w:szCs w:val="20"/>
          <w:i w:val="1"/>
          <w:iCs w:val="1"/>
          <w:color w:val="auto"/>
        </w:rPr>
        <w:t xml:space="preserve"> </w:t>
      </w:r>
      <w:r>
        <w:rPr>
          <w:rFonts w:ascii="Arial" w:cs="Arial" w:eastAsia="Arial" w:hAnsi="Arial"/>
          <w:sz w:val="20"/>
          <w:szCs w:val="20"/>
          <w:color w:val="auto"/>
        </w:rPr>
        <w:t>gained through superior research, engineering, manufacturing and marketing. We do not engage in unfair or illegal trade practices.</w:t>
      </w:r>
    </w:p>
    <w:p>
      <w:pPr>
        <w:spacing w:after="0" w:line="2" w:lineRule="exact"/>
        <w:rPr>
          <w:rFonts w:ascii="Times New Roman" w:cs="Times New Roman" w:eastAsia="Times New Roman" w:hAnsi="Times New Roman"/>
          <w:sz w:val="20"/>
          <w:szCs w:val="20"/>
          <w:color w:val="auto"/>
        </w:rPr>
      </w:pPr>
    </w:p>
    <w:p>
      <w:pPr>
        <w:ind w:left="1180" w:right="459" w:hanging="323"/>
        <w:spacing w:after="0" w:line="243" w:lineRule="auto"/>
        <w:tabs>
          <w:tab w:leader="none" w:pos="1180" w:val="left"/>
        </w:tabs>
        <w:numPr>
          <w:ilvl w:val="0"/>
          <w:numId w:val="85"/>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avoiding conflicts of interest—</w:t>
      </w:r>
      <w:r>
        <w:rPr>
          <w:rFonts w:ascii="Arial" w:cs="Arial" w:eastAsia="Arial" w:hAnsi="Arial"/>
          <w:sz w:val="20"/>
          <w:szCs w:val="20"/>
          <w:color w:val="auto"/>
        </w:rPr>
        <w:t>We expect you to avoid any association that might</w:t>
      </w:r>
      <w:r>
        <w:rPr>
          <w:rFonts w:ascii="Arial" w:cs="Arial" w:eastAsia="Arial" w:hAnsi="Arial"/>
          <w:sz w:val="20"/>
          <w:szCs w:val="20"/>
          <w:i w:val="1"/>
          <w:iCs w:val="1"/>
          <w:color w:val="auto"/>
        </w:rPr>
        <w:t xml:space="preserve"> </w:t>
      </w:r>
      <w:r>
        <w:rPr>
          <w:rFonts w:ascii="Arial" w:cs="Arial" w:eastAsia="Arial" w:hAnsi="Arial"/>
          <w:sz w:val="20"/>
          <w:szCs w:val="20"/>
          <w:color w:val="auto"/>
        </w:rPr>
        <w:t>conflict with your loyalty to Axcelis or compromise your judgment--or even create the appearance of doing so.</w:t>
      </w:r>
    </w:p>
    <w:p>
      <w:pPr>
        <w:spacing w:after="0" w:line="2" w:lineRule="exact"/>
        <w:rPr>
          <w:rFonts w:ascii="Times New Roman" w:cs="Times New Roman" w:eastAsia="Times New Roman" w:hAnsi="Times New Roman"/>
          <w:sz w:val="20"/>
          <w:szCs w:val="20"/>
          <w:color w:val="auto"/>
        </w:rPr>
      </w:pPr>
    </w:p>
    <w:p>
      <w:pPr>
        <w:ind w:left="1180" w:right="259" w:hanging="323"/>
        <w:spacing w:after="0" w:line="259" w:lineRule="auto"/>
        <w:tabs>
          <w:tab w:leader="none" w:pos="1180" w:val="left"/>
        </w:tabs>
        <w:numPr>
          <w:ilvl w:val="0"/>
          <w:numId w:val="85"/>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respecting corporate opportunities and property -</w:t>
      </w:r>
      <w:r>
        <w:rPr>
          <w:rFonts w:ascii="Arial" w:cs="Arial" w:eastAsia="Arial" w:hAnsi="Arial"/>
          <w:sz w:val="19"/>
          <w:szCs w:val="19"/>
          <w:b w:val="1"/>
          <w:b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Opportunities discovered through</w:t>
      </w:r>
      <w:r>
        <w:rPr>
          <w:rFonts w:ascii="Arial" w:cs="Arial" w:eastAsia="Arial" w:hAnsi="Arial"/>
          <w:sz w:val="19"/>
          <w:szCs w:val="19"/>
          <w:i w:val="1"/>
          <w:iCs w:val="1"/>
          <w:color w:val="auto"/>
        </w:rPr>
        <w:t xml:space="preserve"> </w:t>
      </w:r>
      <w:r>
        <w:rPr>
          <w:rFonts w:ascii="Arial" w:cs="Arial" w:eastAsia="Arial" w:hAnsi="Arial"/>
          <w:sz w:val="19"/>
          <w:szCs w:val="19"/>
          <w:color w:val="auto"/>
        </w:rPr>
        <w:t>the use of corporate property, information or position belong to Axcelis. Corporate property, information and positions may not be used for personal gain or for competing with the company. We must protect Axcelis’ assets and ensure their efficient use. Theft, carelessness and waste have a direct impact on our profitability. All company assets, including confidential information, trade secrets and inventions, should be used for legitimate business purposes. All employees are required to sign an Employee Invention Assignment and Confidentiality Agreement as a term of their employment.</w:t>
      </w:r>
    </w:p>
    <w:p>
      <w:pPr>
        <w:spacing w:after="0" w:line="2" w:lineRule="exact"/>
        <w:rPr>
          <w:rFonts w:ascii="Times New Roman" w:cs="Times New Roman" w:eastAsia="Times New Roman" w:hAnsi="Times New Roman"/>
          <w:sz w:val="19"/>
          <w:szCs w:val="19"/>
          <w:color w:val="auto"/>
        </w:rPr>
      </w:pPr>
    </w:p>
    <w:p>
      <w:pPr>
        <w:ind w:left="1180" w:right="219" w:hanging="323"/>
        <w:spacing w:after="0" w:line="252" w:lineRule="auto"/>
        <w:tabs>
          <w:tab w:leader="none" w:pos="1180" w:val="left"/>
        </w:tabs>
        <w:numPr>
          <w:ilvl w:val="0"/>
          <w:numId w:val="85"/>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no inappropriate gifts, gratuities and kickbacks—</w:t>
      </w:r>
      <w:r>
        <w:rPr>
          <w:rFonts w:ascii="Arial" w:cs="Arial" w:eastAsia="Arial" w:hAnsi="Arial"/>
          <w:sz w:val="20"/>
          <w:szCs w:val="20"/>
          <w:color w:val="auto"/>
        </w:rPr>
        <w:t>We do not offer or accept kickbacks or</w:t>
      </w:r>
      <w:r>
        <w:rPr>
          <w:rFonts w:ascii="Arial" w:cs="Arial" w:eastAsia="Arial" w:hAnsi="Arial"/>
          <w:sz w:val="20"/>
          <w:szCs w:val="20"/>
          <w:i w:val="1"/>
          <w:iCs w:val="1"/>
          <w:color w:val="auto"/>
        </w:rPr>
        <w:t xml:space="preserve"> </w:t>
      </w:r>
      <w:r>
        <w:rPr>
          <w:rFonts w:ascii="Arial" w:cs="Arial" w:eastAsia="Arial" w:hAnsi="Arial"/>
          <w:sz w:val="20"/>
          <w:szCs w:val="20"/>
          <w:color w:val="auto"/>
        </w:rPr>
        <w:t>bribes, or gifts of substantial value.</w:t>
      </w:r>
    </w:p>
    <w:p>
      <w:pPr>
        <w:spacing w:after="0" w:line="32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RESPONSIBILITIES OF SENIOR LEADERSHIP</w:t>
      </w:r>
    </w:p>
    <w:p>
      <w:pPr>
        <w:spacing w:after="0" w:line="28" w:lineRule="exact"/>
        <w:rPr>
          <w:sz w:val="20"/>
          <w:szCs w:val="20"/>
          <w:color w:val="auto"/>
        </w:rPr>
      </w:pPr>
    </w:p>
    <w:p>
      <w:pPr>
        <w:ind w:left="540" w:right="299"/>
        <w:spacing w:after="0" w:line="267" w:lineRule="auto"/>
        <w:rPr>
          <w:sz w:val="20"/>
          <w:szCs w:val="20"/>
          <w:color w:val="auto"/>
        </w:rPr>
      </w:pPr>
      <w:r>
        <w:rPr>
          <w:rFonts w:ascii="Arial" w:cs="Arial" w:eastAsia="Arial" w:hAnsi="Arial"/>
          <w:sz w:val="20"/>
          <w:szCs w:val="20"/>
          <w:color w:val="auto"/>
        </w:rPr>
        <w:t>The foregoing General Principles apply to all of our employees. However, members of our senior leadership have a special obligation to set the highest ethical tone for the Company. Senior leadership members include our Chief Executive Officer, Chief Operating Officer, Chief Financial Officer, General Counsel and Controller (and other personnel meeting the Security and Exchange Commission’s definition of principal executive, principal financial, principal accounting officers or persons performing similar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553720</wp:posOffset>
            </wp:positionV>
            <wp:extent cx="545211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96" w:name="page97"/>
    <w:bookmarkEnd w:id="96"/>
    <w:p>
      <w:pPr>
        <w:ind w:left="540" w:right="239"/>
        <w:spacing w:after="0" w:line="278" w:lineRule="auto"/>
        <w:rPr>
          <w:sz w:val="20"/>
          <w:szCs w:val="20"/>
          <w:color w:val="auto"/>
        </w:rPr>
      </w:pPr>
      <w:r>
        <w:rPr>
          <w:rFonts w:ascii="Arial" w:cs="Arial" w:eastAsia="Arial" w:hAnsi="Arial"/>
          <w:sz w:val="20"/>
          <w:szCs w:val="20"/>
          <w:color w:val="auto"/>
        </w:rPr>
        <w:t>In addition, members of our senior leadership have the ultimate responsibility to ensure that there is full, fair, accurate, timely and understandable disclosure in reports and documents that Axcelis files with, or submits to, the Securities and Exchange Commission and other public communications made by Axcelis.</w:t>
      </w:r>
    </w:p>
    <w:p>
      <w:pPr>
        <w:spacing w:after="0" w:line="200" w:lineRule="exact"/>
        <w:rPr>
          <w:sz w:val="20"/>
          <w:szCs w:val="20"/>
          <w:color w:val="auto"/>
        </w:rPr>
      </w:pPr>
    </w:p>
    <w:p>
      <w:pPr>
        <w:spacing w:after="0" w:line="300" w:lineRule="exact"/>
        <w:rPr>
          <w:sz w:val="20"/>
          <w:szCs w:val="20"/>
          <w:color w:val="auto"/>
        </w:rPr>
      </w:pPr>
    </w:p>
    <w:p>
      <w:pPr>
        <w:ind w:left="540" w:right="319"/>
        <w:spacing w:after="0" w:line="297" w:lineRule="auto"/>
        <w:rPr>
          <w:sz w:val="20"/>
          <w:szCs w:val="20"/>
          <w:color w:val="auto"/>
        </w:rPr>
      </w:pPr>
      <w:r>
        <w:rPr>
          <w:rFonts w:ascii="Arial" w:cs="Arial" w:eastAsia="Arial" w:hAnsi="Arial"/>
          <w:sz w:val="19"/>
          <w:szCs w:val="19"/>
          <w:color w:val="auto"/>
        </w:rPr>
        <w:t>Axcelis will have “zero tolerance” for unethical conduct by senior leadership. These employees are expected to be role models of ethical behavior and to take appropriate actions to report on unethical behavior both within the financial organization and throughout Axcelis.</w:t>
      </w: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SEEK GUIDANCE</w:t>
      </w:r>
    </w:p>
    <w:p>
      <w:pPr>
        <w:spacing w:after="0" w:line="15" w:lineRule="exact"/>
        <w:rPr>
          <w:sz w:val="20"/>
          <w:szCs w:val="20"/>
          <w:color w:val="auto"/>
        </w:rPr>
      </w:pPr>
    </w:p>
    <w:p>
      <w:pPr>
        <w:ind w:left="540" w:right="439"/>
        <w:spacing w:after="0" w:line="264" w:lineRule="auto"/>
        <w:rPr>
          <w:sz w:val="20"/>
          <w:szCs w:val="20"/>
          <w:color w:val="auto"/>
        </w:rPr>
      </w:pPr>
      <w:r>
        <w:rPr>
          <w:rFonts w:ascii="Arial" w:cs="Arial" w:eastAsia="Arial" w:hAnsi="Arial"/>
          <w:sz w:val="19"/>
          <w:szCs w:val="19"/>
          <w:color w:val="auto"/>
        </w:rPr>
        <w:t>Our goal is to avoid any actions which may be, or even appear to be, ethical violations or conflicts of interest. Many times ethical or conflict of interest problems are complex and fact-sensitive. It is important to take the time to make good decisions before committing to one path over another. We strongly encourage employees who are considering actions which in any way raise ethical concerns to discuss their options with supervisors, members of the Human Resources team and/or our General Counsel. Posted on our intranet and available from the Human Resources team are guidelines on avoiding material transactions or relationships involving potential conflicts of interest, in specific circumstances.</w:t>
      </w:r>
    </w:p>
    <w:p>
      <w:pPr>
        <w:spacing w:after="0" w:line="30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REPORTING OF CONCERNS</w:t>
      </w:r>
    </w:p>
    <w:p>
      <w:pPr>
        <w:spacing w:after="0" w:line="15" w:lineRule="exact"/>
        <w:rPr>
          <w:sz w:val="20"/>
          <w:szCs w:val="20"/>
          <w:color w:val="auto"/>
        </w:rPr>
      </w:pPr>
    </w:p>
    <w:p>
      <w:pPr>
        <w:ind w:left="540" w:right="219"/>
        <w:spacing w:after="0" w:line="244" w:lineRule="auto"/>
        <w:rPr>
          <w:sz w:val="20"/>
          <w:szCs w:val="20"/>
          <w:color w:val="auto"/>
        </w:rPr>
      </w:pPr>
      <w:r>
        <w:rPr>
          <w:rFonts w:ascii="Arial" w:cs="Arial" w:eastAsia="Arial" w:hAnsi="Arial"/>
          <w:sz w:val="20"/>
          <w:szCs w:val="20"/>
          <w:color w:val="auto"/>
        </w:rPr>
        <w:t>We encourage reporting of any known or suspected violations of this policy. In order to ensure that all reports of concern are received, we have established a number of methods for communicating:</w:t>
      </w:r>
    </w:p>
    <w:p>
      <w:pPr>
        <w:spacing w:after="0" w:line="1" w:lineRule="exact"/>
        <w:rPr>
          <w:sz w:val="20"/>
          <w:szCs w:val="20"/>
          <w:color w:val="auto"/>
        </w:rPr>
      </w:pPr>
    </w:p>
    <w:p>
      <w:pPr>
        <w:ind w:left="860" w:right="519" w:hanging="327"/>
        <w:spacing w:after="0" w:line="246" w:lineRule="auto"/>
        <w:tabs>
          <w:tab w:leader="none" w:pos="860" w:val="left"/>
        </w:tabs>
        <w:numPr>
          <w:ilvl w:val="0"/>
          <w:numId w:val="86"/>
        </w:numPr>
        <w:rPr>
          <w:rFonts w:ascii="Times New Roman" w:cs="Times New Roman" w:eastAsia="Times New Roman" w:hAnsi="Times New Roman"/>
          <w:sz w:val="20"/>
          <w:szCs w:val="20"/>
          <w:color w:val="auto"/>
        </w:rPr>
      </w:pPr>
      <w:r>
        <w:rPr>
          <w:rFonts w:ascii="Arial" w:cs="Arial" w:eastAsia="Arial" w:hAnsi="Arial"/>
          <w:sz w:val="20"/>
          <w:szCs w:val="20"/>
          <w:color w:val="auto"/>
        </w:rPr>
        <w:t>You may speak in person, telephone, mail or email our General Counsel. Her contact information appears at the end of this policy. If you prefer, you may contact another member of senior management, including our Chief Executive Officer or Chief Financial Officer.</w:t>
      </w:r>
    </w:p>
    <w:p>
      <w:pPr>
        <w:spacing w:after="0" w:line="1" w:lineRule="exact"/>
        <w:rPr>
          <w:rFonts w:ascii="Times New Roman" w:cs="Times New Roman" w:eastAsia="Times New Roman" w:hAnsi="Times New Roman"/>
          <w:sz w:val="20"/>
          <w:szCs w:val="20"/>
          <w:color w:val="auto"/>
        </w:rPr>
      </w:pPr>
    </w:p>
    <w:p>
      <w:pPr>
        <w:ind w:left="860" w:right="259" w:hanging="327"/>
        <w:spacing w:after="0" w:line="246" w:lineRule="auto"/>
        <w:tabs>
          <w:tab w:leader="none" w:pos="860" w:val="left"/>
        </w:tabs>
        <w:numPr>
          <w:ilvl w:val="0"/>
          <w:numId w:val="86"/>
        </w:numPr>
        <w:rPr>
          <w:rFonts w:ascii="Times New Roman" w:cs="Times New Roman" w:eastAsia="Times New Roman" w:hAnsi="Times New Roman"/>
          <w:sz w:val="20"/>
          <w:szCs w:val="20"/>
          <w:color w:val="auto"/>
        </w:rPr>
      </w:pPr>
      <w:r>
        <w:rPr>
          <w:rFonts w:ascii="Arial" w:cs="Arial" w:eastAsia="Arial" w:hAnsi="Arial"/>
          <w:sz w:val="20"/>
          <w:szCs w:val="20"/>
          <w:color w:val="auto"/>
        </w:rPr>
        <w:t>You may send an anonymous email to via the Axcelis Ethics Reporting Line located on the Legal Department page of the Axcelis Intranet.</w:t>
      </w:r>
    </w:p>
    <w:p>
      <w:pPr>
        <w:ind w:left="860" w:right="319" w:hanging="327"/>
        <w:spacing w:after="0" w:line="266" w:lineRule="auto"/>
        <w:tabs>
          <w:tab w:leader="none" w:pos="860" w:val="left"/>
        </w:tabs>
        <w:numPr>
          <w:ilvl w:val="0"/>
          <w:numId w:val="86"/>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telephone the dedicated voicemail box identified under the Ethics Reporting Line on the Legal Department page of the Axcelis Intranet.</w:t>
      </w:r>
    </w:p>
    <w:p>
      <w:pPr>
        <w:spacing w:after="0" w:line="146" w:lineRule="exact"/>
        <w:rPr>
          <w:sz w:val="20"/>
          <w:szCs w:val="20"/>
          <w:color w:val="auto"/>
        </w:rPr>
      </w:pPr>
    </w:p>
    <w:p>
      <w:pPr>
        <w:ind w:left="540" w:right="599"/>
        <w:spacing w:after="0" w:line="271" w:lineRule="auto"/>
        <w:rPr>
          <w:sz w:val="20"/>
          <w:szCs w:val="20"/>
          <w:color w:val="auto"/>
        </w:rPr>
      </w:pPr>
      <w:r>
        <w:rPr>
          <w:rFonts w:ascii="Arial" w:cs="Arial" w:eastAsia="Arial" w:hAnsi="Arial"/>
          <w:sz w:val="20"/>
          <w:szCs w:val="20"/>
          <w:color w:val="auto"/>
        </w:rPr>
        <w:t>Any reporting may be done anonymously, although we encourage you to provide sufficient information to allow us to undertake a productive investigation of the matter.</w:t>
      </w:r>
    </w:p>
    <w:p>
      <w:pPr>
        <w:spacing w:after="0" w:line="142" w:lineRule="exact"/>
        <w:rPr>
          <w:sz w:val="20"/>
          <w:szCs w:val="20"/>
          <w:color w:val="auto"/>
        </w:rPr>
      </w:pPr>
    </w:p>
    <w:p>
      <w:pPr>
        <w:ind w:left="540" w:right="359"/>
        <w:spacing w:after="0" w:line="255" w:lineRule="auto"/>
        <w:rPr>
          <w:sz w:val="20"/>
          <w:szCs w:val="20"/>
          <w:color w:val="auto"/>
        </w:rPr>
      </w:pPr>
      <w:r>
        <w:rPr>
          <w:rFonts w:ascii="Arial" w:cs="Arial" w:eastAsia="Arial" w:hAnsi="Arial"/>
          <w:sz w:val="20"/>
          <w:szCs w:val="20"/>
          <w:color w:val="auto"/>
        </w:rPr>
        <w:t>Axcelis understands that employees may be reluctant to complain of ethical violations or conflicts of interest or to cooperate with an investigation for fear of retaliation, and Axcelis will take action to protect those employees. Any type of retaliation is strictly prohibited and will result in disciplinary action, up to and including termination of employment.</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HANDLING OF REPORTS</w:t>
      </w:r>
    </w:p>
    <w:p>
      <w:pPr>
        <w:spacing w:after="0" w:line="15" w:lineRule="exact"/>
        <w:rPr>
          <w:sz w:val="20"/>
          <w:szCs w:val="20"/>
          <w:color w:val="auto"/>
        </w:rPr>
      </w:pPr>
    </w:p>
    <w:p>
      <w:pPr>
        <w:ind w:left="540" w:right="579"/>
        <w:spacing w:after="0" w:line="249" w:lineRule="auto"/>
        <w:rPr>
          <w:sz w:val="20"/>
          <w:szCs w:val="20"/>
          <w:color w:val="auto"/>
        </w:rPr>
      </w:pPr>
      <w:r>
        <w:rPr>
          <w:rFonts w:ascii="Arial" w:cs="Arial" w:eastAsia="Arial" w:hAnsi="Arial"/>
          <w:sz w:val="20"/>
          <w:szCs w:val="20"/>
          <w:color w:val="auto"/>
        </w:rPr>
        <w:t>Unless otherwise determined by our Board of Directors, our General Counsel will be responsible for managing the investigation of any report of a violation of this policy. Such investigations will be handled promptly and in as confidential a manner as possible without compromising the effectiveness of the investigation. Axcelis employees are expected to cooperate fully in any authorized investigation of a violation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453390</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7" w:name="page98"/>
    <w:bookmarkEnd w:id="97"/>
    <w:p>
      <w:pPr>
        <w:ind w:left="540" w:right="239"/>
        <w:spacing w:after="0" w:line="254" w:lineRule="auto"/>
        <w:rPr>
          <w:sz w:val="20"/>
          <w:szCs w:val="20"/>
          <w:color w:val="auto"/>
        </w:rPr>
      </w:pPr>
      <w:r>
        <w:rPr>
          <w:rFonts w:ascii="Arial" w:cs="Arial" w:eastAsia="Arial" w:hAnsi="Arial"/>
          <w:sz w:val="20"/>
          <w:szCs w:val="20"/>
          <w:color w:val="auto"/>
        </w:rPr>
        <w:t>Special procedures will apply to any ethical violation or conflict relating to financial record keeping, financial reporting, accounting treatment, internal accounting controls or auditing matters. In those cases, the General Counsel will promptly inform the Chairman of the Audit Committee of the Board of Directors. Such complaints will be handled in accordance with procedures on the receipt, retention and treatment of such complaints established by the Audit Committee of the Board of Directors.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EFFECT OF VIOLATIONS</w:t>
      </w:r>
    </w:p>
    <w:p>
      <w:pPr>
        <w:spacing w:after="0" w:line="15" w:lineRule="exact"/>
        <w:rPr>
          <w:sz w:val="20"/>
          <w:szCs w:val="20"/>
          <w:color w:val="auto"/>
        </w:rPr>
      </w:pPr>
    </w:p>
    <w:p>
      <w:pPr>
        <w:ind w:left="540" w:right="299"/>
        <w:spacing w:after="0" w:line="250" w:lineRule="auto"/>
        <w:rPr>
          <w:sz w:val="20"/>
          <w:szCs w:val="20"/>
          <w:color w:val="auto"/>
        </w:rPr>
      </w:pPr>
      <w:r>
        <w:rPr>
          <w:rFonts w:ascii="Arial" w:cs="Arial" w:eastAsia="Arial" w:hAnsi="Arial"/>
          <w:sz w:val="20"/>
          <w:szCs w:val="20"/>
          <w:color w:val="auto"/>
        </w:rPr>
        <w:t>If a violation is found, unless directed otherwise by the Audit Committee, the General Counsel will be responsible for overseeing an appropriate response, including corrective action and preventative measures. Violation of these principles will lead to appropriate disciplinary action, up to and including termination of employment. To the extent required by law or to protect the interests of the Company, illegal activities will be reported to the appropriate governmental authorities.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WAIVERS</w:t>
      </w:r>
    </w:p>
    <w:p>
      <w:pPr>
        <w:spacing w:after="0" w:line="15" w:lineRule="exact"/>
        <w:rPr>
          <w:sz w:val="20"/>
          <w:szCs w:val="20"/>
          <w:color w:val="auto"/>
        </w:rPr>
      </w:pPr>
    </w:p>
    <w:p>
      <w:pPr>
        <w:ind w:left="540" w:right="379"/>
        <w:spacing w:after="0" w:line="249" w:lineRule="auto"/>
        <w:rPr>
          <w:sz w:val="20"/>
          <w:szCs w:val="20"/>
          <w:color w:val="auto"/>
        </w:rPr>
      </w:pPr>
      <w:r>
        <w:rPr>
          <w:rFonts w:ascii="Arial" w:cs="Arial" w:eastAsia="Arial" w:hAnsi="Arial"/>
          <w:sz w:val="20"/>
          <w:szCs w:val="20"/>
          <w:color w:val="auto"/>
        </w:rPr>
        <w:t>Although it is not contemplated that this Code of Ethics will be waived at any time, no waiver of this Code of Ethics for executive officers or directors will be effective unless approved by a resolution of the Axcelis Board of Directors or an authorized committee of the Board. Any waiver granted to an executive officer or director of Axcelis will be publicly disclosed as required by Nasdaq and the Securities and Exchange Commission.</w:t>
      </w: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RESPONSIBLE OFFICER</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20"/>
          <w:szCs w:val="20"/>
          <w:color w:val="auto"/>
        </w:rPr>
        <w:t>Eileen J. Evans</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EVP HR/Legal and General Counsel</w:t>
      </w:r>
    </w:p>
    <w:p>
      <w:pPr>
        <w:ind w:left="540"/>
        <w:spacing w:after="0"/>
        <w:rPr>
          <w:sz w:val="20"/>
          <w:szCs w:val="20"/>
          <w:color w:val="auto"/>
        </w:rPr>
      </w:pPr>
      <w:r>
        <w:rPr>
          <w:rFonts w:ascii="Arial" w:cs="Arial" w:eastAsia="Arial" w:hAnsi="Arial"/>
          <w:sz w:val="20"/>
          <w:szCs w:val="20"/>
          <w:color w:val="auto"/>
        </w:rPr>
        <w:t>Axcelis Technologies, Inc.</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108 Cherry Hill Drive</w:t>
      </w:r>
    </w:p>
    <w:p>
      <w:pPr>
        <w:ind w:left="540"/>
        <w:spacing w:after="0"/>
        <w:rPr>
          <w:sz w:val="20"/>
          <w:szCs w:val="20"/>
          <w:color w:val="auto"/>
        </w:rPr>
      </w:pPr>
      <w:r>
        <w:rPr>
          <w:rFonts w:ascii="Arial" w:cs="Arial" w:eastAsia="Arial" w:hAnsi="Arial"/>
          <w:sz w:val="20"/>
          <w:szCs w:val="20"/>
          <w:color w:val="auto"/>
        </w:rPr>
        <w:t>Beverly, MA 01915</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eileen.evans@axcelis.com</w:t>
      </w:r>
    </w:p>
    <w:p>
      <w:pPr>
        <w:ind w:left="540"/>
        <w:spacing w:after="0"/>
        <w:rPr>
          <w:sz w:val="20"/>
          <w:szCs w:val="20"/>
          <w:color w:val="auto"/>
        </w:rPr>
      </w:pPr>
      <w:r>
        <w:rPr>
          <w:rFonts w:ascii="Arial" w:cs="Arial" w:eastAsia="Arial" w:hAnsi="Arial"/>
          <w:sz w:val="20"/>
          <w:szCs w:val="20"/>
          <w:color w:val="auto"/>
        </w:rPr>
        <w:t>978-787-8439</w:t>
      </w: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RELEVANT RESOURCES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20"/>
          <w:szCs w:val="20"/>
          <w:color w:val="auto"/>
        </w:rPr>
        <w:t>Guidelines for Ethical Business Conduct</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Insider Trading Policy</w:t>
      </w:r>
    </w:p>
    <w:p>
      <w:pPr>
        <w:ind w:left="540"/>
        <w:spacing w:after="0"/>
        <w:rPr>
          <w:sz w:val="20"/>
          <w:szCs w:val="20"/>
          <w:color w:val="auto"/>
        </w:rPr>
      </w:pPr>
      <w:r>
        <w:rPr>
          <w:rFonts w:ascii="Arial" w:cs="Arial" w:eastAsia="Arial" w:hAnsi="Arial"/>
          <w:sz w:val="20"/>
          <w:szCs w:val="20"/>
          <w:color w:val="auto"/>
        </w:rPr>
        <w:t>Employee Invention Assignment and Confidentiality Agreement</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Communications Policy</w:t>
      </w:r>
    </w:p>
    <w:p>
      <w:pPr>
        <w:ind w:left="540"/>
        <w:spacing w:after="0"/>
        <w:rPr>
          <w:sz w:val="20"/>
          <w:szCs w:val="20"/>
          <w:color w:val="auto"/>
        </w:rPr>
      </w:pPr>
      <w:r>
        <w:rPr>
          <w:rFonts w:ascii="Arial" w:cs="Arial" w:eastAsia="Arial" w:hAnsi="Arial"/>
          <w:sz w:val="20"/>
          <w:szCs w:val="20"/>
          <w:color w:val="auto"/>
        </w:rPr>
        <w:t>Employment of Relatives-Employee Relationships Policy</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Discriminatory and Sexual Harassment Policy</w:t>
      </w:r>
    </w:p>
    <w:p>
      <w:pPr>
        <w:ind w:left="540"/>
        <w:spacing w:after="0"/>
        <w:rPr>
          <w:sz w:val="20"/>
          <w:szCs w:val="20"/>
          <w:color w:val="auto"/>
        </w:rPr>
      </w:pPr>
      <w:r>
        <w:rPr>
          <w:rFonts w:ascii="Arial" w:cs="Arial" w:eastAsia="Arial" w:hAnsi="Arial"/>
          <w:sz w:val="20"/>
          <w:szCs w:val="20"/>
          <w:color w:val="auto"/>
        </w:rPr>
        <w:t>Foreign Corrupt Practices Act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98" w:name="page99"/>
    <w:bookmarkEnd w:id="9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Exhibit 21.1 to Form 10-K for the year ended December 31, 2025</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5"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list of all direct and indirect wholly-owned subsidiaries of Axcelis Technologies, Inc. as of the date hereof:</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229" w:lineRule="exact"/>
        <w:rPr>
          <w:sz w:val="20"/>
          <w:szCs w:val="20"/>
          <w:color w:val="auto"/>
        </w:rPr>
      </w:pPr>
    </w:p>
    <w:p>
      <w:pPr>
        <w:ind w:left="700" w:hanging="656"/>
        <w:spacing w:after="0"/>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(Israel) Inc., a Delaware corporation</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Victory Merger Sub, Inc., a Delaware corporation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European Subsidiaries</w:t>
      </w:r>
    </w:p>
    <w:p>
      <w:pPr>
        <w:spacing w:after="0" w:line="216" w:lineRule="exact"/>
        <w:rPr>
          <w:sz w:val="20"/>
          <w:szCs w:val="20"/>
          <w:color w:val="auto"/>
        </w:rPr>
      </w:pPr>
    </w:p>
    <w:p>
      <w:pPr>
        <w:ind w:left="700" w:hanging="65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GmbH (Germany)</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Srl (Italy)</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Sarl (France)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Asian Subsidiaries</w:t>
      </w:r>
    </w:p>
    <w:p>
      <w:pPr>
        <w:spacing w:after="0" w:line="229" w:lineRule="exact"/>
        <w:rPr>
          <w:sz w:val="20"/>
          <w:szCs w:val="20"/>
          <w:color w:val="auto"/>
        </w:rPr>
      </w:pPr>
    </w:p>
    <w:p>
      <w:pPr>
        <w:ind w:left="700" w:hanging="656"/>
        <w:spacing w:after="0"/>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KK (Japan)</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Limited (Korea)</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Ltd. (Taiwan)</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Pte. Ltd. (Singapore)</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Semiconductor Trading (Shanghai) Co., Ltd.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9" w:name="page100"/>
    <w:bookmarkEnd w:id="9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2" w:lineRule="exact"/>
        <w:rPr>
          <w:sz w:val="20"/>
          <w:szCs w:val="20"/>
          <w:color w:val="auto"/>
        </w:rPr>
      </w:pPr>
    </w:p>
    <w:p>
      <w:pPr>
        <w:ind w:left="1020" w:right="319" w:hanging="652"/>
        <w:spacing w:after="0" w:line="266"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333-181750, 333-188967, 333-196157, 333-204544, 333-211673, 333-218225, 333-231634 and 333-287655) pertaining to the 2012 Equity Incentive Plan of Axcelis Technologies, Inc.,</w:t>
      </w:r>
    </w:p>
    <w:p>
      <w:pPr>
        <w:spacing w:after="0" w:line="175" w:lineRule="exact"/>
        <w:rPr>
          <w:rFonts w:ascii="Times New Roman" w:cs="Times New Roman" w:eastAsia="Times New Roman" w:hAnsi="Times New Roman"/>
          <w:sz w:val="18"/>
          <w:szCs w:val="18"/>
          <w:color w:val="auto"/>
        </w:rPr>
      </w:pPr>
    </w:p>
    <w:p>
      <w:pPr>
        <w:ind w:left="1020" w:right="179" w:hanging="652"/>
        <w:spacing w:after="0" w:line="282"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333-238770) pertaining to the 2020 Employee Stock Purchase Plan of Axcelis Technologies, Inc.,</w:t>
      </w:r>
    </w:p>
    <w:p>
      <w:pPr>
        <w:spacing w:after="0" w:line="161" w:lineRule="exact"/>
        <w:rPr>
          <w:rFonts w:ascii="Times New Roman" w:cs="Times New Roman" w:eastAsia="Times New Roman" w:hAnsi="Times New Roman"/>
          <w:sz w:val="18"/>
          <w:szCs w:val="18"/>
          <w:color w:val="auto"/>
        </w:rPr>
      </w:pPr>
    </w:p>
    <w:p>
      <w:pPr>
        <w:ind w:left="1020" w:right="599" w:hanging="652"/>
        <w:spacing w:after="0" w:line="282"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333-120356) pertaining to the 2000 Stock Plan and 2012 Equity Incentive Plan,</w:t>
      </w:r>
    </w:p>
    <w:p>
      <w:pPr>
        <w:spacing w:after="0" w:line="161" w:lineRule="exact"/>
        <w:rPr>
          <w:rFonts w:ascii="Times New Roman" w:cs="Times New Roman" w:eastAsia="Times New Roman" w:hAnsi="Times New Roman"/>
          <w:sz w:val="18"/>
          <w:szCs w:val="18"/>
          <w:color w:val="auto"/>
        </w:rPr>
      </w:pPr>
    </w:p>
    <w:p>
      <w:pPr>
        <w:ind w:left="1020" w:hanging="652"/>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333-273639) and related Prospectus of Axcelis Technologies, Inc., and</w:t>
      </w:r>
    </w:p>
    <w:p>
      <w:pPr>
        <w:spacing w:after="0" w:line="225" w:lineRule="exact"/>
        <w:rPr>
          <w:rFonts w:ascii="Times New Roman" w:cs="Times New Roman" w:eastAsia="Times New Roman" w:hAnsi="Times New Roman"/>
          <w:sz w:val="18"/>
          <w:szCs w:val="18"/>
          <w:color w:val="auto"/>
        </w:rPr>
      </w:pPr>
    </w:p>
    <w:p>
      <w:pPr>
        <w:ind w:left="1020" w:hanging="652"/>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333-292008) of Axcelis Technologies, Inc.;</w:t>
      </w:r>
    </w:p>
    <w:p>
      <w:pPr>
        <w:spacing w:after="0" w:line="225"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of our reports dated February 26, 2026, with respect to the consolidated financial statements and schedule of Axcelis Technologies, Inc. and the effectiveness of internal control over financial reporting of Axcelis Technologies, Inc. included in this Annual Report (Form 10-K) of Axcelis Technologies, Inc. for the year ended December 31, 2025.</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0" w:name="page101"/>
    <w:bookmarkEnd w:id="10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Russell J. Low, certify that:</w:t>
      </w:r>
    </w:p>
    <w:p>
      <w:pPr>
        <w:spacing w:after="0" w:line="171" w:lineRule="exact"/>
        <w:rPr>
          <w:sz w:val="20"/>
          <w:szCs w:val="20"/>
          <w:color w:val="auto"/>
        </w:rPr>
      </w:pPr>
    </w:p>
    <w:p>
      <w:pPr>
        <w:ind w:left="700" w:hanging="656"/>
        <w:spacing w:after="0"/>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Axcelis Technologies, Inc.;</w:t>
      </w:r>
    </w:p>
    <w:p>
      <w:pPr>
        <w:spacing w:after="0" w:line="171"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00" w:right="219" w:hanging="656"/>
        <w:spacing w:after="0" w:line="266" w:lineRule="auto"/>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700" w:right="379" w:hanging="656"/>
        <w:spacing w:after="0" w:line="289" w:lineRule="auto"/>
        <w:tabs>
          <w:tab w:leader="none" w:pos="7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3" w:lineRule="exact"/>
        <w:rPr>
          <w:rFonts w:ascii="Times New Roman" w:cs="Times New Roman" w:eastAsia="Times New Roman" w:hAnsi="Times New Roman"/>
          <w:sz w:val="17"/>
          <w:szCs w:val="17"/>
          <w:color w:val="auto"/>
        </w:rPr>
      </w:pPr>
    </w:p>
    <w:p>
      <w:pPr>
        <w:ind w:left="1340" w:right="119" w:hanging="648"/>
        <w:spacing w:after="0" w:line="261" w:lineRule="auto"/>
        <w:tabs>
          <w:tab w:leader="none" w:pos="13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40" w:right="139" w:hanging="648"/>
        <w:spacing w:after="0" w:line="261" w:lineRule="auto"/>
        <w:tabs>
          <w:tab w:leader="none" w:pos="13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12" w:lineRule="exact"/>
        <w:rPr>
          <w:rFonts w:ascii="Times New Roman" w:cs="Times New Roman" w:eastAsia="Times New Roman" w:hAnsi="Times New Roman"/>
          <w:sz w:val="18"/>
          <w:szCs w:val="18"/>
          <w:color w:val="auto"/>
        </w:rPr>
      </w:pPr>
    </w:p>
    <w:p>
      <w:pPr>
        <w:jc w:val="both"/>
        <w:ind w:left="700" w:right="379" w:hanging="656"/>
        <w:spacing w:after="0" w:line="266" w:lineRule="auto"/>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February 26, 2026</w:t>
            </w:r>
          </w:p>
        </w:tc>
        <w:tc>
          <w:tcPr>
            <w:tcW w:w="1340" w:type="dxa"/>
            <w:vAlign w:val="bottom"/>
          </w:tcPr>
          <w:p>
            <w:pPr>
              <w:spacing w:after="0"/>
              <w:rPr>
                <w:sz w:val="20"/>
                <w:szCs w:val="20"/>
                <w:color w:val="auto"/>
              </w:rPr>
            </w:pPr>
          </w:p>
        </w:tc>
        <w:tc>
          <w:tcPr>
            <w:tcW w:w="4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ussell</w:t>
            </w:r>
            <w:r>
              <w:rPr>
                <w:rFonts w:ascii="Times New Roman" w:cs="Times New Roman" w:eastAsia="Times New Roman" w:hAnsi="Times New Roman"/>
                <w:sz w:val="18"/>
                <w:szCs w:val="18"/>
                <w:color w:val="auto"/>
              </w:rPr>
              <w:t xml:space="preserve"> J. L</w:t>
            </w:r>
            <w:r>
              <w:rPr>
                <w:rFonts w:ascii="Times New Roman" w:cs="Times New Roman" w:eastAsia="Times New Roman" w:hAnsi="Times New Roman"/>
                <w:sz w:val="12"/>
                <w:szCs w:val="12"/>
                <w:color w:val="auto"/>
              </w:rPr>
              <w:t>ow</w:t>
            </w:r>
          </w:p>
        </w:tc>
      </w:tr>
      <w:tr>
        <w:trPr>
          <w:trHeight w:val="209"/>
        </w:trPr>
        <w:tc>
          <w:tcPr>
            <w:tcW w:w="3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Russell J. Low,</w:t>
            </w:r>
          </w:p>
        </w:tc>
      </w:tr>
      <w:tr>
        <w:trPr>
          <w:trHeight w:val="236"/>
        </w:trPr>
        <w:tc>
          <w:tcPr>
            <w:tcW w:w="3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r>
      <w:tr>
        <w:trPr>
          <w:trHeight w:val="877"/>
        </w:trPr>
        <w:tc>
          <w:tcPr>
            <w:tcW w:w="3120" w:type="dxa"/>
            <w:vAlign w:val="bottom"/>
          </w:tcPr>
          <w:p>
            <w:pPr>
              <w:spacing w:after="0"/>
              <w:rPr>
                <w:sz w:val="24"/>
                <w:szCs w:val="24"/>
                <w:color w:val="auto"/>
              </w:rPr>
            </w:pPr>
          </w:p>
        </w:tc>
        <w:tc>
          <w:tcPr>
            <w:tcW w:w="5800" w:type="dxa"/>
            <w:vAlign w:val="bottom"/>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1</w:t>
            </w:r>
          </w:p>
        </w:tc>
      </w:tr>
      <w:tr>
        <w:trPr>
          <w:trHeight w:val="560"/>
        </w:trPr>
        <w:tc>
          <w:tcPr>
            <w:tcW w:w="3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1" w:name="page102"/>
    <w:bookmarkEnd w:id="10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James G. Coogan, certify that:</w:t>
      </w:r>
    </w:p>
    <w:p>
      <w:pPr>
        <w:spacing w:after="0" w:line="171" w:lineRule="exact"/>
        <w:rPr>
          <w:sz w:val="20"/>
          <w:szCs w:val="20"/>
          <w:color w:val="auto"/>
        </w:rPr>
      </w:pPr>
    </w:p>
    <w:p>
      <w:pPr>
        <w:ind w:left="700" w:hanging="656"/>
        <w:spacing w:after="0"/>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Axcelis Technologies, Inc.;</w:t>
      </w:r>
    </w:p>
    <w:p>
      <w:pPr>
        <w:spacing w:after="0" w:line="171"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00" w:right="219" w:hanging="656"/>
        <w:spacing w:after="0" w:line="266" w:lineRule="auto"/>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700" w:right="379" w:hanging="656"/>
        <w:spacing w:after="0" w:line="289" w:lineRule="auto"/>
        <w:tabs>
          <w:tab w:leader="none" w:pos="7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3" w:lineRule="exact"/>
        <w:rPr>
          <w:rFonts w:ascii="Times New Roman" w:cs="Times New Roman" w:eastAsia="Times New Roman" w:hAnsi="Times New Roman"/>
          <w:sz w:val="17"/>
          <w:szCs w:val="17"/>
          <w:color w:val="auto"/>
        </w:rPr>
      </w:pPr>
    </w:p>
    <w:p>
      <w:pPr>
        <w:ind w:left="1340" w:right="119" w:hanging="648"/>
        <w:spacing w:after="0" w:line="261" w:lineRule="auto"/>
        <w:tabs>
          <w:tab w:leader="none" w:pos="13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40" w:right="139" w:hanging="648"/>
        <w:spacing w:after="0" w:line="261" w:lineRule="auto"/>
        <w:tabs>
          <w:tab w:leader="none" w:pos="13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12" w:lineRule="exact"/>
        <w:rPr>
          <w:rFonts w:ascii="Times New Roman" w:cs="Times New Roman" w:eastAsia="Times New Roman" w:hAnsi="Times New Roman"/>
          <w:sz w:val="18"/>
          <w:szCs w:val="18"/>
          <w:color w:val="auto"/>
        </w:rPr>
      </w:pPr>
    </w:p>
    <w:p>
      <w:pPr>
        <w:jc w:val="both"/>
        <w:ind w:left="700" w:right="379" w:hanging="656"/>
        <w:spacing w:after="0" w:line="266" w:lineRule="auto"/>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1700" w:type="dxa"/>
            <w:vAlign w:val="bottom"/>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G. C</w:t>
            </w:r>
            <w:r>
              <w:rPr>
                <w:rFonts w:ascii="Times New Roman" w:cs="Times New Roman" w:eastAsia="Times New Roman" w:hAnsi="Times New Roman"/>
                <w:sz w:val="12"/>
                <w:szCs w:val="12"/>
                <w:color w:val="auto"/>
              </w:rPr>
              <w:t>oogan</w:t>
            </w:r>
          </w:p>
        </w:tc>
      </w:tr>
      <w:tr>
        <w:trPr>
          <w:trHeight w:val="209"/>
        </w:trPr>
        <w:tc>
          <w:tcPr>
            <w:tcW w:w="3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James G. Coogan,</w:t>
            </w:r>
          </w:p>
        </w:tc>
      </w:tr>
      <w:tr>
        <w:trPr>
          <w:trHeight w:val="236"/>
        </w:trPr>
        <w:tc>
          <w:tcPr>
            <w:tcW w:w="3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877"/>
        </w:trPr>
        <w:tc>
          <w:tcPr>
            <w:tcW w:w="3100" w:type="dxa"/>
            <w:vAlign w:val="bottom"/>
          </w:tcPr>
          <w:p>
            <w:pPr>
              <w:spacing w:after="0"/>
              <w:rPr>
                <w:sz w:val="24"/>
                <w:szCs w:val="24"/>
                <w:color w:val="auto"/>
              </w:rPr>
            </w:pP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spacing w:after="0"/>
              <w:rPr>
                <w:sz w:val="24"/>
                <w:szCs w:val="24"/>
                <w:color w:val="auto"/>
              </w:rPr>
            </w:pPr>
          </w:p>
        </w:tc>
      </w:tr>
      <w:tr>
        <w:trPr>
          <w:trHeight w:val="561"/>
        </w:trPr>
        <w:tc>
          <w:tcPr>
            <w:tcW w:w="3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2" w:name="page103"/>
    <w:bookmarkEnd w:id="10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5" w:lineRule="exact"/>
        <w:rPr>
          <w:sz w:val="20"/>
          <w:szCs w:val="20"/>
          <w:color w:val="auto"/>
        </w:rPr>
      </w:pPr>
    </w:p>
    <w:p>
      <w:pPr>
        <w:jc w:val="both"/>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76" w:lineRule="exact"/>
        <w:rPr>
          <w:sz w:val="20"/>
          <w:szCs w:val="20"/>
          <w:color w:val="auto"/>
        </w:rPr>
      </w:pPr>
    </w:p>
    <w:p>
      <w:pPr>
        <w:jc w:val="both"/>
        <w:ind w:left="40" w:right="439" w:firstLine="648"/>
        <w:spacing w:after="0" w:line="266" w:lineRule="auto"/>
        <w:rPr>
          <w:sz w:val="20"/>
          <w:szCs w:val="20"/>
          <w:color w:val="auto"/>
        </w:rPr>
      </w:pPr>
      <w:r>
        <w:rPr>
          <w:rFonts w:ascii="Times New Roman" w:cs="Times New Roman" w:eastAsia="Times New Roman" w:hAnsi="Times New Roman"/>
          <w:sz w:val="18"/>
          <w:szCs w:val="18"/>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26, 2026.</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ussell</w:t>
      </w:r>
      <w:r>
        <w:rPr>
          <w:rFonts w:ascii="Times New Roman" w:cs="Times New Roman" w:eastAsia="Times New Roman" w:hAnsi="Times New Roman"/>
          <w:sz w:val="18"/>
          <w:szCs w:val="18"/>
          <w:color w:val="auto"/>
        </w:rPr>
        <w:t xml:space="preserve"> J. </w:t>
      </w:r>
      <w:r>
        <w:rPr>
          <w:rFonts w:ascii="Times New Roman" w:cs="Times New Roman" w:eastAsia="Times New Roman" w:hAnsi="Times New Roman"/>
          <w:sz w:val="12"/>
          <w:szCs w:val="12"/>
          <w:color w:val="auto"/>
        </w:rPr>
        <w:t>low</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8289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 of Axcelis</w:t>
      </w:r>
    </w:p>
    <w:p>
      <w:pPr>
        <w:spacing w:after="0" w:line="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3" w:name="page104"/>
    <w:bookmarkEnd w:id="10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5" w:lineRule="exact"/>
        <w:rPr>
          <w:sz w:val="20"/>
          <w:szCs w:val="20"/>
          <w:color w:val="auto"/>
        </w:rPr>
      </w:pPr>
    </w:p>
    <w:p>
      <w:pPr>
        <w:jc w:val="both"/>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76" w:lineRule="exact"/>
        <w:rPr>
          <w:sz w:val="20"/>
          <w:szCs w:val="20"/>
          <w:color w:val="auto"/>
        </w:rPr>
      </w:pPr>
    </w:p>
    <w:p>
      <w:pPr>
        <w:jc w:val="both"/>
        <w:ind w:left="40" w:right="439" w:firstLine="648"/>
        <w:spacing w:after="0" w:line="266" w:lineRule="auto"/>
        <w:rPr>
          <w:sz w:val="20"/>
          <w:szCs w:val="20"/>
          <w:color w:val="auto"/>
        </w:rPr>
      </w:pPr>
      <w:r>
        <w:rPr>
          <w:rFonts w:ascii="Times New Roman" w:cs="Times New Roman" w:eastAsia="Times New Roman" w:hAnsi="Times New Roman"/>
          <w:sz w:val="18"/>
          <w:szCs w:val="18"/>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26, 2026.</w:t>
      </w:r>
    </w:p>
    <w:p>
      <w:pPr>
        <w:spacing w:after="0" w:line="23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/s/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G. C</w:t>
      </w:r>
      <w:r>
        <w:rPr>
          <w:rFonts w:ascii="Times New Roman" w:cs="Times New Roman" w:eastAsia="Times New Roman" w:hAnsi="Times New Roman"/>
          <w:sz w:val="12"/>
          <w:szCs w:val="12"/>
          <w:color w:val="auto"/>
        </w:rPr>
        <w:t>oogan</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-127635</wp:posOffset>
            </wp:positionV>
            <wp:extent cx="26314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lvl w:ilvl="1">
      <w:lvlJc w:val="left"/>
      <w:lvlText w:val="o"/>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1)"/>
      <w:numFmt w:val="lowerRoman"/>
      <w:start w:val="5"/>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lvl w:ilvl="1">
      <w:lvlJc w:val="left"/>
      <w:lvlText w:val="%2."/>
      <w:numFmt w:val="upperLetter"/>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1)"/>
      <w:numFmt w:val="lowerLetter"/>
      <w:start w:val="1"/>
    </w:lvl>
    <w:lvl w:ilvl="1">
      <w:lvlJc w:val="left"/>
      <w:lvlText w:val="%2)"/>
      <w:numFmt w:val="decimal"/>
      <w:start w:val="1"/>
    </w:lvl>
  </w:abstractNum>
  <w:abstractNum w:abstractNumId="25">
    <w:nsid w:val="354FE9F9"/>
    <w:multiLevelType w:val="hybridMultilevel"/>
    <w:lvl w:ilvl="0">
      <w:lvlJc w:val="left"/>
      <w:lvlText w:val="%1)"/>
      <w:numFmt w:val="decimal"/>
      <w:start w:val="3"/>
    </w:lvl>
  </w:abstractNum>
  <w:abstractNum w:abstractNumId="26">
    <w:nsid w:val="15B5AF5C"/>
    <w:multiLevelType w:val="hybridMultilevel"/>
    <w:lvl w:ilvl="0">
      <w:lvlJc w:val="left"/>
      <w:lvlText w:val="(%1)"/>
      <w:numFmt w:val="lowerLetter"/>
      <w:start w:val="1"/>
    </w:lvl>
  </w:abstractNum>
  <w:abstractNum w:abstractNumId="27">
    <w:nsid w:val="741226BB"/>
    <w:multiLevelType w:val="hybridMultilevel"/>
    <w:lvl w:ilvl="0">
      <w:lvlJc w:val="left"/>
      <w:lvlText w:val="(%1)"/>
      <w:numFmt w:val="lowerLetter"/>
      <w:start w:val="2"/>
    </w:lvl>
  </w:abstractNum>
  <w:abstractNum w:abstractNumId="28">
    <w:nsid w:val="D34B6A8"/>
    <w:multiLevelType w:val="hybridMultilevel"/>
    <w:lvl w:ilvl="0">
      <w:lvlJc w:val="left"/>
      <w:lvlText w:val="(%1)"/>
      <w:numFmt w:val="lowerLetter"/>
      <w:start w:val="3"/>
    </w:lvl>
  </w:abstractNum>
  <w:abstractNum w:abstractNumId="29">
    <w:nsid w:val="10233C99"/>
    <w:multiLevelType w:val="hybridMultilevel"/>
    <w:lvl w:ilvl="0">
      <w:lvlJc w:val="left"/>
      <w:lvlText w:val="(%1)"/>
      <w:numFmt w:val="lowerLetter"/>
      <w:start w:val="4"/>
    </w:lvl>
  </w:abstractNum>
  <w:abstractNum w:abstractNumId="30">
    <w:nsid w:val="3F6AB60F"/>
    <w:multiLevelType w:val="hybridMultilevel"/>
    <w:lvl w:ilvl="0">
      <w:lvlJc w:val="left"/>
      <w:lvlText w:val="(%1)"/>
      <w:numFmt w:val="lowerLetter"/>
      <w:start w:val="5"/>
    </w:lvl>
  </w:abstractNum>
  <w:abstractNum w:abstractNumId="31">
    <w:nsid w:val="61574095"/>
    <w:multiLevelType w:val="hybridMultilevel"/>
    <w:lvl w:ilvl="0">
      <w:lvlJc w:val="left"/>
      <w:lvlText w:val="(%1)"/>
      <w:numFmt w:val="lowerLetter"/>
      <w:start w:val="6"/>
    </w:lvl>
  </w:abstractNum>
  <w:abstractNum w:abstractNumId="32">
    <w:nsid w:val="7E0C57B1"/>
    <w:multiLevelType w:val="hybridMultilevel"/>
    <w:lvl w:ilvl="0">
      <w:lvlJc w:val="left"/>
      <w:lvlText w:val="(%1)"/>
      <w:numFmt w:val="lowerLetter"/>
      <w:start w:val="7"/>
    </w:lvl>
  </w:abstractNum>
  <w:abstractNum w:abstractNumId="33">
    <w:nsid w:val="77AE35EB"/>
    <w:multiLevelType w:val="hybridMultilevel"/>
    <w:lvl w:ilvl="0">
      <w:lvlJc w:val="left"/>
      <w:lvlText w:val="(%1)"/>
      <w:numFmt w:val="lowerLetter"/>
      <w:start w:val="8"/>
    </w:lvl>
  </w:abstractNum>
  <w:abstractNum w:abstractNumId="34">
    <w:nsid w:val="579BE4F1"/>
    <w:multiLevelType w:val="hybridMultilevel"/>
    <w:lvl w:ilvl="0">
      <w:lvlJc w:val="left"/>
      <w:lvlText w:val="(%1)"/>
      <w:numFmt w:val="lowerRoman"/>
      <w:start w:val="1"/>
    </w:lvl>
  </w:abstractNum>
  <w:abstractNum w:abstractNumId="35">
    <w:nsid w:val="310C50B3"/>
    <w:multiLevelType w:val="hybridMultilevel"/>
    <w:lvl w:ilvl="0">
      <w:lvlJc w:val="left"/>
      <w:lvlText w:val="(%1)"/>
      <w:numFmt w:val="lowerLetter"/>
      <w:start w:val="10"/>
    </w:lvl>
  </w:abstractNum>
  <w:abstractNum w:abstractNumId="36">
    <w:nsid w:val="5FF87E05"/>
    <w:multiLevelType w:val="hybridMultilevel"/>
    <w:lvl w:ilvl="0">
      <w:lvlJc w:val="left"/>
      <w:lvlText w:val="(%1)"/>
      <w:numFmt w:val="lowerLetter"/>
      <w:start w:val="11"/>
    </w:lvl>
  </w:abstractNum>
  <w:abstractNum w:abstractNumId="37">
    <w:nsid w:val="2F305DEF"/>
    <w:multiLevelType w:val="hybridMultilevel"/>
    <w:lvl w:ilvl="0">
      <w:lvlJc w:val="left"/>
      <w:lvlText w:val="(%1)"/>
      <w:numFmt w:val="lowerLetter"/>
      <w:start w:val="12"/>
    </w:lvl>
  </w:abstractNum>
  <w:abstractNum w:abstractNumId="38">
    <w:nsid w:val="25A70BF7"/>
    <w:multiLevelType w:val="hybridMultilevel"/>
    <w:lvl w:ilvl="0">
      <w:lvlJc w:val="left"/>
      <w:lvlText w:val="(%1)"/>
      <w:numFmt w:val="lowerLetter"/>
      <w:start w:val="13"/>
    </w:lvl>
  </w:abstractNum>
  <w:abstractNum w:abstractNumId="39">
    <w:nsid w:val="1DBABF00"/>
    <w:multiLevelType w:val="hybridMultilevel"/>
    <w:lvl w:ilvl="0">
      <w:lvlJc w:val="left"/>
      <w:lvlText w:val="(%1)"/>
      <w:numFmt w:val="lowerLetter"/>
      <w:start w:val="14"/>
    </w:lvl>
  </w:abstractNum>
  <w:abstractNum w:abstractNumId="40">
    <w:nsid w:val="4AD084E9"/>
    <w:multiLevelType w:val="hybridMultilevel"/>
    <w:lvl w:ilvl="0">
      <w:lvlJc w:val="left"/>
      <w:lvlText w:val="(%1)"/>
      <w:numFmt w:val="lowerLetter"/>
      <w:start w:val="15"/>
    </w:lvl>
  </w:abstractNum>
  <w:abstractNum w:abstractNumId="41">
    <w:nsid w:val="1F48EAA1"/>
    <w:multiLevelType w:val="hybridMultilevel"/>
    <w:lvl w:ilvl="0">
      <w:lvlJc w:val="left"/>
      <w:lvlText w:val="(%1)"/>
      <w:numFmt w:val="lowerLetter"/>
      <w:start w:val="16"/>
    </w:lvl>
  </w:abstractNum>
  <w:abstractNum w:abstractNumId="42">
    <w:nsid w:val="1381823A"/>
    <w:multiLevelType w:val="hybridMultilevel"/>
    <w:lvl w:ilvl="0">
      <w:lvlJc w:val="left"/>
      <w:lvlText w:val="(%1)"/>
      <w:numFmt w:val="lowerLetter"/>
      <w:start w:val="17"/>
    </w:lvl>
  </w:abstractNum>
  <w:abstractNum w:abstractNumId="43">
    <w:nsid w:val="5DB70AE5"/>
    <w:multiLevelType w:val="hybridMultilevel"/>
    <w:lvl w:ilvl="0">
      <w:lvlJc w:val="left"/>
      <w:lvlText w:val="(%1)"/>
      <w:numFmt w:val="lowerLetter"/>
      <w:start w:val="18"/>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lowerLetter"/>
      <w:start w:val="1"/>
    </w:lvl>
  </w:abstractNum>
  <w:abstractNum w:abstractNumId="47">
    <w:nsid w:val="5F5E7FD0"/>
    <w:multiLevelType w:val="hybridMultilevel"/>
    <w:lvl w:ilvl="0">
      <w:lvlJc w:val="left"/>
      <w:lvlText w:val="(%1)"/>
      <w:numFmt w:val="lowerLetter"/>
      <w:start w:val="2"/>
    </w:lvl>
  </w:abstractNum>
  <w:abstractNum w:abstractNumId="48">
    <w:nsid w:val="98A3148"/>
    <w:multiLevelType w:val="hybridMultilevel"/>
    <w:lvl w:ilvl="0">
      <w:lvlJc w:val="left"/>
      <w:lvlText w:val="(%1)"/>
      <w:numFmt w:val="lowerLetter"/>
      <w:start w:val="1"/>
    </w:lvl>
  </w:abstractNum>
  <w:abstractNum w:abstractNumId="49">
    <w:nsid w:val="799D0247"/>
    <w:multiLevelType w:val="hybridMultilevel"/>
    <w:lvl w:ilvl="0">
      <w:lvlJc w:val="left"/>
      <w:lvlText w:val="(%1)"/>
      <w:numFmt w:val="lowerLetter"/>
      <w:start w:val="2"/>
    </w:lvl>
  </w:abstractNum>
  <w:abstractNum w:abstractNumId="50">
    <w:nsid w:val="6B94764"/>
    <w:multiLevelType w:val="hybridMultilevel"/>
    <w:lvl w:ilvl="0">
      <w:lvlJc w:val="left"/>
      <w:lvlText w:val="(%1)"/>
      <w:numFmt w:val="lowerLetter"/>
      <w:start w:val="3"/>
    </w:lvl>
  </w:abstractNum>
  <w:abstractNum w:abstractNumId="51">
    <w:nsid w:val="42C296BD"/>
    <w:multiLevelType w:val="hybridMultilevel"/>
    <w:lvl w:ilvl="0">
      <w:lvlJc w:val="left"/>
      <w:lvlText w:val="(%1)"/>
      <w:numFmt w:val="lowerLetter"/>
      <w:start w:val="4"/>
    </w:lvl>
  </w:abstractNum>
  <w:abstractNum w:abstractNumId="52">
    <w:nsid w:val="168E121F"/>
    <w:multiLevelType w:val="hybridMultilevel"/>
    <w:lvl w:ilvl="0">
      <w:lvlJc w:val="left"/>
      <w:lvlText w:val="(%1)"/>
      <w:numFmt w:val="lowerLetter"/>
      <w:start w:val="5"/>
    </w:lvl>
  </w:abstractNum>
  <w:abstractNum w:abstractNumId="53">
    <w:nsid w:val="1EBA5D23"/>
    <w:multiLevelType w:val="hybridMultilevel"/>
    <w:lvl w:ilvl="0">
      <w:lvlJc w:val="left"/>
      <w:lvlText w:val="(%1)"/>
      <w:numFmt w:val="lowerLetter"/>
      <w:start w:val="1"/>
    </w:lvl>
  </w:abstractNum>
  <w:abstractNum w:abstractNumId="54">
    <w:nsid w:val="661E3F1E"/>
    <w:multiLevelType w:val="hybridMultilevel"/>
    <w:lvl w:ilvl="0">
      <w:lvlJc w:val="left"/>
      <w:lvlText w:val="(%1)"/>
      <w:numFmt w:val="lowerLetter"/>
      <w:start w:val="2"/>
    </w:lvl>
  </w:abstractNum>
  <w:abstractNum w:abstractNumId="55">
    <w:nsid w:val="5DC79EA8"/>
    <w:multiLevelType w:val="hybridMultilevel"/>
    <w:lvl w:ilvl="0">
      <w:lvlJc w:val="left"/>
      <w:lvlText w:val="(%1)"/>
      <w:numFmt w:val="lowerLetter"/>
      <w:start w:val="3"/>
    </w:lvl>
  </w:abstractNum>
  <w:abstractNum w:abstractNumId="56">
    <w:nsid w:val="540A471C"/>
    <w:multiLevelType w:val="hybridMultilevel"/>
    <w:lvl w:ilvl="0">
      <w:lvlJc w:val="left"/>
      <w:lvlText w:val="(%1)"/>
      <w:numFmt w:val="lowerLetter"/>
      <w:start w:val="1"/>
    </w:lvl>
  </w:abstractNum>
  <w:abstractNum w:abstractNumId="57">
    <w:nsid w:val="7BD3EE7B"/>
    <w:multiLevelType w:val="hybridMultilevel"/>
    <w:lvl w:ilvl="0">
      <w:lvlJc w:val="left"/>
      <w:lvlText w:val="(%1)"/>
      <w:numFmt w:val="lowerLetter"/>
      <w:start w:val="2"/>
    </w:lvl>
  </w:abstractNum>
  <w:abstractNum w:abstractNumId="58">
    <w:nsid w:val="51D9C564"/>
    <w:multiLevelType w:val="hybridMultilevel"/>
    <w:lvl w:ilvl="0">
      <w:lvlJc w:val="left"/>
      <w:lvlText w:val="(%1)"/>
      <w:numFmt w:val="lowerLetter"/>
      <w:start w:val="3"/>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1)"/>
      <w:numFmt w:val="lowerLetter"/>
      <w:start w:val="3"/>
    </w:lvl>
  </w:abstractNum>
  <w:abstractNum w:abstractNumId="61">
    <w:nsid w:val="11447B73"/>
    <w:multiLevelType w:val="hybridMultilevel"/>
    <w:lvl w:ilvl="0">
      <w:lvlJc w:val="left"/>
      <w:lvlText w:val="%1"/>
      <w:numFmt w:val="decimal"/>
      <w:start w:val="101"/>
    </w:lvl>
  </w:abstractNum>
  <w:abstractNum w:abstractNumId="62">
    <w:nsid w:val="42963E5A"/>
    <w:multiLevelType w:val="hybridMultilevel"/>
    <w:lvl w:ilvl="0">
      <w:lvlJc w:val="left"/>
      <w:lvlText w:val="*"/>
      <w:numFmt w:val="bullet"/>
      <w:start w:val="1"/>
    </w:lvl>
    <w:lvl w:ilvl="1">
      <w:lvlJc w:val="left"/>
      <w:lvlText w:val="%2"/>
      <w:numFmt w:val="decimal"/>
      <w:start w:val="104"/>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1."/>
      <w:numFmt w:val="decimal"/>
      <w:start w:val="2"/>
    </w:lvl>
  </w:abstractNum>
  <w:abstractNum w:abstractNumId="65">
    <w:nsid w:val="1A32234B"/>
    <w:multiLevelType w:val="hybridMultilevel"/>
    <w:lvl w:ilvl="0">
      <w:lvlJc w:val="left"/>
      <w:lvlText w:val="%1."/>
      <w:numFmt w:val="decimal"/>
      <w:start w:val="3"/>
    </w:lvl>
  </w:abstractNum>
  <w:abstractNum w:abstractNumId="66">
    <w:nsid w:val="3B0FD379"/>
    <w:multiLevelType w:val="hybridMultilevel"/>
    <w:lvl w:ilvl="0">
      <w:lvlJc w:val="left"/>
      <w:lvlText w:val="%1."/>
      <w:numFmt w:val="decimal"/>
      <w:start w:val="4"/>
    </w:lvl>
  </w:abstractNum>
  <w:abstractNum w:abstractNumId="67">
    <w:nsid w:val="68EB2F63"/>
    <w:multiLevelType w:val="hybridMultilevel"/>
    <w:lvl w:ilvl="0">
      <w:lvlJc w:val="left"/>
      <w:lvlText w:val="(%1)"/>
      <w:numFmt w:val="lowerLetter"/>
      <w:start w:val="1"/>
    </w:lvl>
  </w:abstractNum>
  <w:abstractNum w:abstractNumId="68">
    <w:nsid w:val="4962813B"/>
    <w:multiLevelType w:val="hybridMultilevel"/>
    <w:lvl w:ilvl="0">
      <w:lvlJc w:val="left"/>
      <w:lvlText w:val="%1"/>
      <w:numFmt w:val="decimal"/>
      <w:start w:val="1"/>
    </w:lvl>
    <w:lvl w:ilvl="1">
      <w:lvlJc w:val="left"/>
      <w:lvlText w:val="(%2)"/>
      <w:numFmt w:val="lowerLetter"/>
      <w:start w:val="2"/>
    </w:lvl>
  </w:abstractNum>
  <w:abstractNum w:abstractNumId="69">
    <w:nsid w:val="60B6DF70"/>
    <w:multiLevelType w:val="hybridMultilevel"/>
    <w:lvl w:ilvl="0">
      <w:lvlJc w:val="left"/>
      <w:lvlText w:val="%1."/>
      <w:numFmt w:val="decimal"/>
      <w:start w:val="5"/>
    </w:lvl>
    <w:lvl w:ilvl="1">
      <w:lvlJc w:val="left"/>
      <w:lvlText w:val="(%2)"/>
      <w:numFmt w:val="lowerLetter"/>
      <w:start w:val="1"/>
    </w:lvl>
  </w:abstractNum>
  <w:abstractNum w:abstractNumId="70">
    <w:nsid w:val="6A5EE64"/>
    <w:multiLevelType w:val="hybridMultilevel"/>
    <w:lvl w:ilvl="0">
      <w:lvlJc w:val="left"/>
      <w:lvlText w:val="(%1)"/>
      <w:numFmt w:val="lowerLetter"/>
      <w:start w:val="2"/>
    </w:lvl>
  </w:abstractNum>
  <w:abstractNum w:abstractNumId="71">
    <w:nsid w:val="14330624"/>
    <w:multiLevelType w:val="hybridMultilevel"/>
    <w:lvl w:ilvl="0">
      <w:lvlJc w:val="left"/>
      <w:lvlText w:val="(%1)"/>
      <w:numFmt w:val="upperLetter"/>
      <w:start w:val="1"/>
    </w:lvl>
  </w:abstractNum>
  <w:abstractNum w:abstractNumId="72">
    <w:nsid w:val="7FFFCA11"/>
    <w:multiLevelType w:val="hybridMultilevel"/>
    <w:lvl w:ilvl="0">
      <w:lvlJc w:val="left"/>
      <w:lvlText w:val="(%1)"/>
      <w:numFmt w:val="upperLetter"/>
      <w:start w:val="2"/>
    </w:lvl>
  </w:abstractNum>
  <w:abstractNum w:abstractNumId="73">
    <w:nsid w:val="1A27709E"/>
    <w:multiLevelType w:val="hybridMultilevel"/>
    <w:lvl w:ilvl="0">
      <w:lvlJc w:val="left"/>
      <w:lvlText w:val="%1"/>
      <w:numFmt w:val="decimal"/>
      <w:start w:val="1"/>
    </w:lvl>
    <w:lvl w:ilvl="1">
      <w:lvlJc w:val="left"/>
      <w:lvlText w:val="(%2)"/>
      <w:numFmt w:val="lowerLetter"/>
      <w:start w:val="3"/>
    </w:lvl>
  </w:abstractNum>
  <w:abstractNum w:abstractNumId="74">
    <w:nsid w:val="71EA1109"/>
    <w:multiLevelType w:val="hybridMultilevel"/>
    <w:lvl w:ilvl="0">
      <w:lvlJc w:val="left"/>
      <w:lvlText w:val="%1."/>
      <w:numFmt w:val="decimal"/>
      <w:start w:val="6"/>
    </w:lvl>
    <w:lvl w:ilvl="1">
      <w:lvlJc w:val="left"/>
      <w:lvlText w:val="(%2)"/>
      <w:numFmt w:val="lowerLetter"/>
      <w:start w:val="1"/>
    </w:lvl>
  </w:abstractNum>
  <w:abstractNum w:abstractNumId="75">
    <w:nsid w:val="100F59D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76">
    <w:nsid w:val="7FB7E0A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77">
    <w:nsid w:val="6EB5BD4"/>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78">
    <w:nsid w:val="6F6DD9AC"/>
    <w:multiLevelType w:val="hybridMultilevel"/>
    <w:lvl w:ilvl="0">
      <w:lvlJc w:val="left"/>
      <w:lvlText w:val="%1."/>
      <w:numFmt w:val="decimal"/>
      <w:start w:val="8"/>
    </w:lvl>
    <w:lvl w:ilvl="1">
      <w:lvlJc w:val="left"/>
      <w:lvlText w:val="(%2)"/>
      <w:numFmt w:val="lowerLetter"/>
      <w:start w:val="1"/>
    </w:lvl>
  </w:abstractNum>
  <w:abstractNum w:abstractNumId="79">
    <w:nsid w:val="94211F2"/>
    <w:multiLevelType w:val="hybridMultilevel"/>
    <w:lvl w:ilvl="0">
      <w:lvlJc w:val="left"/>
      <w:lvlText w:val="(%1)"/>
      <w:numFmt w:val="lowerLetter"/>
      <w:start w:val="2"/>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decimal"/>
      <w:start w:val="2"/>
    </w:lvl>
  </w:abstractNum>
  <w:abstractNum w:abstractNumId="88">
    <w:nsid w:val="2DF6D648"/>
    <w:multiLevelType w:val="hybridMultilevel"/>
    <w:lvl w:ilvl="0">
      <w:lvlJc w:val="left"/>
      <w:lvlText w:val="%1."/>
      <w:numFmt w:val="decimal"/>
      <w:start w:val="5"/>
    </w:lvl>
  </w:abstractNum>
  <w:abstractNum w:abstractNumId="89">
    <w:nsid w:val="46B7D447"/>
    <w:multiLevelType w:val="hybridMultilevel"/>
    <w:lvl w:ilvl="0">
      <w:lvlJc w:val="left"/>
      <w:lvlText w:val="(%1)"/>
      <w:numFmt w:val="decimal"/>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jpe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11" Type="http://schemas.openxmlformats.org/officeDocument/2006/relationships/hyperlink" Target="https://www.sec.gov/Archives/edgar/data/1113232/000110465925095307/tm2527661d1_ex2-1.htm" TargetMode="External"/><Relationship Id="rId112" Type="http://schemas.openxmlformats.org/officeDocument/2006/relationships/hyperlink" Target="http://www.sec.gov/Archives/edgar/data/1113232/000155837017008078/acls-20170930ex31a83feb6.htm" TargetMode="External"/><Relationship Id="rId113" Type="http://schemas.openxmlformats.org/officeDocument/2006/relationships/hyperlink" Target="https://www.sec.gov/Archives/edgar/data/1113232/000110465922058781/tm2213765d1_ex3-1.htm" TargetMode="External"/><Relationship Id="rId114" Type="http://schemas.openxmlformats.org/officeDocument/2006/relationships/hyperlink" Target="https://www.sec.gov/Archives/edgar/data/1113232/000110465924059307/tm2413500d1_ex3-1.htm" TargetMode="External"/><Relationship Id="rId115" Type="http://schemas.openxmlformats.org/officeDocument/2006/relationships/hyperlink" Target="https://www.sec.gov/Archives/edgar/data/1113232/000155837020001858/acls-20191231ex448a2eaee.htm" TargetMode="External"/><Relationship Id="rId116" Type="http://schemas.openxmlformats.org/officeDocument/2006/relationships/hyperlink" Target="http://www.sec.gov/Archives/edgar/data/1113232/000104746912001874/a2207604zex-10_4.htm" TargetMode="External"/><Relationship Id="rId117" Type="http://schemas.openxmlformats.org/officeDocument/2006/relationships/hyperlink" Target="http://www.sec.gov/Archives/edgar/data/1113232/000155837017001778/acls-20161231ex106472dea.htm" TargetMode="External"/><Relationship Id="rId118" Type="http://schemas.openxmlformats.org/officeDocument/2006/relationships/hyperlink" Target="http://www.sec.gov/Archives/edgar/data/1113232/000110465912055070/a12-13741_1ex10d2.htm" TargetMode="External"/><Relationship Id="rId119" Type="http://schemas.openxmlformats.org/officeDocument/2006/relationships/hyperlink" Target="http://www.sec.gov/Archives/edgar/data/1113232/000110465912055070/a12-13741_1ex10d3.htm" TargetMode="External"/><Relationship Id="rId120" Type="http://schemas.openxmlformats.org/officeDocument/2006/relationships/hyperlink" Target="http://www.sec.gov/Archives/edgar/data/1113232/000110465912055070/a12-13741_1ex10d4.htm" TargetMode="External"/><Relationship Id="rId121" Type="http://schemas.openxmlformats.org/officeDocument/2006/relationships/hyperlink" Target="https://www.sec.gov/Archives/edgar/data/1113232/000110465923059495/tm2314798d1_ex10-1.htm" TargetMode="External"/><Relationship Id="rId122" Type="http://schemas.openxmlformats.org/officeDocument/2006/relationships/hyperlink" Target="https://www.sec.gov/Archives/edgar/data/1113232/000110465923046426/tm2313052d1_ex10-1.htm" TargetMode="External"/><Relationship Id="rId123" Type="http://schemas.openxmlformats.org/officeDocument/2006/relationships/hyperlink" Target="https://www.sec.gov/Archives/edgar/data/1113232/000155837019007396/acls-20190630ex1022c13af.htm" TargetMode="External"/><Relationship Id="rId124" Type="http://schemas.openxmlformats.org/officeDocument/2006/relationships/hyperlink" Target="http://www.sec.gov/Archives/edgar/data/1113232/000104746915001994/a2223440zex-10_24.htm" TargetMode="External"/><Relationship Id="rId125" Type="http://schemas.openxmlformats.org/officeDocument/2006/relationships/hyperlink" Target="https://www.sec.gov/Archives/edgar/data/0001113232/000155837024001628/acls-20231231xex19d1.htm" TargetMode="External"/><Relationship Id="rId126" Type="http://schemas.openxmlformats.org/officeDocument/2006/relationships/hyperlink" Target="https://www.sec.gov/Archives/edgar/data/1113232/000155837024001628/acls-20231231xex10d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2026-02-26T15:32:28Z</dcterms:created>
  <dcterms:modified xsi:type="dcterms:W3CDTF">2026-02-26T15:32:28Z</dcterms:modified>
</cp:coreProperties>
</file>