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5162024_040535.xml.htm"/>
      <w:bookmarkStart w:id="1" w:name="ksform4a05162024_0405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Chiu Tzu Yin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AXCELIS TECHNOLOGIES,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CHERRY HILL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AXCELIS TECHNOLOGIES INC</w:t>
              </w:r>
            </w:hyperlink>
            <w:r>
              <w:rPr/>
              <w:t xml:space="preserve"> [ </w:t>
            </w:r>
            <w:r>
              <w:rPr>
                <w:rFonts w:ascii="Times;serif" w:hAnsi="Times;serif"/>
                <w:color w:val="0000FF"/>
                <w:sz w:val="24"/>
                <w:shd w:fill="FFFFFF" w:val="clear"/>
              </w:rPr>
              <w:t>ACLS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05/15/2024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6,817</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issuable on vesting of restricted stock units granted under the Company's 2012 Equity Incentive Plan on May 15, 2024. Assuming completion of the director's current term of service on the Board of Directors, these restricted stock units will vest on May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 shares held as of May 15, 2024, 1,662 were issuable on vesting of restricted stock units granted to the director under the 2012 Equity Incentive Plan and are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Lynnette C. Fallon,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8290" TargetMode="External"/><Relationship Id="rId4" Type="http://schemas.openxmlformats.org/officeDocument/2006/relationships/hyperlink" Target="http://www.sec.gov/cgi-bin/browse-edgar?action=getcompany&amp;CIK=000111323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3450</Characters>
  <CharactersWithSpaces>4029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