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60" w:right="1260" w:hanging="326"/>
        <w:spacing w:after="0" w:line="262" w:lineRule="auto"/>
        <w:tabs>
          <w:tab w:leader="none" w:pos="6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60" w:right="1260" w:hanging="326"/>
        <w:spacing w:after="0" w:line="262" w:lineRule="auto"/>
        <w:tabs>
          <w:tab w:leader="none" w:pos="6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2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8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243"/>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3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8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3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left="20" w:right="28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left="20" w:right="20" w:firstLine="23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6" w:lineRule="exact"/>
        <w:rPr>
          <w:sz w:val="24"/>
          <w:szCs w:val="24"/>
          <w:color w:val="auto"/>
        </w:rPr>
      </w:pPr>
    </w:p>
    <w:p>
      <w:pPr>
        <w:jc w:val="both"/>
        <w:ind w:left="20" w:right="16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27" w:lineRule="exact"/>
        <w:rPr>
          <w:sz w:val="24"/>
          <w:szCs w:val="24"/>
          <w:color w:val="auto"/>
        </w:rPr>
      </w:pPr>
    </w:p>
    <w:p>
      <w:pPr>
        <w:ind w:left="160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17" w:lineRule="exact"/>
        <w:rPr>
          <w:sz w:val="24"/>
          <w:szCs w:val="24"/>
          <w:color w:val="auto"/>
        </w:rPr>
      </w:pPr>
    </w:p>
    <w:p>
      <w:pPr>
        <w:sectPr>
          <w:pgSz w:w="11900" w:h="16838" w:orient="portrait"/>
          <w:cols w:equalWidth="0" w:num="3">
            <w:col w:w="5900" w:space="720"/>
            <w:col w:w="1960" w:space="80"/>
            <w:col w:w="1580"/>
          </w:cols>
          <w:pgMar w:left="820" w:top="661" w:right="839" w:bottom="1440" w:gutter="0" w:footer="0" w:header="0"/>
          <w:type w:val="continuous"/>
        </w:sectPr>
      </w:pPr>
    </w:p>
    <w:p>
      <w:pPr>
        <w:ind w:left="20" w:right="200" w:firstLine="233"/>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240" w:right="840" w:hanging="3"/>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2, 2025, there were 32,129,538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420370</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20" w:type="dxa"/>
            <w:vAlign w:val="bottom"/>
            <w:gridSpan w:val="10"/>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48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52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48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months ended March 31, 2025 and 2024</w:t>
            </w:r>
          </w:p>
        </w:tc>
        <w:tc>
          <w:tcPr>
            <w:tcW w:w="1220" w:type="dxa"/>
            <w:vAlign w:val="bottom"/>
            <w:gridSpan w:val="6"/>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three months ended March 31,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Consolidated Balance Sheets as of March 31, 2025 and December 31, 2024</w:t>
            </w: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for the three months ended March 31, 2025 and 2024</w:t>
            </w:r>
          </w:p>
        </w:tc>
        <w:tc>
          <w:tcPr>
            <w:tcW w:w="480" w:type="dxa"/>
            <w:vAlign w:val="bottom"/>
            <w:gridSpan w:val="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2025 and 2024</w:t>
            </w:r>
          </w:p>
        </w:tc>
        <w:tc>
          <w:tcPr>
            <w:tcW w:w="1160" w:type="dxa"/>
            <w:vAlign w:val="bottom"/>
            <w:gridSpan w:val="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840" w:type="dxa"/>
            <w:vAlign w:val="bottom"/>
            <w:gridSpan w:val="9"/>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Overview</w:t>
            </w:r>
          </w:p>
        </w:tc>
        <w:tc>
          <w:tcPr>
            <w:tcW w:w="1080" w:type="dxa"/>
            <w:vAlign w:val="bottom"/>
            <w:gridSpan w:val="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740" w:type="dxa"/>
            <w:vAlign w:val="bottom"/>
            <w:gridSpan w:val="14"/>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580" w:type="dxa"/>
            <w:vAlign w:val="bottom"/>
            <w:gridSpan w:val="13"/>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864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820" w:type="dxa"/>
            <w:vAlign w:val="bottom"/>
            <w:gridSpan w:val="15"/>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Use of Proceeds, and Issuer Purchases of Equity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100" w:type="dxa"/>
            <w:vAlign w:val="bottom"/>
            <w:gridSpan w:val="9"/>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4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460" w:type="dxa"/>
            <w:vAlign w:val="bottom"/>
            <w:gridSpan w:val="1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790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360" w:type="dxa"/>
            <w:vAlign w:val="bottom"/>
            <w:gridSpan w:val="13"/>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182,824</w:t>
            </w:r>
          </w:p>
        </w:tc>
        <w:tc>
          <w:tcPr>
            <w:tcW w:w="6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243,418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192,563</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252,372</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103,795</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136,321</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59,609</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59,512</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29,159</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7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income</w:t>
            </w:r>
          </w:p>
        </w:tc>
        <w:tc>
          <w:tcPr>
            <w:tcW w:w="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33,084</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7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51,595</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6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3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7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32,258</w:t>
            </w:r>
          </w:p>
        </w:tc>
        <w:tc>
          <w:tcPr>
            <w:tcW w:w="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32,638</w:t>
            </w:r>
          </w:p>
        </w:tc>
        <w:tc>
          <w:tcPr>
            <w:tcW w:w="3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weighted average shares of common stock</w:t>
            </w:r>
          </w:p>
        </w:tc>
        <w:tc>
          <w:tcPr>
            <w:tcW w:w="7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32,335</w:t>
            </w:r>
          </w:p>
        </w:tc>
        <w:tc>
          <w:tcPr>
            <w:tcW w:w="3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32,926</w:t>
            </w:r>
          </w:p>
        </w:tc>
        <w:tc>
          <w:tcPr>
            <w:tcW w:w="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actuarial net gain and other adjustments from pension plan, net of tax</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gains on available-for-sale investments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49,869</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8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68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183,957</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60,471</w:t>
            </w: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50,593</w:t>
            </w:r>
          </w:p>
        </w:tc>
        <w:tc>
          <w:tcPr>
            <w:tcW w:w="100" w:type="dxa"/>
            <w:vAlign w:val="bottom"/>
            <w:shd w:val="clear" w:color="auto" w:fill="CCEEFF"/>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6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1,340,618</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100" w:type="dxa"/>
            <w:vAlign w:val="bottom"/>
            <w:tcBorders>
              <w:bottom w:val="single" w:sz="8" w:color="CCEEFF"/>
            </w:tcBorders>
          </w:tcPr>
          <w:p>
            <w:pPr>
              <w:spacing w:after="0"/>
              <w:rPr>
                <w:sz w:val="21"/>
                <w:szCs w:val="21"/>
                <w:color w:val="auto"/>
              </w:rPr>
            </w:pPr>
          </w:p>
        </w:tc>
      </w:tr>
      <w:tr>
        <w:trPr>
          <w:trHeight w:val="170"/>
        </w:trPr>
        <w:tc>
          <w:tcPr>
            <w:tcW w:w="20" w:type="dxa"/>
            <w:vAlign w:val="bottom"/>
          </w:tcPr>
          <w:p>
            <w:pPr>
              <w:spacing w:after="0"/>
              <w:rPr>
                <w:sz w:val="14"/>
                <w:szCs w:val="14"/>
                <w:color w:val="auto"/>
              </w:rPr>
            </w:pPr>
          </w:p>
        </w:tc>
        <w:tc>
          <w:tcPr>
            <w:tcW w:w="6680" w:type="dxa"/>
            <w:vAlign w:val="bottom"/>
            <w:shd w:val="clear" w:color="auto" w:fill="CCEEFF"/>
          </w:tcPr>
          <w:p>
            <w:pPr>
              <w:ind w:left="254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26,018</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6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32,129 shares issued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March 31, 2025; 32,365 shares issued and outstanding at December 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548,654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1,027,238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1,012,790</w:t>
            </w:r>
          </w:p>
        </w:tc>
        <w:tc>
          <w:tcPr>
            <w:tcW w:w="100" w:type="dxa"/>
            <w:vAlign w:val="bottom"/>
            <w:tcBorders>
              <w:bottom w:val="single" w:sz="8" w:color="CCEEFF"/>
            </w:tcBorders>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1,340,618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547,189</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319,506</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864,882</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8"/>
                <w:szCs w:val="18"/>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32,605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546,979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901,743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Borders>
              <w:bottom w:val="single" w:sz="8" w:color="auto"/>
            </w:tcBorders>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548,654</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470,318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(6,214)</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1,012,790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28,579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646</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on available-for-sale investments</w:t>
            </w:r>
          </w:p>
        </w:tc>
        <w:tc>
          <w:tcPr>
            <w:tcW w:w="4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on restricted stock</w:t>
            </w: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4,903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(274)</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(4,954)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(13,224)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4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32,129</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547,020</w:t>
            </w: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485,673</w:t>
            </w:r>
          </w:p>
        </w:tc>
        <w:tc>
          <w:tcPr>
            <w:tcW w:w="4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(5,487)</w:t>
            </w: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1,027,238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360045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00"/>
          </w:cols>
          <w:pgMar w:left="1340" w:top="513" w:right="1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9"/>
              <w:spacing w:after="0" w:line="148"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8"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32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Provision for excess and obsolete inventory</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discounts and premiums on marketable securities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currency (gain) loss on foreign denominated transactions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Mark-to-market adjustment on forward exchange contracts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7,042</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(11,427)</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(29,118)</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Deferred revenue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Income taxes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Expenditures for property, plant and equipment and capitalized software</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(252,495)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Maturities and sales of short-term investments</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297,924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40,469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(55,691)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settlement on restricted stock grants</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Principal payments on finance lease obligation</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60,446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(33,336)</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7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173,951</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7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191,510</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140,615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balance sheet at December 31, 2024 has been derived from the audited consolidated financial statements at that date but does not include all the information and footnotes required by generally accepted accounting principles for complete financial statements. As of March 31, 2025, there have been no material changes in the Company’s significant accounting policies, other than as described in Note 2 below. For further information, refer to the consolidated financial statements and footnotes thereto included in the Company’s Annual Report on Form 10-K for the year ended December 31, 2024 (the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90 days or less. Cash equivalents consist primarily of money market funds, U.S. government and agency securities and deposit accounts. Cash equivalents are carried on the balance sheet at fair market value. Short-term investments are highly liquid investments with original maturities of greater than 90 days but less than one year from date of purchase and are carried on the balance sheet at fair value. We evaluate if any declines in fair value below amortized cost are caused by expected credit losses, as well as our ability and intent to hold the investment until a forecasted recovery occurs. Our short-term investments consist primarily of U.S. government and agency securities. As of March 31, 2025, our short-term investments are classified as available-for-sale as a result of the below noted sale of securities. In prior periods, our short-term investments were classified as held-to-maturity. Any unrealized gains and losses are included in accumulated other comprehensive loss in the Consolidated Statement of Stockholder’s Equity. Income related to these securities is recorded in interest income in the Consolidated Statements of Operations. As of March 31, 2025, the amortized cost and fair value of the available-for-sale investments was $403.0 million and $403.1 million, respectively. As of March 31, 2025, we had no allowances for credit loss.</w:t>
      </w:r>
    </w:p>
    <w:p>
      <w:pPr>
        <w:spacing w:after="0" w:line="19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February 2025, we sold securities classified as held-to-maturity with a total net carrying value of $199.5 million. The majority of the proceeds were reinvested back into short-term investments as of March 31, 2025. Due to this sale, the remaining held-to-maturity securities were reclassified as available-for-sale, resulting in a remeasurement increase in short-term investments for balance sheet presentation purposes with a corresponding adjustment to accumulated other comprehensive loss of $81.0 thousand as of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Stock-Based Compensation</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which became effective on May 2, 2012, and permits the issuance of options, restricted stock, restricted stock units (“RSUs”) and performance awards to selected employees, directors, and consultants of the Company.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2024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13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recognized stock-based compensation expense of $4.9 million and $4.7 million for the three-month periods ended March 31, 2025 and 2024, respectively. These amounts include compensation expense related to RSUs and stock issued to participants under the 2020 Employee Stock Purchase Plan (the “2020 ESPP”).</w:t>
      </w:r>
    </w:p>
    <w:p>
      <w:pPr>
        <w:spacing w:after="0" w:line="10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the three-month periods ended March 31, 2025 and 2024, we issued 38,459 and 41,941 shares of common stock, respectively, upon vesting of RSUs granted under the 2012 Equity Plan and purchases under the 2020 ESPP. In the three-month periods ended March 31, 2025 and 2024, we received no proceeds from purchases under the 2020 ESPP.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94" w:lineRule="exact"/>
        <w:rPr>
          <w:sz w:val="20"/>
          <w:szCs w:val="20"/>
          <w:color w:val="auto"/>
        </w:rPr>
      </w:pPr>
    </w:p>
    <w:p>
      <w:pPr>
        <w:ind w:right="100"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for the use of a specific physical space or a specific physical item.</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We recognize operating lease obligations under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sheets;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by one to three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Operating lease assets</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28,767</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Finance lease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43,792</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44,967</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980" w:type="dxa"/>
            <w:vAlign w:val="bottom"/>
            <w:gridSpan w:val="2"/>
            <w:vMerge w:val="continue"/>
          </w:tcPr>
          <w:p>
            <w:pPr>
              <w:spacing w:after="0"/>
              <w:rPr>
                <w:sz w:val="14"/>
                <w:szCs w:val="14"/>
                <w:color w:val="auto"/>
              </w:rPr>
            </w:pPr>
          </w:p>
        </w:tc>
        <w:tc>
          <w:tcPr>
            <w:tcW w:w="3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4,353</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80" w:type="dxa"/>
            <w:vAlign w:val="bottom"/>
            <w:shd w:val="clear" w:color="auto" w:fill="CCEEFF"/>
          </w:tcPr>
          <w:p>
            <w:pPr>
              <w:ind w:left="172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vMerge w:val="continue"/>
            <w:shd w:val="clear" w:color="auto" w:fill="CCEEFF"/>
          </w:tcPr>
          <w:p>
            <w:pPr>
              <w:spacing w:after="0"/>
              <w:rPr>
                <w:sz w:val="14"/>
                <w:szCs w:val="14"/>
                <w:color w:val="auto"/>
              </w:rPr>
            </w:pP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8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24,698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25,321</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8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41,958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42,329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72,379</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73,465</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8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$47.7 million and include $0.5 million of prepaid financing costs as of March 31, 2025. Finance lease assets are recorded net of accumulated depreciation of $47.4 million and include $0.5 million of prepaid financing costs as of December 31, 2024.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operating lease office locations support local selling and servicing functions. Our Axcelis Asia Operations Center facility in South Korea is used to manufacture our products for Asia-based customers. We lease a logistics and flex manufacturing center in Beverly, Massachusetts to support our principal product manufacturing operations at our corporate headquarters. Operating lease expense and depreciation and interest expense relating to our finance lease obligation are recognized within our Consolidated Statement of Operations for the three months ended March 31, 2025 and 2024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3040" w:type="dxa"/>
            <w:vAlign w:val="bottom"/>
            <w:gridSpan w:val="2"/>
            <w:vMerge w:val="continue"/>
          </w:tcPr>
          <w:p>
            <w:pPr>
              <w:spacing w:after="0"/>
              <w:rPr>
                <w:sz w:val="17"/>
                <w:szCs w:val="17"/>
                <w:color w:val="auto"/>
              </w:rPr>
            </w:pPr>
          </w:p>
        </w:tc>
        <w:tc>
          <w:tcPr>
            <w:tcW w:w="38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38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Cost of revenue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4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8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4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8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2,596</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40" w:type="dxa"/>
            <w:vAlign w:val="bottom"/>
            <w:gridSpan w:val="2"/>
            <w:vMerge w:val="continue"/>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3840" w:type="dxa"/>
            <w:vAlign w:val="bottom"/>
            <w:shd w:val="clear" w:color="auto" w:fill="CCEEFF"/>
          </w:tcPr>
          <w:p>
            <w:pPr>
              <w:ind w:left="1360"/>
              <w:spacing w:after="0" w:line="126" w:lineRule="exact"/>
              <w:rPr>
                <w:sz w:val="20"/>
                <w:szCs w:val="20"/>
                <w:color w:val="auto"/>
              </w:rPr>
            </w:pPr>
            <w:r>
              <w:rPr>
                <w:rFonts w:ascii="Times New Roman" w:cs="Times New Roman" w:eastAsia="Times New Roman" w:hAnsi="Times New Roman"/>
                <w:sz w:val="14"/>
                <w:szCs w:val="14"/>
                <w:color w:val="auto"/>
              </w:rPr>
              <w:t>Cost of revenue, Research and</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3840" w:type="dxa"/>
            <w:vAlign w:val="bottom"/>
            <w:shd w:val="clear" w:color="auto" w:fill="CCEEFF"/>
          </w:tcPr>
          <w:p>
            <w:pPr>
              <w:ind w:left="1360"/>
              <w:spacing w:after="0" w:line="149" w:lineRule="exact"/>
              <w:rPr>
                <w:sz w:val="20"/>
                <w:szCs w:val="20"/>
                <w:color w:val="auto"/>
              </w:rPr>
            </w:pPr>
            <w:r>
              <w:rPr>
                <w:rFonts w:ascii="Times New Roman" w:cs="Times New Roman" w:eastAsia="Times New Roman" w:hAnsi="Times New Roman"/>
                <w:sz w:val="14"/>
                <w:szCs w:val="14"/>
                <w:color w:val="auto"/>
              </w:rPr>
              <w:t>development, Sales and marketing and</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vMerge w:val="continue"/>
            <w:shd w:val="clear" w:color="auto" w:fill="CCEEFF"/>
          </w:tcPr>
          <w:p>
            <w:pPr>
              <w:spacing w:after="0"/>
              <w:rPr>
                <w:sz w:val="14"/>
                <w:szCs w:val="14"/>
                <w:color w:val="auto"/>
              </w:rPr>
            </w:pPr>
          </w:p>
        </w:tc>
        <w:tc>
          <w:tcPr>
            <w:tcW w:w="38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4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840" w:type="dxa"/>
            <w:vAlign w:val="bottom"/>
          </w:tcPr>
          <w:p>
            <w:pPr>
              <w:ind w:left="136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8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gridSpan w:val="2"/>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8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180" w:firstLine="8"/>
        <w:spacing w:after="0" w:line="26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$0.6 million for both the three months ended March 31, 2025 and 2024.</w:t>
      </w:r>
    </w:p>
    <w:p>
      <w:pPr>
        <w:spacing w:after="0" w:line="167"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16 years. The tables below reflect the minimum cash outflow regarding our current lease obligations as well as the weighted-average remaining lease term and weighted-average discount rates used in our calculation of our lease obligations and right-of-use assets as of March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60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48,960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22,384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78,148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40,089</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(34,820)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(11,038)</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(45,858)</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9"/>
        </w:trPr>
        <w:tc>
          <w:tcPr>
            <w:tcW w:w="7700" w:type="dxa"/>
            <w:vAlign w:val="bottom"/>
            <w:gridSpan w:val="3"/>
            <w:vMerge w:val="continue"/>
          </w:tcPr>
          <w:p>
            <w:pPr>
              <w:spacing w:after="0"/>
              <w:rPr>
                <w:sz w:val="17"/>
                <w:szCs w:val="17"/>
                <w:color w:val="auto"/>
              </w:rPr>
            </w:pP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w w:val="97"/>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w w:val="97"/>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three months ended March 31, 2025 and 2024, respectively: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64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3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2,663</w:t>
            </w:r>
          </w:p>
        </w:tc>
        <w:tc>
          <w:tcPr>
            <w:tcW w:w="5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9"/>
        </w:trPr>
        <w:tc>
          <w:tcPr>
            <w:tcW w:w="5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137,609</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195,432</w:t>
            </w:r>
          </w:p>
        </w:tc>
        <w:tc>
          <w:tcPr>
            <w:tcW w:w="160" w:type="dxa"/>
            <w:vAlign w:val="bottom"/>
            <w:shd w:val="clear" w:color="auto" w:fill="CCEEFF"/>
          </w:tcPr>
          <w:p>
            <w:pPr>
              <w:spacing w:after="0"/>
              <w:rPr>
                <w:sz w:val="17"/>
                <w:szCs w:val="17"/>
                <w:color w:val="auto"/>
              </w:rPr>
            </w:pPr>
          </w:p>
        </w:tc>
      </w:tr>
      <w:tr>
        <w:trPr>
          <w:trHeight w:val="20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54,954</w:t>
            </w:r>
          </w:p>
        </w:tc>
        <w:tc>
          <w:tcPr>
            <w:tcW w:w="16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56,940</w:t>
            </w:r>
          </w:p>
        </w:tc>
        <w:tc>
          <w:tcPr>
            <w:tcW w:w="160" w:type="dxa"/>
            <w:vAlign w:val="bottom"/>
            <w:tcBorders>
              <w:bottom w:val="single" w:sz="8" w:color="CCEEFF"/>
            </w:tcBorders>
          </w:tcPr>
          <w:p>
            <w:pPr>
              <w:spacing w:after="0"/>
              <w:rPr>
                <w:sz w:val="17"/>
                <w:szCs w:val="17"/>
                <w:color w:val="auto"/>
              </w:rPr>
            </w:pPr>
          </w:p>
        </w:tc>
      </w:tr>
      <w:tr>
        <w:trPr>
          <w:trHeight w:val="19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192,563</w:t>
            </w: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252,372</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3" w:right="1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9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40,525</w:t>
            </w: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45,503</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134,426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188,217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7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18,652</w:t>
            </w:r>
          </w:p>
        </w:tc>
        <w:tc>
          <w:tcPr>
            <w:tcW w:w="140" w:type="dxa"/>
            <w:vAlign w:val="bottom"/>
            <w:shd w:val="clear" w:color="auto" w:fill="CCEEFF"/>
          </w:tcPr>
          <w:p>
            <w:pPr>
              <w:spacing w:after="0"/>
              <w:rPr>
                <w:sz w:val="17"/>
                <w:szCs w:val="17"/>
                <w:color w:val="auto"/>
              </w:rPr>
            </w:pPr>
          </w:p>
        </w:tc>
      </w:tr>
      <w:tr>
        <w:trPr>
          <w:trHeight w:val="196"/>
        </w:trPr>
        <w:tc>
          <w:tcPr>
            <w:tcW w:w="3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72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192,563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252,372</w:t>
            </w: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139,324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sheets and include payments received in advance of system sales as well as deferral of revenue from systems sales for installation and other future performance obligations. Contract liabilities are recognized as revenue upon the fulfillment of performance obligations.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5"/>
        </w:trPr>
        <w:tc>
          <w:tcPr>
            <w:tcW w:w="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7"/>
                <w:szCs w:val="17"/>
                <w:color w:val="auto"/>
              </w:rPr>
            </w:pPr>
          </w:p>
        </w:tc>
      </w:tr>
      <w:tr>
        <w:trPr>
          <w:trHeight w:val="18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25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138,174</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210,885</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42,974</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23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(45,441)</w:t>
            </w:r>
          </w:p>
        </w:tc>
        <w:tc>
          <w:tcPr>
            <w:tcW w:w="140" w:type="dxa"/>
            <w:vAlign w:val="bottom"/>
            <w:shd w:val="clear" w:color="auto" w:fill="CCEEFF"/>
          </w:tcPr>
          <w:p>
            <w:pPr>
              <w:spacing w:after="0"/>
              <w:rPr>
                <w:sz w:val="17"/>
                <w:szCs w:val="17"/>
                <w:color w:val="auto"/>
              </w:rPr>
            </w:pPr>
          </w:p>
        </w:tc>
      </w:tr>
      <w:tr>
        <w:trPr>
          <w:trHeight w:val="196"/>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238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139,324</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208,418</w:t>
            </w:r>
          </w:p>
        </w:tc>
        <w:tc>
          <w:tcPr>
            <w:tcW w:w="1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8" w:lineRule="exact"/>
        <w:rPr>
          <w:sz w:val="20"/>
          <w:szCs w:val="20"/>
          <w:color w:val="auto"/>
        </w:rPr>
      </w:pPr>
    </w:p>
    <w:p>
      <w:pPr>
        <w:ind w:right="20" w:firstLine="5"/>
        <w:spacing w:after="0" w:line="261" w:lineRule="auto"/>
        <w:tabs>
          <w:tab w:leader="none" w:pos="14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 reclassification of $8.0 million of a refund liability included within other current liabilities as of December 31, 2024 to deferred revenue for the three months ended March 31, 2025.</w:t>
      </w:r>
    </w:p>
    <w:p>
      <w:pPr>
        <w:spacing w:after="0" w:line="10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system transactions have either (1) payment terms of 90% due upon shipment of the system and 10% due upon acceptance or (2) a pre-shipment deposit ranging from 20% to 60%, with the remainder due upon shipment, less 10% due at acceptance. Aftermarket transaction payment terms typically provide that payment is due either within 30 or 60 days after the service is provided or parts delivered.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Receivables and Allowances for Credit Losses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94"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maintain an allowance for credit losses, which represents an estimate of expected losses over the remaining contractual life of our receivables, considering current market conditions and estimates for supportable forecasts when appropriate. The estimate is a result of our ongoing assessments and evaluations of collectability, historical loss experience, and future expectations in estimating credit losses in our receivable portfolio. We use historical loss experience rates and apply them to a related aging analysis while also considering customer and/or economic risk where appropriate. Determination of the proper amount of allowances requires management to exercise judgment about the timing, frequency</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 economic conditions, trade restrictions, estimates for supportable forecasts, when appropriate, and credit risk characteristics.</w:t>
      </w:r>
    </w:p>
    <w:p>
      <w:pPr>
        <w:spacing w:after="0" w:line="11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evaluate the credit risk of the customer when extending credit based on a combination of financial and qualitative factors that may affect our customers’ ability to pay. These factors may include the customer’s financial condition, past payment experience, and credit bureau report, as well as the value of the underlying collateral.</w:t>
      </w:r>
    </w:p>
    <w:p>
      <w:pPr>
        <w:spacing w:after="0" w:line="10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performs detailed reviews of our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 We did not have any allowance or incur any credit losses or recoveries for the three-month period ended March 31, 2025. We recorded $0.5 million of recovery of bad debt expense for the three month period ended March 31, 2024. As of both March 31, 2025 and March 31, 2024, we had no provision for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Computation of Net Earnings per Share</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shares of common stock outstanding (the denominator) for the period. The computation of diluted earnings per share is similar to basic earnings per share, except that the denominator is increased by the number of additional shares of common stock that would have been outstanding if the potentially dilutive shares of common stock issuable on vesting of RSUs had been issued, calculated using the treasury stock method.</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32"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4"/>
          <w:szCs w:val="14"/>
          <w:b w:val="1"/>
          <w:bCs w:val="1"/>
          <w:color w:val="auto"/>
        </w:rPr>
        <w:t>Three months ended</w:t>
      </w: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7040" w:type="dxa"/>
            <w:vAlign w:val="bottom"/>
          </w:tcPr>
          <w:p>
            <w:pPr>
              <w:spacing w:after="0"/>
              <w:rPr>
                <w:sz w:val="9"/>
                <w:szCs w:val="9"/>
                <w:color w:val="auto"/>
              </w:rPr>
            </w:pPr>
          </w:p>
        </w:tc>
        <w:tc>
          <w:tcPr>
            <w:tcW w:w="1920" w:type="dxa"/>
            <w:vAlign w:val="bottom"/>
            <w:gridSpan w:val="5"/>
          </w:tcPr>
          <w:p>
            <w:pPr>
              <w:ind w:left="20"/>
              <w:spacing w:after="0" w:line="104" w:lineRule="exact"/>
              <w:rPr>
                <w:sz w:val="20"/>
                <w:szCs w:val="20"/>
                <w:color w:val="auto"/>
              </w:rPr>
            </w:pPr>
            <w:r>
              <w:rPr>
                <w:rFonts w:ascii="Times New Roman" w:cs="Times New Roman" w:eastAsia="Times New Roman" w:hAnsi="Times New Roman"/>
                <w:sz w:val="12"/>
                <w:szCs w:val="12"/>
                <w:b w:val="1"/>
                <w:bCs w:val="1"/>
                <w:color w:val="auto"/>
              </w:rPr>
              <w:t>(in thousands, except per share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28,579</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51,595</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 average shares of common stock outstanding used in computing basic income per share</w:t>
            </w: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32,258</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32,638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RSUs</w:t>
            </w: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shares of common stock used in computing diluted net income per share</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0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per share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0.89</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0.88</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Diluted weighted average shares of common stock outstanding does not include 325,364 and 19,548 common equivalent shares issuable with respect to outstanding equity awards for the three-month periods ended March 31, 2025 and 2024, respectively, as their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Accumulated Other Comprehensive Loss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net of tax, by component, for the three months ended March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4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 on</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60" w:type="dxa"/>
            <w:vAlign w:val="bottom"/>
          </w:tcPr>
          <w:p>
            <w:pPr>
              <w:spacing w:after="0"/>
              <w:rPr>
                <w:sz w:val="12"/>
                <w:szCs w:val="12"/>
                <w:color w:val="auto"/>
              </w:rPr>
            </w:pPr>
          </w:p>
        </w:tc>
        <w:tc>
          <w:tcPr>
            <w:tcW w:w="58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(6,253)</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(6,214)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income and reclassifications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81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(5,607)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(5,487)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Cash, cash equivalents and restricted cash</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128"/>
        </w:trPr>
        <w:tc>
          <w:tcPr>
            <w:tcW w:w="5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183,957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123,512</w:t>
            </w:r>
          </w:p>
        </w:tc>
        <w:tc>
          <w:tcPr>
            <w:tcW w:w="120" w:type="dxa"/>
            <w:vAlign w:val="bottom"/>
            <w:shd w:val="clear" w:color="auto" w:fill="CCEEFF"/>
          </w:tcPr>
          <w:p>
            <w:pPr>
              <w:spacing w:after="0"/>
              <w:rPr>
                <w:sz w:val="18"/>
                <w:szCs w:val="18"/>
                <w:color w:val="auto"/>
              </w:rPr>
            </w:pPr>
          </w:p>
        </w:tc>
      </w:tr>
      <w:tr>
        <w:trPr>
          <w:trHeight w:val="213"/>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7,553</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7,552</w:t>
            </w:r>
          </w:p>
        </w:tc>
        <w:tc>
          <w:tcPr>
            <w:tcW w:w="120" w:type="dxa"/>
            <w:vAlign w:val="bottom"/>
            <w:tcBorders>
              <w:bottom w:val="single" w:sz="8" w:color="CCEEFF"/>
            </w:tcBorders>
          </w:tcPr>
          <w:p>
            <w:pPr>
              <w:spacing w:after="0"/>
              <w:rPr>
                <w:sz w:val="18"/>
                <w:szCs w:val="18"/>
                <w:color w:val="auto"/>
              </w:rPr>
            </w:pPr>
          </w:p>
        </w:tc>
      </w:tr>
      <w:tr>
        <w:trPr>
          <w:trHeight w:val="199"/>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191,510</w:t>
            </w: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we had $7.6 million in restricted cash representing the total of (i) a $5.9 million cash collateralized letter of credit serving as a security deposit for our headquarters lease in Beverly, Massachusetts, (ii) a $0.9 million letter of credit for custom purposes, (iii) a $0.7 million cash collateralized letter of credit relating to workers’ compensation insurance and (iv) a $0.1 million deposit relating to customs activity. See Note 13 for further discussion on the $5.9 million cash collateralized letter of credit.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8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3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224,943</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227,141</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34,490</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20,594</w:t>
            </w:r>
          </w:p>
        </w:tc>
        <w:tc>
          <w:tcPr>
            <w:tcW w:w="180" w:type="dxa"/>
            <w:vAlign w:val="bottom"/>
            <w:shd w:val="clear" w:color="auto" w:fill="CCEEFF"/>
          </w:tcPr>
          <w:p>
            <w:pPr>
              <w:spacing w:after="0"/>
              <w:rPr>
                <w:sz w:val="17"/>
                <w:szCs w:val="17"/>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220" w:type="dxa"/>
            <w:vAlign w:val="bottom"/>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295,850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282,225</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w:t>
      </w:r>
    </w:p>
    <w:p>
      <w:pPr>
        <w:spacing w:after="0" w:line="162" w:lineRule="exact"/>
        <w:rPr>
          <w:sz w:val="20"/>
          <w:szCs w:val="20"/>
          <w:color w:val="auto"/>
        </w:rPr>
      </w:pPr>
    </w:p>
    <w:p>
      <w:pPr>
        <w:jc w:val="both"/>
        <w:ind w:right="360" w:firstLine="648"/>
        <w:spacing w:after="0" w:line="289" w:lineRule="auto"/>
        <w:rPr>
          <w:sz w:val="20"/>
          <w:szCs w:val="20"/>
          <w:color w:val="auto"/>
        </w:rPr>
      </w:pPr>
      <w:r>
        <w:rPr>
          <w:rFonts w:ascii="Times New Roman" w:cs="Times New Roman" w:eastAsia="Times New Roman" w:hAnsi="Times New Roman"/>
          <w:sz w:val="17"/>
          <w:szCs w:val="17"/>
          <w:color w:val="auto"/>
        </w:rPr>
        <w:t>We generally offer a one-year warranty for all of our systems, the terms and conditions of which vary depending upon the product sold. For all systems sold, we accrue a liability for the estimated cost of standard warranty at the time of system shipment and, if applicable, defer the portion of systems revenue attributable to non-standard warranty. Costs for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32"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4"/>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(end of period)</w:t>
            </w: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16,632</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14,355</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 (within other long-term liabilities)</w:t>
            </w: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16,632</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1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money market funds and short-term investments with initial maturities of three months or less are included in cash and cash equivalents in the consolidated balance sheets. Other investments that have a maturity of greater than three months but less than one year are included within short-term investments in the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assets which are measured at fair value by level within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141,225</w:t>
            </w: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403,102</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544,327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544,457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8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w:t>
            </w:r>
          </w:p>
        </w:tc>
        <w:tc>
          <w:tcPr>
            <w:tcW w:w="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448,296</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Mark-to-market adjustment on forward exchange contracts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529,616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18"/>
                <w:szCs w:val="18"/>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529,883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forward currency exchange contracts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Forward Currency Exchange Contracts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enter into forward currency exchange contracts to minimize the impact of foreign currency fluctuations on our earnings and cash flows. These contracts have month-to-month settlement dates. Any gains or losses on these contracts are reported within Other, net in our Consolidated Statement of Operations. Any open contracts at period end that have settlement dates within one month after the reported period end and any mark-to-market valuation adjustments related to these open contracts are recorded in the current asset or current liability account and any unrealized gain or loss recognized is recorded within Other, net in our Consolidated Statement of Operations. These contracts are measured at fair value using observable market inputs such as forward currency exchange rates and our counterparties’ credit risks. Based on these inputs, the derivative instruments are classified within Level 2 of the valuation hierarchy. At March 31, 2025, the recognized unrealized loss on these forward exchange contracts was approximately $0.1 million. Based on our continued ability to trade and enter into forward contracts, we consider the markets for our fair value instruments to be active. We evaluated the credit risk associated with the counterparties to these derivative instruments and determined that as of March 31, 2025, such credit risks have not had an adverse impact on the fair value of these instruments.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finance lease under generally accepted accounting principles and, as such, we have recorded a finance lease obligation of $43.3 million as of March 31, 2025. The associated lease payments include both an interest component and payment of principal, with the remaining liability being extinguished at the end of the original lease term. As of March</w:t>
      </w:r>
    </w:p>
    <w:p>
      <w:pPr>
        <w:sectPr>
          <w:pgSz w:w="11900" w:h="16838" w:orient="portrait"/>
          <w:cols w:equalWidth="0" w:num="1">
            <w:col w:w="9120"/>
          </w:cols>
          <w:pgMar w:left="1380" w:top="513" w:right="13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31, 2025, we had a security deposit of $5.9 million related to this lease in the form of a cash collateralized letter of credit issued with UBS Bank USA, which is classified as long-term restricted cash on our balance sheet at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$4.5 million for the three months ended March 31, 2025, compared to $7.4 million for the three months ended March 31, 2024. The $2.9 million decrease was primarily due to a decrease in pre-tax book income.</w:t>
      </w:r>
    </w:p>
    <w:p>
      <w:pPr>
        <w:spacing w:after="0" w:line="162"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effective tax rate (“ETR”) for the three months ended March 31, 2025 was less than the U.S. statutory rate of 21% primarily attributable to Foreign Derived Intangible Income deduction and Federal research and development tax credits. The reported ETR for the three months ended March 31, 2025 was 13.6% compared to 12.5% for the respective 2024 period. The increase in the reported ETR is primarily related to a decrease in pre-tax book income and stock-based compensation.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Concentration of Risk</w:t>
      </w:r>
    </w:p>
    <w:p>
      <w:pPr>
        <w:spacing w:after="0" w:line="108"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two customers accounted for 15.3% and 15.2% of total revenue, respectively. For the three months ended March 31, 2024, no individual customer accounted for greater than ten percent of total revenue.</w:t>
      </w:r>
    </w:p>
    <w:p>
      <w:pPr>
        <w:spacing w:after="0" w:line="14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At March 31, 2025, three customers accounted for 10.7%, 10.5% and 10.4% of accounts receivable, respectively. At December 31, 2024, one customer accounted for 10.0% of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March 2025, our Board of Directors approved an additional funding of $100 million for our stock repurchase program. This approval brings the current outstanding repurchase authorization to $215 million. During the three months ended March 31, 2025, we repurchased 0.3 million shares of common stock at an average cost of $66.22 per share. The timing and actual number of any additional shares to be repurchased under this program will depend on various factors including price, corporate and regulatory requirements, alternative investment opportunities and other market conditions.</w:t>
      </w:r>
    </w:p>
    <w:p>
      <w:pPr>
        <w:spacing w:after="0" w:line="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Repurchased shares are accounted for when the transaction is settled and returned to the status of authorized but unissued shares. Accordingly, on our balance sheet, the repurchase price is deducted from common stock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0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Business Segment</w:t>
      </w:r>
    </w:p>
    <w:p>
      <w:pPr>
        <w:spacing w:after="0" w:line="135" w:lineRule="exact"/>
        <w:rPr>
          <w:sz w:val="20"/>
          <w:szCs w:val="20"/>
          <w:color w:val="auto"/>
        </w:rPr>
      </w:pPr>
    </w:p>
    <w:p>
      <w:pPr>
        <w:jc w:val="both"/>
        <w:ind w:right="120" w:firstLine="648"/>
        <w:spacing w:after="0" w:line="289"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chief operating decision maker (“CODM”) is our chief executive officer, who assesses financial performance for the Company and decides how to allocate resources based on consolidated net income. Segment asset information is provided to the CODM but it is not used to allocate resources.</w:t>
      </w:r>
    </w:p>
    <w:p>
      <w:pPr>
        <w:spacing w:after="0" w:line="15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three months ended March 31,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48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192,563</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252,372</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103,795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136,321</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27,128</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25,662</w:t>
            </w:r>
          </w:p>
        </w:tc>
        <w:tc>
          <w:tcPr>
            <w:tcW w:w="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w:t>
            </w:r>
          </w:p>
        </w:tc>
        <w:tc>
          <w:tcPr>
            <w:tcW w:w="340" w:type="dxa"/>
            <w:vAlign w:val="bottom"/>
          </w:tcPr>
          <w:p>
            <w:pPr>
              <w:spacing w:after="0"/>
              <w:rPr>
                <w:sz w:val="18"/>
                <w:szCs w:val="18"/>
                <w:color w:val="auto"/>
              </w:rPr>
            </w:pPr>
          </w:p>
        </w:tc>
      </w:tr>
      <w:tr>
        <w:trPr>
          <w:trHeight w:val="216"/>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340" w:type="dxa"/>
            <w:vAlign w:val="bottom"/>
            <w:shd w:val="clear" w:color="auto" w:fill="CCEEFF"/>
          </w:tcPr>
          <w:p>
            <w:pPr>
              <w:spacing w:after="0"/>
              <w:rPr>
                <w:sz w:val="18"/>
                <w:szCs w:val="18"/>
                <w:color w:val="auto"/>
              </w:rPr>
            </w:pPr>
          </w:p>
        </w:tc>
      </w:tr>
      <w:tr>
        <w:trPr>
          <w:trHeight w:val="216"/>
        </w:trPr>
        <w:tc>
          <w:tcPr>
            <w:tcW w:w="51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3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340" w:type="dxa"/>
            <w:vAlign w:val="bottom"/>
            <w:tcBorders>
              <w:bottom w:val="single" w:sz="8" w:color="CCEEFF"/>
            </w:tcBorders>
          </w:tcPr>
          <w:p>
            <w:pPr>
              <w:spacing w:after="0"/>
              <w:rPr>
                <w:sz w:val="18"/>
                <w:szCs w:val="18"/>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Income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51,595</w:t>
            </w:r>
          </w:p>
        </w:tc>
        <w:tc>
          <w:tcPr>
            <w:tcW w:w="340" w:type="dxa"/>
            <w:vAlign w:val="bottom"/>
            <w:shd w:val="clear" w:color="auto" w:fill="CCEEFF"/>
          </w:tcPr>
          <w:p>
            <w:pPr>
              <w:spacing w:after="0"/>
              <w:rPr>
                <w:sz w:val="18"/>
                <w:szCs w:val="18"/>
                <w:color w:val="auto"/>
              </w:rPr>
            </w:pPr>
          </w:p>
        </w:tc>
      </w:tr>
      <w:tr>
        <w:trPr>
          <w:trHeight w:val="209"/>
        </w:trPr>
        <w:tc>
          <w:tcPr>
            <w:tcW w:w="5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 or loss Adjustments and reconciling items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r>
      <w:tr>
        <w:trPr>
          <w:trHeight w:val="210"/>
        </w:trPr>
        <w:tc>
          <w:tcPr>
            <w:tcW w:w="5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3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51,595</w:t>
            </w:r>
          </w:p>
        </w:tc>
        <w:tc>
          <w:tcPr>
            <w:tcW w:w="340" w:type="dxa"/>
            <w:vAlign w:val="bottom"/>
            <w:tcBorders>
              <w:bottom w:val="single" w:sz="8" w:color="CCEEFF"/>
            </w:tcBorders>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above table includes depreciation expense and amortization expense of $4.3 million and $3.8 million for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Recent Accounting Guidance</w:t>
      </w:r>
    </w:p>
    <w:p>
      <w:pPr>
        <w:spacing w:after="0" w:line="10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2023-09, Income Taxes (Topic 740): Improvements to Income Tax Disclosures (“ASU 2023-09”). ASU 2023-09 is intended to enhance the transparency and decision usefulness of income tax disclosures. ASU 2023-09 addresses investor requests for enhanced income tax information primarily through changes to the rate reconciliation and income taxes paid information. Early adoption is permitted. A public entity should apply ASU 2023-09 prospectively to all annual periods beginning after December 15, 2024. We are currently evaluating the impact of ASU 2023-09 on our future consolidated financial statements and related disclosures.</w:t>
      </w:r>
    </w:p>
    <w:p>
      <w:pPr>
        <w:spacing w:after="0" w:line="9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2024-03, Income Statement—Reporting Comprehensive Income—Expense Disaggregation Disclosures (Subtopic 220-40): Disaggregation of Income Statement Expenses (“ASU 2024-03”). ASU 2024-03 is intended to enhance the disclosures for expenses for all public entities in accordance with ASC Topic 220, Income Statement-Reporting Comprehensive Income. ASU 2024-03 addresses investor requests for more detailed information about expenses, specifically cost of sales and selling, general, and administrative expenses. ASU 2024-03 requires a public entity to disclose the amounts of (a) purchases of inventory, (b) employee compensation, (c) depreciation, (d) intangible asset amortization, and (e) depreciation, depletion, and amortization recognized as part of oil- and gas-producing activities (or other amounts of depletion expense) included in each relevant expense caption presented on the face of the income statement as well as a qualitative description of the amounts remaining in the relevant expense captions that are not separately disaggregated quantitatively. ASU 2024-03 also requires a public entity to disclose the total amount of selling expenses and the entity’s definition of selling expenses. ASU 2024-03 is effective for fiscal years beginning after December 15, 2026, and interim periods within fiscal years beginning after December 15, 2027. Early adoption is permitted. A public entity should apply ASU 2024-03 either prospectively to financial statements issued for reporting periods after the effective date of this ASU or retrospectively to all prior periods presented in the financial statements. The Company is currently evaluating the impact of ASU 2024-03 on its future consolidated financial statements and related disclosures.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firstLine="648"/>
        <w:spacing w:after="0" w:line="253"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below and under “Risk Factors” in Part I, Item 1A to our </w:t>
      </w:r>
      <w:hyperlink r:id="rId30">
        <w:r>
          <w:rPr>
            <w:rFonts w:ascii="Times New Roman" w:cs="Times New Roman" w:eastAsia="Times New Roman" w:hAnsi="Times New Roman"/>
            <w:sz w:val="18"/>
            <w:szCs w:val="18"/>
            <w:i w:val="1"/>
            <w:iCs w:val="1"/>
            <w:u w:val="single" w:color="auto"/>
            <w:color w:val="0000EE"/>
          </w:rPr>
          <w:t>2024 Form 10-K</w:t>
        </w:r>
      </w:hyperlink>
      <w:r>
        <w:rPr>
          <w:rFonts w:ascii="Times New Roman" w:cs="Times New Roman" w:eastAsia="Times New Roman" w:hAnsi="Times New Roman"/>
          <w:sz w:val="18"/>
          <w:szCs w:val="18"/>
          <w:i w:val="1"/>
          <w:iCs w:val="1"/>
          <w:color w:val="auto"/>
        </w:rPr>
        <w:t>, which discussion is incorporated herein by reference.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67.3% of total revenue for the three months ended March 31, 2025.</w:t>
      </w:r>
    </w:p>
    <w:p>
      <w:pPr>
        <w:spacing w:after="0" w:line="19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Sales of our systems in the first three months of 2025 were down compared to the same period in the prior year, as customers have moderated the pace of investments into mature process node technologies. The overall mature process segment represented 86% of our shipped systems revenue, with 14% of shipments to dynamic random-access memory (“DRAM”) applicaitons. Power device shipments comprised 39% of total systems revenue with the general mature segment representing 47%, which includes image sensor applications starting with first quarter 2025 results.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ending March 31, 2025, the geopolitical environment surrounding trade and tariffs did not have a meaningful impact on our financial results. It is difficult to predict the exact timing and magnitude of the tariffs, the duration for which the tariffs will be in place, and the impact the tariffs will have on our customers and suppliers. We are in the process of developing plans to reduce the potential impact of these tariffs by leveraging our global supply chain and manufacturing footprint.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2024 Form 10-K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2024 Form 10-K.</w:t>
      </w:r>
    </w:p>
    <w:p>
      <w:pPr>
        <w:sectPr>
          <w:pgSz w:w="11900" w:h="16838" w:orient="portrait"/>
          <w:cols w:equalWidth="0" w:num="1">
            <w:col w:w="9120"/>
          </w:cols>
          <w:pgMar w:left="1380" w:top="513" w:right="13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00"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2"/>
                <w:szCs w:val="12"/>
                <w:color w:val="auto"/>
              </w:rPr>
            </w:pPr>
          </w:p>
        </w:tc>
      </w:tr>
      <w:tr>
        <w:trPr>
          <w:trHeight w:val="19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94.9 %</w:t>
            </w:r>
          </w:p>
        </w:tc>
        <w:tc>
          <w:tcPr>
            <w:tcW w:w="13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96.5 %</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500" w:type="dxa"/>
            <w:vAlign w:val="bottom"/>
            <w:shd w:val="clear" w:color="auto" w:fill="CCEEFF"/>
          </w:tcPr>
          <w:p>
            <w:pPr>
              <w:spacing w:after="0"/>
              <w:rPr>
                <w:sz w:val="19"/>
                <w:szCs w:val="19"/>
                <w:color w:val="auto"/>
              </w:rPr>
            </w:pPr>
          </w:p>
        </w:tc>
      </w:tr>
      <w:tr>
        <w:trPr>
          <w:trHeight w:val="196"/>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00" w:type="dxa"/>
            <w:vAlign w:val="bottom"/>
          </w:tcPr>
          <w:p>
            <w:pPr>
              <w:spacing w:after="0"/>
              <w:rPr>
                <w:sz w:val="17"/>
                <w:szCs w:val="17"/>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500" w:type="dxa"/>
            <w:vAlign w:val="bottom"/>
          </w:tcPr>
          <w:p>
            <w:pPr>
              <w:spacing w:after="0"/>
              <w:rPr>
                <w:sz w:val="18"/>
                <w:szCs w:val="18"/>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500" w:type="dxa"/>
            <w:vAlign w:val="bottom"/>
            <w:shd w:val="clear" w:color="auto" w:fill="CCEEFF"/>
          </w:tcPr>
          <w:p>
            <w:pPr>
              <w:spacing w:after="0"/>
              <w:rPr>
                <w:sz w:val="19"/>
                <w:szCs w:val="19"/>
                <w:color w:val="auto"/>
              </w:rPr>
            </w:pPr>
          </w:p>
        </w:tc>
      </w:tr>
      <w:tr>
        <w:trPr>
          <w:trHeight w:val="196"/>
        </w:trPr>
        <w:tc>
          <w:tcPr>
            <w:tcW w:w="65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500" w:type="dxa"/>
            <w:vAlign w:val="bottom"/>
          </w:tcPr>
          <w:p>
            <w:pPr>
              <w:spacing w:after="0"/>
              <w:rPr>
                <w:sz w:val="17"/>
                <w:szCs w:val="17"/>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500" w:type="dxa"/>
            <w:vAlign w:val="bottom"/>
            <w:shd w:val="clear" w:color="auto" w:fill="CCEEFF"/>
          </w:tcPr>
          <w:p>
            <w:pPr>
              <w:spacing w:after="0"/>
              <w:rPr>
                <w:sz w:val="18"/>
                <w:szCs w:val="18"/>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500" w:type="dxa"/>
            <w:vAlign w:val="bottom"/>
            <w:shd w:val="clear" w:color="auto" w:fill="CCEEFF"/>
          </w:tcPr>
          <w:p>
            <w:pPr>
              <w:spacing w:after="0"/>
              <w:rPr>
                <w:sz w:val="19"/>
                <w:szCs w:val="19"/>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500" w:type="dxa"/>
            <w:vAlign w:val="bottom"/>
          </w:tcPr>
          <w:p>
            <w:pPr>
              <w:spacing w:after="0"/>
              <w:rPr>
                <w:sz w:val="18"/>
                <w:szCs w:val="18"/>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500" w:type="dxa"/>
            <w:vAlign w:val="bottom"/>
            <w:shd w:val="clear" w:color="auto" w:fill="CCEEFF"/>
          </w:tcPr>
          <w:p>
            <w:pPr>
              <w:spacing w:after="0"/>
              <w:rPr>
                <w:sz w:val="19"/>
                <w:szCs w:val="19"/>
                <w:color w:val="auto"/>
              </w:rPr>
            </w:pPr>
          </w:p>
        </w:tc>
      </w:tr>
      <w:tr>
        <w:trPr>
          <w:trHeight w:val="196"/>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500" w:type="dxa"/>
            <w:vAlign w:val="bottom"/>
            <w:tcBorders>
              <w:bottom w:val="single" w:sz="8" w:color="CCEEFF"/>
            </w:tcBorders>
          </w:tcPr>
          <w:p>
            <w:pPr>
              <w:spacing w:after="0"/>
              <w:rPr>
                <w:sz w:val="17"/>
                <w:szCs w:val="17"/>
                <w:color w:val="auto"/>
              </w:rPr>
            </w:pPr>
          </w:p>
        </w:tc>
      </w:tr>
      <w:tr>
        <w:trPr>
          <w:trHeight w:val="19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500" w:type="dxa"/>
            <w:vAlign w:val="bottom"/>
            <w:shd w:val="clear" w:color="auto" w:fill="CCEEFF"/>
          </w:tcPr>
          <w:p>
            <w:pPr>
              <w:spacing w:after="0"/>
              <w:rPr>
                <w:sz w:val="17"/>
                <w:szCs w:val="17"/>
                <w:color w:val="auto"/>
              </w:rPr>
            </w:pPr>
          </w:p>
        </w:tc>
      </w:tr>
      <w:tr>
        <w:trPr>
          <w:trHeight w:val="213"/>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500" w:type="dxa"/>
            <w:vAlign w:val="bottom"/>
            <w:shd w:val="clear" w:color="auto" w:fill="CCEEFF"/>
          </w:tcPr>
          <w:p>
            <w:pPr>
              <w:spacing w:after="0"/>
              <w:rPr>
                <w:sz w:val="19"/>
                <w:szCs w:val="19"/>
                <w:color w:val="auto"/>
              </w:rPr>
            </w:pPr>
          </w:p>
        </w:tc>
      </w:tr>
      <w:tr>
        <w:trPr>
          <w:trHeight w:val="213"/>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16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(0.7)</w:t>
            </w:r>
          </w:p>
        </w:tc>
        <w:tc>
          <w:tcPr>
            <w:tcW w:w="138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(0.5)</w:t>
            </w:r>
          </w:p>
        </w:tc>
      </w:tr>
      <w:tr>
        <w:trPr>
          <w:trHeight w:val="21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116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(0.2)</w:t>
            </w:r>
          </w:p>
        </w:tc>
        <w:tc>
          <w:tcPr>
            <w:tcW w:w="1380" w:type="dxa"/>
            <w:vAlign w:val="bottom"/>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(0.7)</w:t>
            </w:r>
          </w:p>
        </w:tc>
      </w:tr>
      <w:tr>
        <w:trPr>
          <w:trHeight w:val="196"/>
        </w:trPr>
        <w:tc>
          <w:tcPr>
            <w:tcW w:w="65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income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500" w:type="dxa"/>
            <w:vAlign w:val="bottom"/>
            <w:tcBorders>
              <w:bottom w:val="single" w:sz="8" w:color="CCEEFF"/>
            </w:tcBorders>
          </w:tcPr>
          <w:p>
            <w:pPr>
              <w:spacing w:after="0"/>
              <w:rPr>
                <w:sz w:val="17"/>
                <w:szCs w:val="17"/>
                <w:color w:val="auto"/>
              </w:rPr>
            </w:pPr>
          </w:p>
        </w:tc>
      </w:tr>
      <w:tr>
        <w:trPr>
          <w:trHeight w:val="19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500" w:type="dxa"/>
            <w:vAlign w:val="bottom"/>
            <w:shd w:val="clear" w:color="auto" w:fill="CCEEFF"/>
          </w:tcPr>
          <w:p>
            <w:pPr>
              <w:spacing w:after="0"/>
              <w:rPr>
                <w:sz w:val="17"/>
                <w:szCs w:val="17"/>
                <w:color w:val="auto"/>
              </w:rPr>
            </w:pPr>
          </w:p>
        </w:tc>
      </w:tr>
      <w:tr>
        <w:trPr>
          <w:trHeight w:val="213"/>
        </w:trPr>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00" w:type="dxa"/>
            <w:vAlign w:val="bottom"/>
            <w:tcBorders>
              <w:bottom w:val="single" w:sz="8" w:color="CCEEFF"/>
            </w:tcBorders>
          </w:tcPr>
          <w:p>
            <w:pPr>
              <w:spacing w:after="0"/>
              <w:rPr>
                <w:sz w:val="18"/>
                <w:szCs w:val="18"/>
                <w:color w:val="auto"/>
              </w:rPr>
            </w:pPr>
          </w:p>
        </w:tc>
      </w:tr>
      <w:tr>
        <w:trPr>
          <w:trHeight w:val="199"/>
        </w:trPr>
        <w:tc>
          <w:tcPr>
            <w:tcW w:w="6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50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5780" w:type="dxa"/>
            <w:vAlign w:val="bottom"/>
          </w:tcPr>
          <w:p>
            <w:pPr>
              <w:spacing w:after="0"/>
              <w:rPr>
                <w:sz w:val="15"/>
                <w:szCs w:val="15"/>
                <w:color w:val="auto"/>
              </w:rPr>
            </w:pPr>
          </w:p>
        </w:tc>
        <w:tc>
          <w:tcPr>
            <w:tcW w:w="18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7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r>
      <w:tr>
        <w:trPr>
          <w:trHeight w:val="128"/>
        </w:trPr>
        <w:tc>
          <w:tcPr>
            <w:tcW w:w="5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20" w:type="dxa"/>
            <w:vAlign w:val="bottom"/>
            <w:gridSpan w:val="4"/>
          </w:tcPr>
          <w:p>
            <w:pPr>
              <w:jc w:val="right"/>
              <w:ind w:right="284"/>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4"/>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$ 182,824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$ 243,418</w:t>
            </w:r>
          </w:p>
        </w:tc>
        <w:tc>
          <w:tcPr>
            <w:tcW w:w="2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 (60,594)</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(24.9)%</w:t>
            </w:r>
          </w:p>
        </w:tc>
      </w:tr>
      <w:tr>
        <w:trPr>
          <w:trHeight w:val="218"/>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94.9 %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96.5 %</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4"/>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2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8.8 %</w:t>
            </w:r>
          </w:p>
        </w:tc>
      </w:tr>
      <w:tr>
        <w:trPr>
          <w:trHeight w:val="218"/>
        </w:trPr>
        <w:tc>
          <w:tcPr>
            <w:tcW w:w="5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9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5.1 %</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3.5 %</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196"/>
        </w:trPr>
        <w:tc>
          <w:tcPr>
            <w:tcW w:w="5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$ 192,563</w:t>
            </w:r>
          </w:p>
        </w:tc>
        <w:tc>
          <w:tcPr>
            <w:tcW w:w="2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$ 252,372</w:t>
            </w:r>
          </w:p>
        </w:tc>
        <w:tc>
          <w:tcPr>
            <w:tcW w:w="22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 (59,809)</w:t>
            </w:r>
          </w:p>
        </w:tc>
        <w:tc>
          <w:tcPr>
            <w:tcW w:w="20" w:type="dxa"/>
            <w:vAlign w:val="bottom"/>
            <w:tcBorders>
              <w:bottom w:val="single" w:sz="8" w:color="auto"/>
            </w:tcBorders>
          </w:tcPr>
          <w:p>
            <w:pPr>
              <w:spacing w:after="0"/>
              <w:rPr>
                <w:sz w:val="17"/>
                <w:szCs w:val="17"/>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(23.7)</w:t>
            </w:r>
            <w:r>
              <w:rPr>
                <w:rFonts w:ascii="Times New Roman" w:cs="Times New Roman" w:eastAsia="Times New Roman" w:hAnsi="Times New Roman"/>
                <w:sz w:val="16"/>
                <w:szCs w:val="16"/>
                <w:color w:val="auto"/>
              </w:rPr>
              <w:t>%</w:t>
            </w:r>
          </w:p>
        </w:tc>
      </w:tr>
      <w:tr>
        <w:trPr>
          <w:trHeight w:val="20"/>
        </w:trPr>
        <w:tc>
          <w:tcPr>
            <w:tcW w:w="5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w:t>
      </w:r>
    </w:p>
    <w:p>
      <w:pPr>
        <w:spacing w:after="0" w:line="27" w:lineRule="exact"/>
        <w:rPr>
          <w:sz w:val="20"/>
          <w:szCs w:val="20"/>
          <w:color w:val="auto"/>
        </w:rPr>
      </w:pPr>
    </w:p>
    <w:p>
      <w:pPr>
        <w:ind w:left="20" w:right="20"/>
        <w:spacing w:after="0" w:line="277" w:lineRule="auto"/>
        <w:rPr>
          <w:sz w:val="20"/>
          <w:szCs w:val="20"/>
          <w:color w:val="auto"/>
        </w:rPr>
      </w:pPr>
      <w:r>
        <w:rPr>
          <w:rFonts w:ascii="Times New Roman" w:cs="Times New Roman" w:eastAsia="Times New Roman" w:hAnsi="Times New Roman"/>
          <w:sz w:val="17"/>
          <w:szCs w:val="17"/>
          <w:color w:val="auto"/>
        </w:rPr>
        <w:t>$182.8 million, or 94.9% of revenue, during the three months ended March 31, 2025, compared with $243.4 million, or 96.5% of revenue, for the three months ended March 31, 2024. The $60.6 million decrease in product revenue for the three-month period ended March 31, 2025, in comparison to the same period in 2024, was primarily driven by a decrease in system sales.</w:t>
      </w:r>
    </w:p>
    <w:p>
      <w:pPr>
        <w:sectPr>
          <w:pgSz w:w="11900" w:h="16838" w:orient="portrait"/>
          <w:cols w:equalWidth="0" w:num="1">
            <w:col w:w="9140"/>
          </w:cols>
          <w:pgMar w:left="1360" w:top="513" w:right="1399"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40"/>
          </w:cols>
          <w:pgMar w:left="1360" w:top="513" w:right="13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Deferred revenue includes payments received in advance of system sales as well as deferral of revenue from systems sales for installation and other future performance obligations. The total amount of deferred revenue at March 31, 2025 and December 31, 2024 was $139.3 million and $138.2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$9.7 million, or 5.1% of revenue, for the three months ended March 31, 2025, compared with $9.0 million, or 3.5% of revenue, for the three months ended March 31, 2024.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420" w:hanging="328"/>
        <w:spacing w:after="0" w:line="250" w:lineRule="auto"/>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8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right="40" w:hanging="316"/>
        <w:spacing w:after="0" w:line="282"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320" w:hanging="316"/>
        <w:spacing w:after="0" w:line="261"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leading edge foundry and logic.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 and Systems Revenue</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Included in total revenue of $192.6 million during the three months ended March 31, 2025 is revenue from our Aftermarket business of $55.0 million, compared with $56.9 million of Aftermarket revenue for the three months ended March 31, 2024.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$137.6 million of revenue for the three months ended March 31, 2025 was systems revenue, compared with $195.5 million of systems revenue for the three months ended March 31, 2024. Systems revenue fluctuates from period to period based on our customers’ capital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00" w:type="dxa"/>
            <w:vAlign w:val="bottom"/>
            <w:gridSpan w:val="3"/>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bottom w:val="single" w:sz="8" w:color="auto"/>
            </w:tcBorders>
          </w:tcPr>
          <w:p>
            <w:pPr>
              <w:jc w:val="right"/>
              <w:ind w:right="3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8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88,324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115,506</w:t>
            </w:r>
          </w:p>
        </w:tc>
        <w:tc>
          <w:tcPr>
            <w:tcW w:w="180" w:type="dxa"/>
            <w:vAlign w:val="bottom"/>
          </w:tcPr>
          <w:p>
            <w:pPr>
              <w:spacing w:after="0"/>
              <w:rPr>
                <w:sz w:val="18"/>
                <w:szCs w:val="18"/>
                <w:color w:val="auto"/>
              </w:rPr>
            </w:pPr>
          </w:p>
        </w:tc>
        <w:tc>
          <w:tcPr>
            <w:tcW w:w="58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(23.5)</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48.3 %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47.5 %</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(18.5)</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0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6.1 %</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88,768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116,051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(23.5)</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46.1</w:t>
            </w:r>
          </w:p>
        </w:tc>
        <w:tc>
          <w:tcPr>
            <w:tcW w:w="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46.0</w:t>
            </w:r>
          </w:p>
        </w:tc>
        <w:tc>
          <w:tcPr>
            <w:tcW w:w="1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48.3% for the three months ended March 31, 2025, compared to 47.5% for the three months ended March 31, 2024. The increase in gross margin primarily resulted from a favorable mix of system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Gross margin from services revenue was 4.6% for the three months ended March 31, 2025, compared to 6.1% for the three months ended March 31, 2024. The decrease in gross margin is attributable to changes in the mix of service contracts.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vMerge w:val="continue"/>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27,128</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1,466</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5.7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14.1 %</w:t>
            </w:r>
          </w:p>
        </w:tc>
        <w:tc>
          <w:tcPr>
            <w:tcW w:w="4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10.2 %</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15,124</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(2,321)</w:t>
            </w: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i w:val="1"/>
                <w:iCs w:val="1"/>
                <w:color w:val="auto"/>
              </w:rPr>
              <w:t>(13.3)</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7.9 %</w:t>
            </w:r>
          </w:p>
        </w:tc>
        <w:tc>
          <w:tcPr>
            <w:tcW w:w="4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6.9 %</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17,357</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5.8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Pr>
          <w:p>
            <w:pPr>
              <w:spacing w:after="0"/>
              <w:rPr>
                <w:sz w:val="12"/>
                <w:szCs w:val="12"/>
                <w:color w:val="auto"/>
              </w:rPr>
            </w:pPr>
          </w:p>
        </w:tc>
        <w:tc>
          <w:tcPr>
            <w:tcW w:w="106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9.0 %</w:t>
            </w:r>
          </w:p>
        </w:tc>
        <w:tc>
          <w:tcPr>
            <w:tcW w:w="48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i w:val="1"/>
                <w:iCs w:val="1"/>
                <w:color w:val="auto"/>
              </w:rPr>
              <w:t>6.5 %</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59,609</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ind w:right="3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59,512</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gridSpan w:val="2"/>
            <w:shd w:val="clear" w:color="auto" w:fill="CCEEFF"/>
          </w:tcPr>
          <w:p>
            <w:pPr>
              <w:jc w:val="right"/>
              <w:ind w:right="4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0.2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w:t>
            </w: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31.0</w:t>
            </w:r>
          </w:p>
        </w:tc>
        <w:tc>
          <w:tcPr>
            <w:tcW w:w="2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23.6</w:t>
            </w:r>
          </w:p>
        </w:tc>
        <w:tc>
          <w:tcPr>
            <w:tcW w:w="2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wages,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Personnel costs are our largest expense, representing $35.4 million, or 59.4%, of our total operating expenses for the three months ended March 31, 2025, compared to $36.4 million, or 61.2%, of our total operating expenses for the three months ended March 31, 2024. The lower personnel costs for the three months ended March 31, 2025 are primarily due to a decrease in variable compensation expense and commissions, partially offset by increases in wages, stock-based compensation, and separation program expenses.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42"/>
        </w:trPr>
        <w:tc>
          <w:tcPr>
            <w:tcW w:w="39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r>
      <w:tr>
        <w:trPr>
          <w:trHeight w:val="129"/>
        </w:trPr>
        <w:tc>
          <w:tcPr>
            <w:tcW w:w="3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gridSpan w:val="4"/>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 xml:space="preserve">5.7 </w:t>
            </w:r>
            <w:r>
              <w:rPr>
                <w:rFonts w:ascii="Times New Roman" w:cs="Times New Roman" w:eastAsia="Times New Roman" w:hAnsi="Times New Roman"/>
                <w:sz w:val="16"/>
                <w:szCs w:val="16"/>
                <w:color w:val="auto"/>
              </w:rPr>
              <w:t>%</w:t>
            </w:r>
          </w:p>
        </w:tc>
      </w:tr>
      <w:tr>
        <w:trPr>
          <w:trHeight w:val="212"/>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14.1 %</w:t>
            </w:r>
          </w:p>
        </w:tc>
        <w:tc>
          <w:tcPr>
            <w:tcW w:w="2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10.2 %</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solve customers’ high value, high impact, ion implantation challenges.</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was $27.1 million during the three months ended March 31, 2025, an increase of $1.5 million, or 5.7%, compared with $25.7 million during the three months ended March 31, 2024. The increase is primarily due to higher project and consulting expenses and depreciation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1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80" w:type="dxa"/>
            <w:vAlign w:val="bottom"/>
            <w:gridSpan w:val="5"/>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28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820" w:type="dxa"/>
            <w:vAlign w:val="bottom"/>
            <w:tcBorders>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continue"/>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15,124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(2,321)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i w:val="1"/>
                <w:iCs w:val="1"/>
                <w:color w:val="auto"/>
              </w:rPr>
              <w:t>(13.3)</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4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7.9 %</w:t>
            </w:r>
          </w:p>
        </w:tc>
        <w:tc>
          <w:tcPr>
            <w:tcW w:w="220" w:type="dxa"/>
            <w:vAlign w:val="bottom"/>
          </w:tcPr>
          <w:p>
            <w:pPr>
              <w:spacing w:after="0"/>
              <w:rPr>
                <w:sz w:val="18"/>
                <w:szCs w:val="18"/>
                <w:color w:val="auto"/>
              </w:rPr>
            </w:pPr>
          </w:p>
        </w:tc>
        <w:tc>
          <w:tcPr>
            <w:tcW w:w="82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i w:val="1"/>
                <w:iCs w:val="1"/>
                <w:color w:val="auto"/>
              </w:rPr>
              <w:t>6.9 %</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$15.1 million during the three months ended March 31, 2025, a decrease of $2.3 million, or 13.3%, compared with $17.4 million during the three months ended March 31, 2024. The decrease is primarily due to a decrease in variable compensation and tool evaluation costs.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340" w:type="dxa"/>
            <w:vAlign w:val="bottom"/>
            <w:gridSpan w:val="5"/>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4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2"/>
                <w:szCs w:val="12"/>
                <w:color w:val="auto"/>
              </w:rPr>
            </w:pPr>
          </w:p>
        </w:tc>
      </w:tr>
      <w:tr>
        <w:trPr>
          <w:trHeight w:val="128"/>
        </w:trPr>
        <w:tc>
          <w:tcPr>
            <w:tcW w:w="4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8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i w:val="1"/>
                <w:iCs w:val="1"/>
                <w:color w:val="auto"/>
              </w:rPr>
              <w:t xml:space="preserve">5.8 </w:t>
            </w:r>
            <w:r>
              <w:rPr>
                <w:rFonts w:ascii="Times New Roman" w:cs="Times New Roman" w:eastAsia="Times New Roman" w:hAnsi="Times New Roman"/>
                <w:sz w:val="16"/>
                <w:szCs w:val="16"/>
                <w:color w:val="auto"/>
              </w:rPr>
              <w:t>%</w:t>
            </w:r>
          </w:p>
        </w:tc>
      </w:tr>
      <w:tr>
        <w:trPr>
          <w:trHeight w:val="212"/>
        </w:trPr>
        <w:tc>
          <w:tcPr>
            <w:tcW w:w="434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9.0 %</w:t>
            </w: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6.5 %</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201" w:lineRule="exact"/>
        <w:rPr>
          <w:sz w:val="20"/>
          <w:szCs w:val="20"/>
          <w:color w:val="auto"/>
        </w:rPr>
      </w:pPr>
    </w:p>
    <w:p>
      <w:pPr>
        <w:jc w:val="both"/>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$17.4 million during the three months ended March 31, 2025, an increase of $1.0 million, or 5.8%, compared with $16.4 million during the three months ended March 31, 2024. The increase is primarily due to professional fees and the recovery of a previously written-off receivable in the prior year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406"/>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400" w:type="dxa"/>
            <w:vAlign w:val="bottom"/>
          </w:tcPr>
          <w:p>
            <w:pPr>
              <w:spacing w:after="0"/>
              <w:rPr>
                <w:sz w:val="12"/>
                <w:szCs w:val="12"/>
                <w:color w:val="auto"/>
              </w:rPr>
            </w:pPr>
          </w:p>
        </w:tc>
      </w:tr>
      <w:tr>
        <w:trPr>
          <w:trHeight w:val="129"/>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 xml:space="preserve">59.6 </w:t>
            </w:r>
            <w:r>
              <w:rPr>
                <w:rFonts w:ascii="Times New Roman" w:cs="Times New Roman" w:eastAsia="Times New Roman" w:hAnsi="Times New Roman"/>
                <w:sz w:val="16"/>
                <w:szCs w:val="16"/>
                <w:color w:val="auto"/>
              </w:rPr>
              <w:t>%</w:t>
            </w:r>
          </w:p>
        </w:tc>
      </w:tr>
      <w:tr>
        <w:trPr>
          <w:trHeight w:val="212"/>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2.0 %</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r>
    </w:tbl>
    <w:p>
      <w:pPr>
        <w:spacing w:after="0" w:line="10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consists of interest earned and accretion on our invested cash balances, interest expense relating to the finance lease obligation we incurred in connection with the 2015 sale of our headquarters facility and other financing obligations as well as foreign exchange gains and losses attributable to both fluctuations of the U.S. dollar against local currencies of the countries in which we operate and forward currency exchange contracts.</w:t>
      </w:r>
    </w:p>
    <w:p>
      <w:pPr>
        <w:spacing w:after="0" w:line="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Other income was $3.9 million for the three months ended March 31, 2025, compared with other income of</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$2.5 million for the three months ended March 31, 2024. The $1.5 million increase in other income (expense) compared to the same prior year period was primarily due to a decrease in net foreign exchange losses of $1.4 million. Net foreign exchange losses for the three months ended March 31, 2025 includes $1.2 million of losses related to forward currency exchange contracts, partially offset by foreign exchange gains of $0.8 million. Net foreign exchange losses for the three months ended March 31, 2024 includes foreign exchange losses of $3.3 million, partially offset by foreign exchange gains of $1.5 million from forward currency exchange contracts.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4"/>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4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center"/>
              <w:ind w:left="40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7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2"/>
                <w:szCs w:val="12"/>
                <w:color w:val="auto"/>
              </w:rPr>
            </w:pPr>
          </w:p>
        </w:tc>
      </w:tr>
      <w:tr>
        <w:trPr>
          <w:trHeight w:val="129"/>
        </w:trPr>
        <w:tc>
          <w:tcPr>
            <w:tcW w:w="4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2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7,404</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(39.2)</w:t>
            </w:r>
            <w:r>
              <w:rPr>
                <w:rFonts w:ascii="Times New Roman" w:cs="Times New Roman" w:eastAsia="Times New Roman" w:hAnsi="Times New Roman"/>
                <w:sz w:val="16"/>
                <w:szCs w:val="16"/>
                <w:color w:val="auto"/>
              </w:rPr>
              <w:t>%</w:t>
            </w:r>
          </w:p>
        </w:tc>
      </w:tr>
      <w:tr>
        <w:trPr>
          <w:trHeight w:val="212"/>
        </w:trPr>
        <w:tc>
          <w:tcPr>
            <w:tcW w:w="402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r>
    </w:tbl>
    <w:p>
      <w:pPr>
        <w:spacing w:after="0" w:line="10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Income tax expense was $4.5 million for the three months ended March 31, 2025, compared to $7.4 million for the three months ended March 31, 2024. The $2.9 million decrease was primarily due to a decrease in pre-tax book income.</w:t>
      </w:r>
    </w:p>
    <w:p>
      <w:pPr>
        <w:spacing w:after="0" w:line="6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ETR for the three months ended March 31, 2025 was less than the U.S. statutory rate of 21% primarily attributable to Foreign Derived Intangible Income deduction and Federal research and development tax credits. The reported ETR for the three months ended March 31, 2025 was 13.6% compared to 12.5% for the respective 2024 period. The increase in the reported ETR is primarily related to a decrease in pre-tax book income and stock-based compensation.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March 31, 2025, we had $184.0 million in unrestricted cash and cash equivalents and $403.1 million in short-term investments, in addition to $7.6 million in restricted cash. Management believes that maintaining a strong cash balance is necessary to fund a continuing ramp in our business which can require significant cash investment to meet sudden demand. Additionally, we are using cash to repurchase shares as part of our stock repurchase program and are considering both organic and inorganic opportunities to drive future growth, for which cash resources will be necessary.</w:t>
      </w:r>
    </w:p>
    <w:p>
      <w:pPr>
        <w:spacing w:after="0" w:line="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sales of our products, and others relate to the uncertainties of global economic conditions, including tariff programs implemented in countries in which we operate as well as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3"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we generated $39.8 million and $42.2 million, respectively, of cash related to operating activities.</w:t>
      </w:r>
    </w:p>
    <w:p>
      <w:pPr>
        <w:spacing w:after="0" w:line="6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Investing activities for the three months ended March 31, 2025 resulted in cash generated of $40.5 million, $5.0 million of which was used for capital expenditures and $252.5 million of which was used to purchase short-term</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investments, offset by $297.9 million related to maturities and sales of short-term investments. Investing activities for the three months ended March 31, 2024 resulted in cash outflows of $55.7 million, $1.6 million of which was used for capital expenditures and $145.1 million of which was used to purchase short-term investments, offset by $91.1 million related to maturities of short-term investments.</w:t>
      </w:r>
    </w:p>
    <w:p>
      <w:pPr>
        <w:spacing w:after="0" w:line="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Financing activities for the three months ended March 31, 2025 resulted in a cash usage of $20.1 million. During the first three months of 2025, (i) $18.2 million in cash was used to repurchase our common stock, (ii) $1.6 million was used for payments to government tax authorities for income tax withholding on employee compensation arising from the vesting of RSUs, where units are withheld by us to cover taxes, and (iii) $0.3 million was used to reduce the liability under the finance lease of our corporate headquarters. In comparison, financing activities for the three months ended March 31, 2024 resulted in cash usage of $18.1 million, of which (i) $15.0 million related to the repurchase of our common stock (ii) $2.7 million related to payments made to government tax authorities for income tax withholding on employee compensation arising from the vesting of RSUs, and (iii) $0.4 million relating to the reduction of our finance lease liability.</w:t>
      </w:r>
    </w:p>
    <w:p>
      <w:pPr>
        <w:spacing w:after="0" w:line="19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we had a security deposit of $5.9 million related to the lease of our corporate headquarters in the form of a cash collateralized letter of credit issued with UBS Bank USA, which is classified as long-term restricted cash on our balance sheet.</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and cash equivalents will be sufficient to satisfy our anticipated cash requirements for the short- and long-term.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March 31, 2025 are consistent with those discussed in Item 7, “Management’s Discussion and Analysis of Financial Condition and Results of Operations,” and Note 16 to the consolidated financial statements included in our 2024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jc w:val="both"/>
        <w:ind w:right="620" w:firstLine="648"/>
        <w:spacing w:after="0" w:line="312" w:lineRule="auto"/>
        <w:rPr>
          <w:sz w:val="20"/>
          <w:szCs w:val="20"/>
          <w:color w:val="auto"/>
        </w:rPr>
      </w:pPr>
      <w:r>
        <w:rPr>
          <w:rFonts w:ascii="Times New Roman" w:cs="Times New Roman" w:eastAsia="Times New Roman" w:hAnsi="Times New Roman"/>
          <w:sz w:val="17"/>
          <w:szCs w:val="17"/>
          <w:color w:val="auto"/>
        </w:rPr>
        <w:t>As of March 31, 2025, there have been no material changes to the quantitative information about market risk disclosed in Item 7A, “Quantitative and Qualitative Disclosures about Market Risk” included in our 2024 Form 10-K.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March 31, 2025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there have been no material changes to the risk factors described in Item 1A, “Risk Factors” included in our 2024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4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up to $100 million of the Company’s common stock. This program was announced on March 1, 2022. In August 2023, our Board of Directors approved additional funding of $200 million for our stock repurchase program, to be available upon the full utilization of the $100 million repurchase funding approved in February 2022. In March 2025, we announced that the Board of Directors approved an additional funding of $100 million for share repurchases. The Company’s share repurchase program does not have an expiration date.</w:t>
      </w:r>
    </w:p>
    <w:p>
      <w:pPr>
        <w:spacing w:after="0" w:line="12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based upon settlement date, for the three months ended March 31, 2025 as well as the approximate dollar value of shares that may yet be purchased pursuant to our stock repurchase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5"/>
                <w:szCs w:val="15"/>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5"/>
                <w:szCs w:val="15"/>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tcPr>
          <w:p>
            <w:pPr>
              <w:spacing w:after="0"/>
              <w:rPr>
                <w:sz w:val="12"/>
                <w:szCs w:val="12"/>
                <w:color w:val="auto"/>
              </w:rPr>
            </w:pPr>
          </w:p>
        </w:tc>
        <w:tc>
          <w:tcPr>
            <w:tcW w:w="164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except per share amounts)</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 through January 31</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50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$71.10</w:t>
            </w: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118,388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February 1 through February 28</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50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$62.05</w:t>
            </w:r>
          </w:p>
        </w:tc>
        <w:tc>
          <w:tcPr>
            <w:tcW w:w="120" w:type="dxa"/>
            <w:vAlign w:val="bottom"/>
          </w:tcPr>
          <w:p>
            <w:pPr>
              <w:spacing w:after="0"/>
              <w:rPr>
                <w:sz w:val="12"/>
                <w:szCs w:val="12"/>
                <w:color w:val="auto"/>
              </w:rPr>
            </w:pPr>
          </w:p>
        </w:tc>
        <w:tc>
          <w:tcPr>
            <w:tcW w:w="1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115,012</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1 through March 31</w:t>
            </w: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50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$56.14</w:t>
            </w:r>
          </w:p>
        </w:tc>
        <w:tc>
          <w:tcPr>
            <w:tcW w:w="12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ind w:right="568"/>
              <w:spacing w:after="0" w:line="149" w:lineRule="exact"/>
              <w:rPr>
                <w:sz w:val="20"/>
                <w:szCs w:val="20"/>
                <w:color w:val="auto"/>
              </w:rPr>
            </w:pPr>
            <w:r>
              <w:rPr>
                <w:rFonts w:ascii="Times New Roman" w:cs="Times New Roman" w:eastAsia="Times New Roman" w:hAnsi="Times New Roman"/>
                <w:sz w:val="14"/>
                <w:szCs w:val="14"/>
                <w:color w:val="auto"/>
              </w:rPr>
              <w:t>211,834</w:t>
            </w:r>
          </w:p>
        </w:tc>
        <w:tc>
          <w:tcPr>
            <w:tcW w:w="2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w w:val="97"/>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gridSpan w:val="2"/>
          </w:tcPr>
          <w:p>
            <w:pPr>
              <w:ind w:left="8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360" w:firstLine="5"/>
        <w:spacing w:after="0" w:line="282" w:lineRule="auto"/>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the dollar value available for repurchases under the program at March 31, 2025 reflects the additional funding authorized under the program in March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2025, no director or officer adopted or terminated any contract, instrument or written plan for the purchase or sale of Axcelis securities intended to satisfy the affirmative defense conditions of Rule 10b5-1(c) under the Exchange Act or any non-Rule 10b5-1 trading arrangement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gridSpan w:val="15"/>
          </w:tcPr>
          <w:p>
            <w:pPr>
              <w:ind w:left="66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6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8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7940" w:type="dxa"/>
            <w:vAlign w:val="bottom"/>
            <w:tcBorders>
              <w:top w:val="single" w:sz="8" w:color="auto"/>
            </w:tcBorders>
            <w:gridSpan w:val="13"/>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7940" w:type="dxa"/>
            <w:vAlign w:val="bottom"/>
            <w:gridSpan w:val="13"/>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the Restated Certificate of Incorporation of the Company filed May 9, 2024.</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Incorporated by reference to Exhibit 3.1 of the Company’s Form 8-K filed with the Commission on May 9,</w:t>
              </w:r>
            </w:hyperlink>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hyperlink>
          </w:p>
        </w:tc>
        <w:tc>
          <w:tcPr>
            <w:tcW w:w="20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80" w:type="dxa"/>
            <w:vAlign w:val="bottom"/>
          </w:tcPr>
          <w:p>
            <w:pPr>
              <w:spacing w:after="0"/>
              <w:rPr>
                <w:sz w:val="24"/>
                <w:szCs w:val="24"/>
                <w:color w:val="auto"/>
              </w:rPr>
            </w:pPr>
          </w:p>
        </w:tc>
        <w:tc>
          <w:tcPr>
            <w:tcW w:w="7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Bylaws of the Company, as amended as of May 11, 2022. Incorporated by reference to Exhibit 3.2 of the</w:t>
              </w:r>
            </w:hyperlink>
          </w:p>
        </w:tc>
        <w:tc>
          <w:tcPr>
            <w:tcW w:w="34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Company’s Form 8-K filed with the Commision on May 11, 2022.</w:t>
              </w:r>
            </w:hyperlink>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dated May 6, 2025.</w:t>
            </w:r>
          </w:p>
        </w:tc>
        <w:tc>
          <w:tcPr>
            <w:tcW w:w="4280" w:type="dxa"/>
            <w:vAlign w:val="bottom"/>
            <w:tcBorders>
              <w:top w:val="single" w:sz="8" w:color="0000EE"/>
            </w:tcBorders>
            <w:gridSpan w:val="8"/>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80" w:type="dxa"/>
            <w:vAlign w:val="bottom"/>
          </w:tcPr>
          <w:p>
            <w:pPr>
              <w:spacing w:after="0"/>
              <w:rPr>
                <w:sz w:val="24"/>
                <w:szCs w:val="24"/>
                <w:color w:val="auto"/>
              </w:rPr>
            </w:pPr>
          </w:p>
        </w:tc>
        <w:tc>
          <w:tcPr>
            <w:tcW w:w="7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dated May 6, 2025.</w:t>
            </w:r>
          </w:p>
        </w:tc>
      </w:tr>
      <w:tr>
        <w:trPr>
          <w:trHeight w:val="20"/>
        </w:trPr>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79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May 6, 2025.</w:t>
            </w:r>
          </w:p>
        </w:tc>
        <w:tc>
          <w:tcPr>
            <w:tcW w:w="1600" w:type="dxa"/>
            <w:vAlign w:val="bottom"/>
            <w:tcBorders>
              <w:top w:val="single" w:sz="8" w:color="0000EE"/>
            </w:tcBorders>
            <w:gridSpan w:val="3"/>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74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May 6, 2025.</w:t>
            </w:r>
          </w:p>
        </w:tc>
        <w:tc>
          <w:tcPr>
            <w:tcW w:w="2080" w:type="dxa"/>
            <w:vAlign w:val="bottom"/>
            <w:gridSpan w:val="8"/>
          </w:tcPr>
          <w:p>
            <w:pPr>
              <w:spacing w:after="0"/>
              <w:rPr>
                <w:sz w:val="17"/>
                <w:szCs w:val="17"/>
                <w:color w:val="auto"/>
              </w:rPr>
            </w:pPr>
          </w:p>
        </w:tc>
      </w:tr>
    </w:tbl>
    <w:p>
      <w:pPr>
        <w:spacing w:after="0" w:line="225" w:lineRule="exact"/>
        <w:rPr>
          <w:sz w:val="20"/>
          <w:szCs w:val="20"/>
          <w:color w:val="auto"/>
        </w:rPr>
      </w:pPr>
    </w:p>
    <w:p>
      <w:pPr>
        <w:ind w:left="1180" w:right="120" w:hanging="899"/>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materials from the Company’s Form 10-Q for the quarter ended March 31, 2025, formatted in inline eXtensible Business Reporting Language (iXBRL): (i) Consolidated Statements of Operations,</w:t>
      </w:r>
    </w:p>
    <w:p>
      <w:pPr>
        <w:ind w:left="1180" w:right="100" w:hanging="1"/>
        <w:spacing w:after="0" w:line="290" w:lineRule="auto"/>
        <w:tabs>
          <w:tab w:leader="none" w:pos="144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28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iXBRL and contained in 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right="480" w:firstLine="5"/>
        <w:spacing w:after="0" w:line="260" w:lineRule="auto"/>
        <w:tabs>
          <w:tab w:leader="none" w:pos="22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being furnished rather than filed, and shall not be deemed incorporated by reference into any filing, in accordance with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May 6, 2025</w:t>
      </w:r>
      <w:r>
        <w:rPr>
          <w:sz w:val="20"/>
          <w:szCs w:val="20"/>
          <w:color w:val="auto"/>
        </w:rPr>
        <w:tab/>
      </w:r>
      <w:r>
        <w:rPr>
          <w:rFonts w:ascii="Times New Roman" w:cs="Times New Roman" w:eastAsia="Times New Roman" w:hAnsi="Times New Roman"/>
          <w:sz w:val="18"/>
          <w:szCs w:val="18"/>
          <w:color w:val="auto"/>
        </w:rPr>
        <w:t>By:  /s/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James G. Coogan</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29" w:name="page30"/>
    <w:bookmarkEnd w:id="2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Russell J. Low, certify that:</w:t>
      </w:r>
    </w:p>
    <w:p>
      <w:pPr>
        <w:spacing w:after="0" w:line="225" w:lineRule="exact"/>
        <w:rPr>
          <w:sz w:val="20"/>
          <w:szCs w:val="20"/>
          <w:color w:val="auto"/>
        </w:rPr>
      </w:pPr>
    </w:p>
    <w:p>
      <w:pPr>
        <w:ind w:left="540" w:hanging="490"/>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0" w:name="page31"/>
    <w:bookmarkEnd w:id="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James G. Coogan, certify that:</w:t>
      </w:r>
    </w:p>
    <w:p>
      <w:pPr>
        <w:spacing w:after="0" w:line="225" w:lineRule="exact"/>
        <w:rPr>
          <w:sz w:val="20"/>
          <w:szCs w:val="20"/>
          <w:color w:val="auto"/>
        </w:rPr>
      </w:pPr>
    </w:p>
    <w:p>
      <w:pPr>
        <w:ind w:left="540" w:hanging="490"/>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11" w:lineRule="exact"/>
        <w:rPr>
          <w:rFonts w:ascii="Times New Roman" w:cs="Times New Roman" w:eastAsia="Times New Roman" w:hAnsi="Times New Roman"/>
          <w:sz w:val="18"/>
          <w:szCs w:val="18"/>
          <w:color w:val="auto"/>
        </w:rPr>
      </w:pPr>
    </w:p>
    <w:p>
      <w:pPr>
        <w:ind w:left="540" w:right="459" w:hanging="490"/>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60" w:right="159" w:hanging="495"/>
        <w:spacing w:after="0" w:line="266" w:lineRule="auto"/>
        <w:tabs>
          <w:tab w:leader="none" w:pos="10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60" w:right="79" w:hanging="495"/>
        <w:spacing w:after="0" w:line="255" w:lineRule="auto"/>
        <w:tabs>
          <w:tab w:leader="none" w:pos="10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May 6, 2025</w:t>
      </w:r>
      <w:r>
        <w:rPr>
          <w:sz w:val="20"/>
          <w:szCs w:val="20"/>
          <w:color w:val="auto"/>
        </w:rPr>
        <w:tab/>
      </w:r>
      <w:r>
        <w:rPr>
          <w:rFonts w:ascii="Times New Roman" w:cs="Times New Roman" w:eastAsia="Times New Roman" w:hAnsi="Times New Roman"/>
          <w:sz w:val="17"/>
          <w:szCs w:val="17"/>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6,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RUSSELL J.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Russell J. Low</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6, 2025.</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JAMES G.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James G. Coogan</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upp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Roman"/>
      <w:start w:val="2"/>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30" Type="http://schemas.openxmlformats.org/officeDocument/2006/relationships/hyperlink" Target="https://www.sec.gov/ix?doc=/Archives/edgar/data/1113232/000155837025001855/acls-20241231x10k.htm" TargetMode="External"/><Relationship Id="rId39" Type="http://schemas.openxmlformats.org/officeDocument/2006/relationships/hyperlink" Target="http://www.sec.gov/Archives/edgar/data/1113232/000155837017008078/acls-20170930ex31a83feb6.htm" TargetMode="External"/><Relationship Id="rId40" Type="http://schemas.openxmlformats.org/officeDocument/2006/relationships/hyperlink" Target="https://www.sec.gov/Archives/edgar/data/1113232/000110465924059307/tm2413500d1_ex3-1.htm" TargetMode="External"/><Relationship Id="rId41"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2025-05-06T16:26:58Z</dcterms:created>
  <dcterms:modified xsi:type="dcterms:W3CDTF">2025-05-06T16:26:58Z</dcterms:modified>
</cp:coreProperties>
</file>