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40" w:right="1260" w:hanging="32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ind w:left="320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34-1818596</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67" w:lineRule="exact"/>
        <w:rPr>
          <w:sz w:val="24"/>
          <w:szCs w:val="24"/>
          <w:color w:val="auto"/>
        </w:rPr>
      </w:pPr>
    </w:p>
    <w:p>
      <w:pPr>
        <w:ind w:right="28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right="20" w:firstLine="23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9" w:lineRule="exact"/>
        <w:rPr>
          <w:sz w:val="24"/>
          <w:szCs w:val="24"/>
          <w:color w:val="auto"/>
        </w:rPr>
      </w:pPr>
    </w:p>
    <w:p>
      <w:pPr>
        <w:ind w:right="16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56"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280" w:space="720"/>
            <w:col w:w="3220"/>
          </w:cols>
          <w:pgMar w:left="840" w:top="665" w:right="839" w:bottom="1440" w:gutter="0" w:footer="0" w:header="0"/>
          <w:type w:val="continuous"/>
        </w:sectPr>
      </w:pPr>
    </w:p>
    <w:p>
      <w:pPr>
        <w:ind w:left="1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3">
            <w:col w:w="5880" w:space="720"/>
            <w:col w:w="1960" w:space="100"/>
            <w:col w:w="1560"/>
          </w:cols>
          <w:pgMar w:left="840" w:top="665" w:right="839" w:bottom="1440" w:gutter="0" w:footer="0" w:header="0"/>
          <w:type w:val="continuous"/>
        </w:sectPr>
      </w:pPr>
    </w:p>
    <w:p>
      <w:pPr>
        <w:ind w:right="200" w:firstLine="233"/>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220" w:right="840" w:hanging="3"/>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31, 2020 there were 33,465,170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60" w:type="dxa"/>
            <w:vAlign w:val="bottom"/>
            <w:gridSpan w:val="2"/>
          </w:tcPr>
          <w:p>
            <w:pPr>
              <w:ind w:left="27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459"/>
        </w:trPr>
        <w:tc>
          <w:tcPr>
            <w:tcW w:w="8760" w:type="dxa"/>
            <w:vAlign w:val="bottom"/>
            <w:gridSpan w:val="4"/>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360" w:type="dxa"/>
            <w:vAlign w:val="bottom"/>
          </w:tcPr>
          <w:p>
            <w:pPr>
              <w:spacing w:after="0"/>
              <w:rPr>
                <w:sz w:val="24"/>
                <w:szCs w:val="24"/>
                <w:color w:val="auto"/>
              </w:rPr>
            </w:pP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 (Unaudited)</w:t>
              </w:r>
            </w:hyperlink>
          </w:p>
        </w:tc>
        <w:tc>
          <w:tcPr>
            <w:tcW w:w="360" w:type="dxa"/>
            <w:vAlign w:val="bottom"/>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for the three and six months ended June 30,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740" w:type="dxa"/>
            <w:vAlign w:val="bottom"/>
          </w:tcPr>
          <w:p>
            <w:pPr>
              <w:spacing w:after="0"/>
              <w:rPr>
                <w:sz w:val="17"/>
                <w:szCs w:val="17"/>
                <w:color w:val="auto"/>
              </w:rPr>
            </w:pPr>
          </w:p>
        </w:tc>
        <w:tc>
          <w:tcPr>
            <w:tcW w:w="8020" w:type="dxa"/>
            <w:vAlign w:val="bottom"/>
            <w:gridSpan w:val="3"/>
          </w:tcPr>
          <w:p>
            <w:pPr>
              <w:spacing w:after="0" w:line="202"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Comprehensive Income for the three and six months ended June 30, 2020 and</w:t>
              </w:r>
            </w:hyperlink>
          </w:p>
        </w:tc>
        <w:tc>
          <w:tcPr>
            <w:tcW w:w="36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360" w:type="dxa"/>
            <w:vAlign w:val="bottom"/>
            <w:tcBorders>
              <w:top w:val="single" w:sz="8" w:color="0000EE"/>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726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40" w:type="dxa"/>
            <w:vAlign w:val="bottom"/>
          </w:tcPr>
          <w:p>
            <w:pPr>
              <w:spacing w:after="0"/>
              <w:rPr>
                <w:sz w:val="22"/>
                <w:szCs w:val="22"/>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June 30, 2020 and December 31,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w w:val="91"/>
              </w:rPr>
            </w:pPr>
            <w:hyperlink w:anchor="page6">
              <w:r>
                <w:rPr>
                  <w:rFonts w:ascii="Arial" w:cs="Arial" w:eastAsia="Arial" w:hAnsi="Arial"/>
                  <w:sz w:val="18"/>
                  <w:szCs w:val="18"/>
                  <w:u w:val="single" w:color="auto"/>
                  <w:color w:val="0000EE"/>
                  <w:w w:val="91"/>
                </w:rPr>
                <w:t>Consolidated Statements of Stockholders’ Equity for the three and six months ended June 30,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six months ended June 30, 2020 and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Item 2.</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Overview</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Critical Accounting Estimates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0" w:type="dxa"/>
            <w:vAlign w:val="bottom"/>
          </w:tcPr>
          <w:p>
            <w:pPr>
              <w:spacing w:after="0"/>
              <w:rPr>
                <w:sz w:val="21"/>
                <w:szCs w:val="21"/>
                <w:color w:val="auto"/>
              </w:rPr>
            </w:pPr>
          </w:p>
        </w:tc>
        <w:tc>
          <w:tcPr>
            <w:tcW w:w="8020" w:type="dxa"/>
            <w:vAlign w:val="bottom"/>
            <w:gridSpan w:val="3"/>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Liquidity and Capital Resources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Item 3.</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Item 4.</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760" w:type="dxa"/>
            <w:vAlign w:val="bottom"/>
            <w:gridSpan w:val="4"/>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 -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1.</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1A.</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2.</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3.</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4.</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Item 5.</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0" w:type="dxa"/>
            <w:vAlign w:val="bottom"/>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Item 6.</w:t>
              </w:r>
            </w:hyperlink>
          </w:p>
        </w:tc>
        <w:tc>
          <w:tcPr>
            <w:tcW w:w="8020" w:type="dxa"/>
            <w:vAlign w:val="bottom"/>
            <w:gridSpan w:val="3"/>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905"/>
        </w:trPr>
        <w:tc>
          <w:tcPr>
            <w:tcW w:w="740" w:type="dxa"/>
            <w:vAlign w:val="bottom"/>
          </w:tcPr>
          <w:p>
            <w:pPr>
              <w:spacing w:after="0"/>
              <w:rPr>
                <w:sz w:val="24"/>
                <w:szCs w:val="24"/>
                <w:color w:val="auto"/>
              </w:rPr>
            </w:pPr>
          </w:p>
        </w:tc>
        <w:tc>
          <w:tcPr>
            <w:tcW w:w="7620" w:type="dxa"/>
            <w:vAlign w:val="bottom"/>
            <w:gridSpan w:val="2"/>
          </w:tcPr>
          <w:p>
            <w:pPr>
              <w:ind w:left="37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7" w:right="1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117,194</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68,714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229,327</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152,911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122,965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241,956</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165,782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132,691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71,066</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96,527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17,641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19,077</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67,364</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Shares used in computing net income per share: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weighted average common shares</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33,116</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32,729</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32,998</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32,706</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 weighted average common shares</w:t>
            </w: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33,958</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33,901</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34,023</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34,064</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$ 24,523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$ 6,618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w w:val="95"/>
              </w:rPr>
              <w:t>Amortization of actuarial loss and other adjustments from pension plan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$ 14,195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$ 24,361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$ 5,963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190,340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12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588,564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548,094</w:t>
            </w:r>
          </w:p>
        </w:tc>
        <w:tc>
          <w:tcPr>
            <w:tcW w:w="12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143,540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128,667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$0.001 par value, 75,000 shares authorized; 33,433 shares issued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outstanding at June 30, 2020; 32,585 shares issued and outstanding at December 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562,839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559,878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(140,226)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419,427</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588,564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548,094</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5"/>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Deficit</w:t>
            </w: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32,558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$ 565,116</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(157,260)</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408,337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6,062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00" w:type="dxa"/>
            <w:vAlign w:val="bottom"/>
            <w:gridSpan w:val="2"/>
          </w:tcPr>
          <w:p>
            <w:pPr>
              <w:spacing w:after="0"/>
              <w:rPr>
                <w:sz w:val="20"/>
                <w:szCs w:val="20"/>
                <w:color w:val="auto"/>
              </w:rPr>
            </w:pPr>
            <w:r>
              <w:rPr>
                <w:rFonts w:ascii="Arial" w:cs="Arial" w:eastAsia="Arial" w:hAnsi="Arial"/>
                <w:sz w:val="16"/>
                <w:szCs w:val="16"/>
                <w:color w:val="auto"/>
              </w:rPr>
              <w:t>Issuance of restricted common shares,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spacing w:after="0"/>
              <w:rPr>
                <w:sz w:val="20"/>
                <w:szCs w:val="20"/>
                <w:color w:val="auto"/>
              </w:rPr>
            </w:pPr>
            <w:r>
              <w:rPr>
                <w:rFonts w:ascii="Arial" w:cs="Arial" w:eastAsia="Arial" w:hAnsi="Arial"/>
                <w:sz w:val="16"/>
                <w:szCs w:val="16"/>
                <w:color w:val="auto"/>
              </w:rPr>
              <w:t>net of shares withheld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(281)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Balance at March 31, 2019</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32,881</w:t>
            </w:r>
          </w:p>
        </w:tc>
        <w:tc>
          <w:tcPr>
            <w:tcW w:w="1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5"/>
              </w:rPr>
              <w:t>$ 568,335</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(151,198)</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417,153</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0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Issuance of shares under Employee Stock Purchase</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Plan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2"/>
          </w:tcPr>
          <w:p>
            <w:pPr>
              <w:spacing w:after="0"/>
              <w:rPr>
                <w:sz w:val="20"/>
                <w:szCs w:val="20"/>
                <w:color w:val="auto"/>
              </w:rPr>
            </w:pPr>
            <w:r>
              <w:rPr>
                <w:rFonts w:ascii="Arial" w:cs="Arial" w:eastAsia="Arial" w:hAnsi="Arial"/>
                <w:sz w:val="16"/>
                <w:szCs w:val="16"/>
                <w:color w:val="auto"/>
              </w:rPr>
              <w:t>Issuance of restricted common shares,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spacing w:after="0"/>
              <w:rPr>
                <w:sz w:val="20"/>
                <w:szCs w:val="20"/>
                <w:color w:val="auto"/>
              </w:rPr>
            </w:pPr>
            <w:r>
              <w:rPr>
                <w:rFonts w:ascii="Arial" w:cs="Arial" w:eastAsia="Arial" w:hAnsi="Arial"/>
                <w:sz w:val="16"/>
                <w:szCs w:val="16"/>
                <w:color w:val="auto"/>
              </w:rPr>
              <w:t>net of shares withheld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(1,310)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(885)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(14,034)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June 30, 2019</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32,297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$ 556,283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(150,642)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405,466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Shares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2"/>
                <w:szCs w:val="12"/>
                <w:color w:val="auto"/>
              </w:rPr>
            </w:pPr>
          </w:p>
        </w:tc>
        <w:tc>
          <w:tcPr>
            <w:tcW w:w="108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32,585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$ 559,878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(140,226)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11,221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2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4,498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color w:val="auto"/>
                <w:w w:val="95"/>
              </w:rPr>
              <w:t>Issuance of shares under Employee Stock Purchase</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Plan</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common shares,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net of shares withheld</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1,724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(5,775)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March 31, 2020</w:t>
            </w:r>
          </w:p>
        </w:tc>
        <w:tc>
          <w:tcPr>
            <w:tcW w:w="20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3"/>
              </w:rPr>
              <w:t>32,837</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2"/>
              </w:rPr>
              <w:t>$ 559,182</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(130,730)</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(1,313)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427,172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5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auto"/>
              </w:rPr>
              <w:t>2,783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shares under Employee Stock Purchase</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Plan</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net of shares withheld</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200" w:type="dxa"/>
            <w:vAlign w:val="bottom"/>
          </w:tcPr>
          <w:p>
            <w:pPr>
              <w:spacing w:after="0"/>
              <w:rPr>
                <w:sz w:val="17"/>
                <w:szCs w:val="17"/>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3"/>
              </w:rPr>
              <w:t>33,433</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2"/>
              </w:rPr>
              <w:t>$ 562,839</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(117,428)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ectPr>
          <w:pgSz w:w="11900" w:h="16838" w:orient="portrait"/>
          <w:cols w:equalWidth="0" w:num="1">
            <w:col w:w="9200"/>
          </w:cols>
          <w:pgMar w:left="1340" w:top="517" w:right="1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394335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40" w:top="517" w:right="13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24,523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6,618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Adjustments to reconcile net income to net cash provided by (used in) operating</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Changes in operating assets &amp;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(21,559)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Repurchase of common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146,534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184,902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197,016</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143,164</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balance sheet at December 31, 2019 has been derived from the audited consolidated financial statements at that date but does not include all of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the Axcelis Technologies, Inc. 2012 Equity Incentive Plan (the “2012 Equity Plan”), which became effective on May 2, 2012, and permits the issuance of options, restricted stock, restricted stock units (“RSUs”) and performance awards to selected employees, directors and consultants of the Company. Our 2000 Stock Plan (the “2000 Stock Plan”) expired on May 1, 2012 and no new grants may be made under that plan after that date. However, unexpired options granted under the 2000 Stock Plan, which have a 10 year term, remain outstanding and subject to the terms of the 2000 Stock Plan. We also maintain the Axcelis Technologies, Inc. 2020 Employee Stock Purchase Plan (the “ESPP”), an Internal Revenue Code Section 423 plan.</w:t>
      </w:r>
    </w:p>
    <w:p>
      <w:pPr>
        <w:spacing w:after="0" w:line="19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2012 Equity Plan and the ESPP are more fully described in Note 13 to the consolidated financial statements in our Annual Report on Form 10-K for the year ended December 31, 2019.</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recognized stock-based compensation expense of $3.1 million and $2.3 million for the three month periods ended June 30, 2020 and 2019, respectively. We recognized stock-based compensation expense of $4.8 million and $4.0 million for the six month periods ended June 30, 2020 and 2019, respectively. These amounts include compensation expense related to RSUs, non-qualified stock options and stock to be issued to participants under the ESPP.</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three month periods ended June 30, 2020 and 2019, we issued 0.6 million and 0.3 million shares of common stock, respectively, upon stock option exercises, purchases under the ESPP and vesting of RSUs. In the three month periods ended June 30, 2020 and 2019, we received proceeds of $3.3 million and $1.0 million, respectively, in connection with the exercise of stock options and ESPP purchases.</w:t>
      </w:r>
    </w:p>
    <w:p>
      <w:pPr>
        <w:spacing w:after="0" w:line="187"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In the six month periods ended June 30, 2020 and 2019, we issued 1.2 million and 0.6 million shares of common stock, respectively, upon stock option exercises, purchases under the ESPP and vesting of RSUs. In the six month periods ended June 30, 2020 and 2019, we received proceeds of $7.8 million and $2.8 million, respectively, in connection with the exercise of stock options and ESPP purchases.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have operating leases for office space, warehouse space, computer and office equipment and vehicles used in our business operations. We have a finance lease as a result of the 2015 sale-leaseback of our corporate headquarters in</w:t>
      </w:r>
    </w:p>
    <w:p>
      <w:pPr>
        <w:sectPr>
          <w:pgSz w:w="11900" w:h="16838" w:orient="portrait"/>
          <w:cols w:equalWidth="0" w:num="1">
            <w:col w:w="9120"/>
          </w:cols>
          <w:pgMar w:left="1380" w:top="517" w:right="13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Beverly, Massachusetts. All new agreements are reviewed to determine if they contain a lease component. A lease is a contract or part of a contract that conveys the right to control the use of identified property, plant or equipment for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are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35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00" w:type="dxa"/>
            <w:vAlign w:val="bottom"/>
          </w:tcPr>
          <w:p>
            <w:pPr>
              <w:spacing w:after="0" w:line="142" w:lineRule="exact"/>
              <w:rPr>
                <w:sz w:val="20"/>
                <w:szCs w:val="20"/>
                <w:color w:val="auto"/>
              </w:rPr>
            </w:pPr>
            <w:r>
              <w:rPr>
                <w:rFonts w:ascii="Arial" w:cs="Arial" w:eastAsia="Arial" w:hAnsi="Arial"/>
                <w:sz w:val="14"/>
                <w:szCs w:val="14"/>
                <w:b w:val="1"/>
                <w:bCs w:val="1"/>
                <w:color w:val="auto"/>
              </w:rPr>
              <w:t>Assets</w:t>
            </w:r>
          </w:p>
        </w:tc>
        <w:tc>
          <w:tcPr>
            <w:tcW w:w="3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right"/>
              <w:ind w:right="508"/>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w:t>
            </w:r>
          </w:p>
        </w:tc>
        <w:tc>
          <w:tcPr>
            <w:tcW w:w="358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Operating lease assets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5,033</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color w:val="auto"/>
              </w:rPr>
              <w:t>Finance lease</w:t>
            </w:r>
          </w:p>
        </w:tc>
        <w:tc>
          <w:tcPr>
            <w:tcW w:w="3580" w:type="dxa"/>
            <w:vAlign w:val="bottom"/>
          </w:tcPr>
          <w:p>
            <w:pPr>
              <w:ind w:left="1780"/>
              <w:spacing w:after="0"/>
              <w:rPr>
                <w:sz w:val="20"/>
                <w:szCs w:val="20"/>
                <w:color w:val="auto"/>
              </w:rPr>
            </w:pPr>
            <w:r>
              <w:rPr>
                <w:rFonts w:ascii="Arial" w:cs="Arial" w:eastAsia="Arial" w:hAnsi="Arial"/>
                <w:sz w:val="14"/>
                <w:szCs w:val="14"/>
                <w:color w:val="auto"/>
              </w:rPr>
              <w:t>Finance lease assets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5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26,233</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gridSpan w:val="2"/>
            <w:vMerge w:val="continue"/>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580" w:type="dxa"/>
            <w:vAlign w:val="bottom"/>
          </w:tcPr>
          <w:p>
            <w:pPr>
              <w:ind w:left="1780"/>
              <w:spacing w:after="0"/>
              <w:rPr>
                <w:sz w:val="20"/>
                <w:szCs w:val="20"/>
                <w:color w:val="auto"/>
              </w:rPr>
            </w:pPr>
            <w:r>
              <w:rPr>
                <w:rFonts w:ascii="Arial" w:cs="Arial" w:eastAsia="Arial" w:hAnsi="Arial"/>
                <w:sz w:val="14"/>
                <w:szCs w:val="14"/>
                <w:color w:val="auto"/>
              </w:rPr>
              <w:t>Other current liabilities</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2,989</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3580" w:type="dxa"/>
            <w:vAlign w:val="bottom"/>
            <w:shd w:val="clear" w:color="auto" w:fill="CCEEFF"/>
          </w:tcPr>
          <w:p>
            <w:pPr>
              <w:ind w:left="1780"/>
              <w:spacing w:after="0" w:line="130" w:lineRule="exact"/>
              <w:rPr>
                <w:sz w:val="20"/>
                <w:szCs w:val="20"/>
                <w:color w:val="auto"/>
              </w:rPr>
            </w:pPr>
            <w:r>
              <w:rPr>
                <w:rFonts w:ascii="Arial" w:cs="Arial" w:eastAsia="Arial" w:hAnsi="Arial"/>
                <w:sz w:val="14"/>
                <w:szCs w:val="14"/>
                <w:color w:val="auto"/>
              </w:rPr>
              <w:t>Current portion of finance</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58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lease obligation</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Noncurrent</w:t>
            </w:r>
          </w:p>
        </w:tc>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580" w:type="dxa"/>
            <w:vAlign w:val="bottom"/>
            <w:shd w:val="clear" w:color="auto" w:fill="CCEEFF"/>
          </w:tcPr>
          <w:p>
            <w:pPr>
              <w:ind w:left="1780"/>
              <w:spacing w:after="0"/>
              <w:rPr>
                <w:sz w:val="20"/>
                <w:szCs w:val="20"/>
                <w:color w:val="auto"/>
              </w:rPr>
            </w:pPr>
            <w:r>
              <w:rPr>
                <w:rFonts w:ascii="Arial" w:cs="Arial" w:eastAsia="Arial" w:hAnsi="Arial"/>
                <w:sz w:val="14"/>
                <w:szCs w:val="14"/>
                <w:color w:val="auto"/>
              </w:rPr>
              <w:t>Other long-term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4"/>
                <w:szCs w:val="14"/>
                <w:color w:val="auto"/>
              </w:rPr>
              <w:t>Finance</w:t>
            </w:r>
          </w:p>
        </w:tc>
        <w:tc>
          <w:tcPr>
            <w:tcW w:w="3580" w:type="dxa"/>
            <w:vAlign w:val="bottom"/>
          </w:tcPr>
          <w:p>
            <w:pPr>
              <w:ind w:left="1780"/>
              <w:spacing w:after="0"/>
              <w:rPr>
                <w:sz w:val="20"/>
                <w:szCs w:val="20"/>
                <w:color w:val="auto"/>
              </w:rPr>
            </w:pPr>
            <w:r>
              <w:rPr>
                <w:rFonts w:ascii="Arial" w:cs="Arial" w:eastAsia="Arial" w:hAnsi="Arial"/>
                <w:sz w:val="14"/>
                <w:szCs w:val="14"/>
                <w:color w:val="auto"/>
              </w:rPr>
              <w:t>Finance lease obligation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liabilities</w:t>
            </w:r>
          </w:p>
        </w:tc>
        <w:tc>
          <w:tcPr>
            <w:tcW w:w="35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53,465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54,245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60" w:firstLine="8"/>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$47.9 million and include $0.7 million of prepaid financing costs as of June 30, 2020. Finance lease assets are recorded net of accumulated depreciation of $47.4 million and include $0.7 million of prepaid financing costs as of December 31, 2019.</w:t>
      </w:r>
    </w:p>
    <w:p>
      <w:pPr>
        <w:spacing w:after="0" w:line="33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All of our operating lease office locations support selling and servicing functions. Operating lease expense, and depreciation and interest expense relating to our finance lease obligation, are recognized within our consolidated statement of operations for the three and six months ended June 30, 2020 and 2019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1"/>
        </w:trPr>
        <w:tc>
          <w:tcPr>
            <w:tcW w:w="2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cost</w:t>
            </w:r>
          </w:p>
        </w:tc>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6"/>
        </w:trPr>
        <w:tc>
          <w:tcPr>
            <w:tcW w:w="2620" w:type="dxa"/>
            <w:vAlign w:val="bottom"/>
            <w:gridSpan w:val="2"/>
            <w:vMerge w:val="continue"/>
          </w:tcPr>
          <w:p>
            <w:pPr>
              <w:spacing w:after="0"/>
              <w:rPr>
                <w:sz w:val="17"/>
                <w:szCs w:val="17"/>
                <w:color w:val="auto"/>
              </w:rPr>
            </w:pPr>
          </w:p>
        </w:tc>
        <w:tc>
          <w:tcPr>
            <w:tcW w:w="3020" w:type="dxa"/>
            <w:vAlign w:val="bottom"/>
          </w:tcPr>
          <w:p>
            <w:pPr>
              <w:ind w:left="96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Operating lease cost</w:t>
            </w: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3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Cost of revenue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3020" w:type="dxa"/>
            <w:vAlign w:val="bottom"/>
          </w:tcPr>
          <w:p>
            <w:pPr>
              <w:ind w:left="96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3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3020" w:type="dxa"/>
            <w:vAlign w:val="bottom"/>
          </w:tcPr>
          <w:p>
            <w:pPr>
              <w:ind w:left="96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30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gridSpan w:val="2"/>
            <w:vMerge w:val="continue"/>
          </w:tcPr>
          <w:p>
            <w:pPr>
              <w:spacing w:after="0"/>
              <w:rPr>
                <w:sz w:val="14"/>
                <w:szCs w:val="14"/>
                <w:color w:val="auto"/>
              </w:rPr>
            </w:pPr>
          </w:p>
        </w:tc>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3020" w:type="dxa"/>
            <w:vAlign w:val="bottom"/>
            <w:shd w:val="clear" w:color="auto" w:fill="CCEEFF"/>
          </w:tcPr>
          <w:p>
            <w:pPr>
              <w:ind w:left="960"/>
              <w:spacing w:after="0" w:line="130" w:lineRule="exact"/>
              <w:rPr>
                <w:sz w:val="20"/>
                <w:szCs w:val="20"/>
                <w:color w:val="auto"/>
              </w:rPr>
            </w:pPr>
            <w:r>
              <w:rPr>
                <w:rFonts w:ascii="Arial" w:cs="Arial" w:eastAsia="Arial" w:hAnsi="Arial"/>
                <w:sz w:val="14"/>
                <w:szCs w:val="14"/>
                <w:color w:val="auto"/>
                <w:w w:val="98"/>
              </w:rPr>
              <w:t>Cost of revenue, R&amp;D, Sales and</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30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marketing and G&amp;A</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3020" w:type="dxa"/>
            <w:vAlign w:val="bottom"/>
          </w:tcPr>
          <w:p>
            <w:pPr>
              <w:ind w:left="96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30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30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580" w:firstLine="8"/>
        <w:spacing w:after="0" w:line="238"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marketing, general and administrative expense includes short-term lease and variable lease costs of approximately $0.3 million and $0.5 million for the three and six months ended June 30, 2020, respectively and includes short-term lease and variable lease costs of approximately $0.2 million and $0.4 million for the three and six months ended June 30, 2019, respectively.</w:t>
      </w:r>
    </w:p>
    <w:p>
      <w:pPr>
        <w:spacing w:after="0" w:line="187"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 as of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Finance</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Leases</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1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Leases</w:t>
            </w:r>
          </w:p>
        </w:tc>
        <w:tc>
          <w:tcPr>
            <w:tcW w:w="0" w:type="dxa"/>
            <w:vAlign w:val="bottom"/>
          </w:tcPr>
          <w:p>
            <w:pPr>
              <w:spacing w:after="0"/>
              <w:rPr>
                <w:sz w:val="1"/>
                <w:szCs w:val="1"/>
                <w:color w:val="auto"/>
              </w:rPr>
            </w:pPr>
          </w:p>
        </w:tc>
      </w:tr>
      <w:tr>
        <w:trPr>
          <w:trHeight w:val="142"/>
        </w:trPr>
        <w:tc>
          <w:tcPr>
            <w:tcW w:w="5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4,708</w:t>
            </w:r>
          </w:p>
        </w:tc>
        <w:tc>
          <w:tcPr>
            <w:tcW w:w="0" w:type="dxa"/>
            <w:vAlign w:val="bottom"/>
          </w:tcPr>
          <w:p>
            <w:pPr>
              <w:spacing w:after="0"/>
              <w:rPr>
                <w:sz w:val="1"/>
                <w:szCs w:val="1"/>
                <w:color w:val="auto"/>
              </w:rPr>
            </w:pPr>
          </w:p>
        </w:tc>
      </w:tr>
      <w:tr>
        <w:trPr>
          <w:trHeight w:val="148"/>
        </w:trPr>
        <w:tc>
          <w:tcPr>
            <w:tcW w:w="5960" w:type="dxa"/>
            <w:vAlign w:val="bottom"/>
          </w:tcPr>
          <w:p>
            <w:pPr>
              <w:spacing w:after="0" w:line="149" w:lineRule="exact"/>
              <w:rPr>
                <w:sz w:val="20"/>
                <w:szCs w:val="20"/>
                <w:color w:val="auto"/>
              </w:rPr>
            </w:pPr>
            <w:r>
              <w:rPr>
                <w:rFonts w:ascii="Arial" w:cs="Arial" w:eastAsia="Arial" w:hAnsi="Arial"/>
                <w:sz w:val="14"/>
                <w:szCs w:val="14"/>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2,242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8,090</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6,925</w:t>
            </w:r>
          </w:p>
        </w:tc>
        <w:tc>
          <w:tcPr>
            <w:tcW w:w="0" w:type="dxa"/>
            <w:vAlign w:val="bottom"/>
          </w:tcPr>
          <w:p>
            <w:pPr>
              <w:spacing w:after="0"/>
              <w:rPr>
                <w:sz w:val="1"/>
                <w:szCs w:val="1"/>
                <w:color w:val="auto"/>
              </w:rPr>
            </w:pPr>
          </w:p>
        </w:tc>
      </w:tr>
      <w:tr>
        <w:trPr>
          <w:trHeight w:val="148"/>
        </w:trPr>
        <w:tc>
          <w:tcPr>
            <w:tcW w:w="5960" w:type="dxa"/>
            <w:vAlign w:val="bottom"/>
          </w:tcPr>
          <w:p>
            <w:pPr>
              <w:spacing w:after="0" w:line="149" w:lineRule="exact"/>
              <w:rPr>
                <w:sz w:val="20"/>
                <w:szCs w:val="20"/>
                <w:color w:val="auto"/>
              </w:rPr>
            </w:pPr>
            <w:r>
              <w:rPr>
                <w:rFonts w:ascii="Arial" w:cs="Arial" w:eastAsia="Arial" w:hAnsi="Arial"/>
                <w:sz w:val="14"/>
                <w:szCs w:val="14"/>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6,333</w:t>
            </w: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6,338</w:t>
            </w:r>
          </w:p>
        </w:tc>
        <w:tc>
          <w:tcPr>
            <w:tcW w:w="0" w:type="dxa"/>
            <w:vAlign w:val="bottom"/>
          </w:tcPr>
          <w:p>
            <w:pPr>
              <w:spacing w:after="0"/>
              <w:rPr>
                <w:sz w:val="1"/>
                <w:szCs w:val="1"/>
                <w:color w:val="auto"/>
              </w:rPr>
            </w:pPr>
          </w:p>
        </w:tc>
      </w:tr>
      <w:tr>
        <w:trPr>
          <w:trHeight w:val="149"/>
        </w:trPr>
        <w:tc>
          <w:tcPr>
            <w:tcW w:w="614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79,653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79,863</w:t>
            </w: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lease payments</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106,712</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5,545</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112,257</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Less interest portion*</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(58,271)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(58,792)</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Finance lease and operating lease obligations</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48,441</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5,024</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53,465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8"/>
        </w:trPr>
        <w:tc>
          <w:tcPr>
            <w:tcW w:w="7800" w:type="dxa"/>
            <w:vAlign w:val="bottom"/>
            <w:gridSpan w:val="3"/>
            <w:vMerge w:val="continue"/>
          </w:tcPr>
          <w:p>
            <w:pPr>
              <w:spacing w:after="0"/>
              <w:rPr>
                <w:sz w:val="16"/>
                <w:szCs w:val="16"/>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Weighted-average remaining lease term (years):</w:t>
            </w:r>
          </w:p>
        </w:tc>
        <w:tc>
          <w:tcPr>
            <w:tcW w:w="2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132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gridSpan w:val="2"/>
          </w:tcPr>
          <w:p>
            <w:pPr>
              <w:spacing w:after="0" w:line="149" w:lineRule="exact"/>
              <w:rPr>
                <w:sz w:val="20"/>
                <w:szCs w:val="20"/>
                <w:color w:val="auto"/>
              </w:rPr>
            </w:pPr>
            <w:r>
              <w:rPr>
                <w:rFonts w:ascii="Arial" w:cs="Arial" w:eastAsia="Arial" w:hAnsi="Arial"/>
                <w:sz w:val="14"/>
                <w:szCs w:val="14"/>
                <w:color w:val="auto"/>
              </w:rPr>
              <w:t>Finance leases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5"/>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Weighted-average discount rate:</w:t>
            </w: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gridSpan w:val="2"/>
          </w:tcPr>
          <w:p>
            <w:pPr>
              <w:spacing w:after="0" w:line="149" w:lineRule="exact"/>
              <w:rPr>
                <w:sz w:val="20"/>
                <w:szCs w:val="20"/>
                <w:color w:val="auto"/>
              </w:rPr>
            </w:pPr>
            <w:r>
              <w:rPr>
                <w:rFonts w:ascii="Arial" w:cs="Arial" w:eastAsia="Arial" w:hAnsi="Arial"/>
                <w:sz w:val="14"/>
                <w:szCs w:val="14"/>
                <w:color w:val="auto"/>
              </w:rPr>
              <w:t>Operating leases</w:t>
            </w:r>
          </w:p>
        </w:tc>
        <w:tc>
          <w:tcPr>
            <w:tcW w:w="132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3"/>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Finance leases</w:t>
            </w:r>
          </w:p>
        </w:tc>
        <w:tc>
          <w:tcPr>
            <w:tcW w:w="132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color w:val="auto"/>
                <w:w w:val="95"/>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Our cash outflows from our operating leases include rent expense and other charges associated with these leases. These cash flows are included within the operating section of our statement of cash flows. Our cash flows from our finance lease include both an interest component and payment of principal component. The table below shows our cash outflows,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by lease type and related section of our statement of cash flows as well as the non-cash amount capitalized on our balance sheet in relation to our operating lease right-of-use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201"/>
        </w:trPr>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r>
      <w:tr>
        <w:trPr>
          <w:trHeight w:val="201"/>
        </w:trPr>
        <w:tc>
          <w:tcPr>
            <w:tcW w:w="4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159,152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94,316</w:t>
            </w:r>
          </w:p>
        </w:tc>
      </w:tr>
      <w:tr>
        <w:trPr>
          <w:trHeight w:val="203"/>
        </w:trPr>
        <w:tc>
          <w:tcPr>
            <w:tcW w:w="4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37,081</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82,804</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71,466</w:t>
            </w:r>
          </w:p>
        </w:tc>
      </w:tr>
      <w:tr>
        <w:trPr>
          <w:trHeight w:val="196"/>
        </w:trPr>
        <w:tc>
          <w:tcPr>
            <w:tcW w:w="4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122,965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74,305</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241,956</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165,782</w:t>
            </w: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2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w:t>
            </w:r>
          </w:p>
        </w:tc>
        <w:tc>
          <w:tcPr>
            <w:tcW w:w="4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19,576</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20,988</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Asia Pacific</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106,604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203,432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112,643</w:t>
            </w: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0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32,151</w:t>
            </w: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122,965</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241,956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165,782</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1" w:name="page12"/>
    <w:bookmarkEnd w:id="11"/>
    <w:p>
      <w:pPr>
        <w:ind w:left="2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80" w:right="44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80" w:right="34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6"/>
                <w:szCs w:val="16"/>
                <w:color w:val="auto"/>
              </w:rPr>
            </w:pPr>
          </w:p>
        </w:tc>
        <w:tc>
          <w:tcPr>
            <w:tcW w:w="1540" w:type="dxa"/>
            <w:vAlign w:val="bottom"/>
            <w:gridSpan w:val="4"/>
          </w:tcPr>
          <w:p>
            <w:pPr>
              <w:jc w:val="right"/>
              <w:ind w:right="221"/>
              <w:spacing w:after="0"/>
              <w:rPr>
                <w:sz w:val="20"/>
                <w:szCs w:val="20"/>
                <w:color w:val="auto"/>
              </w:rPr>
            </w:pPr>
            <w:r>
              <w:rPr>
                <w:rFonts w:ascii="Arial" w:cs="Arial" w:eastAsia="Arial" w:hAnsi="Arial"/>
                <w:sz w:val="14"/>
                <w:szCs w:val="14"/>
                <w:b w:val="1"/>
                <w:bCs w:val="1"/>
                <w:color w:val="auto"/>
              </w:rPr>
              <w:t>Six months ended</w:t>
            </w:r>
          </w:p>
        </w:tc>
      </w:tr>
      <w:tr>
        <w:trPr>
          <w:trHeight w:val="255"/>
        </w:trPr>
        <w:tc>
          <w:tcPr>
            <w:tcW w:w="6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2"/>
                <w:szCs w:val="22"/>
                <w:color w:val="auto"/>
              </w:rPr>
            </w:pPr>
          </w:p>
        </w:tc>
      </w:tr>
      <w:tr>
        <w:trPr>
          <w:trHeight w:val="237"/>
        </w:trPr>
        <w:tc>
          <w:tcPr>
            <w:tcW w:w="6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0"/>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22,584</w:t>
            </w:r>
          </w:p>
        </w:tc>
      </w:tr>
      <w:tr>
        <w:trPr>
          <w:trHeight w:val="253"/>
        </w:trPr>
        <w:tc>
          <w:tcPr>
            <w:tcW w:w="6160" w:type="dxa"/>
            <w:vAlign w:val="bottom"/>
          </w:tcPr>
          <w:p>
            <w:pPr>
              <w:ind w:left="160"/>
              <w:spacing w:after="0"/>
              <w:rPr>
                <w:sz w:val="20"/>
                <w:szCs w:val="20"/>
                <w:color w:val="auto"/>
              </w:rPr>
            </w:pPr>
            <w:r>
              <w:rPr>
                <w:rFonts w:ascii="Arial" w:cs="Arial" w:eastAsia="Arial" w:hAnsi="Arial"/>
                <w:sz w:val="16"/>
                <w:szCs w:val="16"/>
                <w:color w:val="auto"/>
              </w:rPr>
              <w:t>Deferral of revenue</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3,943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6,225</w:t>
            </w:r>
          </w:p>
        </w:tc>
      </w:tr>
      <w:tr>
        <w:trPr>
          <w:trHeight w:val="270"/>
        </w:trPr>
        <w:tc>
          <w:tcPr>
            <w:tcW w:w="6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Recognition of deferred revenue</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(9,937)</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(10,344)</w:t>
            </w: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(9,558)</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(14,729)</w:t>
            </w:r>
          </w:p>
        </w:tc>
      </w:tr>
      <w:tr>
        <w:trPr>
          <w:trHeight w:val="240"/>
        </w:trPr>
        <w:tc>
          <w:tcPr>
            <w:tcW w:w="6160" w:type="dxa"/>
            <w:vAlign w:val="bottom"/>
          </w:tcPr>
          <w:p>
            <w:pPr>
              <w:spacing w:after="0"/>
              <w:rPr>
                <w:sz w:val="20"/>
                <w:szCs w:val="20"/>
                <w:color w:val="auto"/>
              </w:rPr>
            </w:pPr>
            <w:r>
              <w:rPr>
                <w:rFonts w:ascii="Arial" w:cs="Arial" w:eastAsia="Arial" w:hAnsi="Arial"/>
                <w:sz w:val="16"/>
                <w:szCs w:val="16"/>
                <w:color w:val="auto"/>
              </w:rPr>
              <w:t>Balance, ending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14,080</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14,080</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right="32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of 90% due upon shipment of the tool and 10% due upon acceptance. Aftermarket transaction payment terms usually provide that payment is due either within 30 or 60 days after the service is provided or parts delivered.</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229" w:lineRule="exact"/>
        <w:rPr>
          <w:sz w:val="20"/>
          <w:szCs w:val="20"/>
          <w:color w:val="auto"/>
        </w:rPr>
      </w:pPr>
    </w:p>
    <w:p>
      <w:pPr>
        <w:jc w:val="both"/>
        <w:ind w:left="280" w:right="280"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70" w:lineRule="exact"/>
        <w:rPr>
          <w:sz w:val="20"/>
          <w:szCs w:val="20"/>
          <w:color w:val="auto"/>
        </w:rPr>
      </w:pPr>
    </w:p>
    <w:p>
      <w:pPr>
        <w:jc w:val="both"/>
        <w:ind w:left="280" w:right="280" w:firstLine="648"/>
        <w:spacing w:after="0" w:line="269" w:lineRule="auto"/>
        <w:rPr>
          <w:sz w:val="20"/>
          <w:szCs w:val="20"/>
          <w:color w:val="auto"/>
        </w:rPr>
      </w:pPr>
      <w:r>
        <w:rPr>
          <w:rFonts w:ascii="Arial" w:cs="Arial" w:eastAsia="Arial" w:hAnsi="Arial"/>
          <w:sz w:val="17"/>
          <w:szCs w:val="17"/>
          <w:color w:val="auto"/>
        </w:rPr>
        <w:t>Axcelis maintains an allowance for credit losses, which represent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pacing w:after="0" w:line="185" w:lineRule="exact"/>
        <w:rPr>
          <w:sz w:val="20"/>
          <w:szCs w:val="20"/>
          <w:color w:val="auto"/>
        </w:rPr>
      </w:pPr>
    </w:p>
    <w:p>
      <w:pPr>
        <w:jc w:val="both"/>
        <w:ind w:left="280" w:right="280" w:firstLine="648"/>
        <w:spacing w:after="0" w:line="286" w:lineRule="auto"/>
        <w:rPr>
          <w:sz w:val="20"/>
          <w:szCs w:val="20"/>
          <w:color w:val="auto"/>
        </w:rPr>
      </w:pPr>
      <w:r>
        <w:rPr>
          <w:rFonts w:ascii="Arial" w:cs="Arial" w:eastAsia="Arial" w:hAnsi="Arial"/>
          <w:sz w:val="17"/>
          <w:szCs w:val="17"/>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bureau report, as well as the value of the underlying collateral.</w:t>
      </w:r>
    </w:p>
    <w:p>
      <w:pPr>
        <w:spacing w:after="0" w:line="165" w:lineRule="exact"/>
        <w:rPr>
          <w:sz w:val="20"/>
          <w:szCs w:val="20"/>
          <w:color w:val="auto"/>
        </w:rPr>
      </w:pPr>
    </w:p>
    <w:p>
      <w:pPr>
        <w:jc w:val="both"/>
        <w:ind w:left="280" w:right="280" w:firstLine="648"/>
        <w:spacing w:after="0" w:line="311" w:lineRule="auto"/>
        <w:rPr>
          <w:sz w:val="20"/>
          <w:szCs w:val="20"/>
          <w:color w:val="auto"/>
        </w:rPr>
      </w:pPr>
      <w:r>
        <w:rPr>
          <w:rFonts w:ascii="Arial" w:cs="Arial" w:eastAsia="Arial" w:hAnsi="Arial"/>
          <w:sz w:val="16"/>
          <w:szCs w:val="16"/>
          <w:color w:val="auto"/>
        </w:rPr>
        <w:t>Management performs detailed reviews of its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w:t>
      </w:r>
    </w:p>
    <w:p>
      <w:pPr>
        <w:sectPr>
          <w:pgSz w:w="11900" w:h="16838" w:orient="portrait"/>
          <w:cols w:equalWidth="0" w:num="1">
            <w:col w:w="9680"/>
          </w:cols>
          <w:pgMar w:left="1100" w:top="517" w:right="111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372110</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680"/>
          </w:cols>
          <w:pgMar w:left="1100" w:top="517" w:right="11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allowances for credit losses are maintained through adjustments to the provision for credit losses, which are charged to current period earnings.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three and six months ended June 30,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Six months ended</w:t>
            </w:r>
          </w:p>
        </w:tc>
      </w:tr>
      <w:tr>
        <w:trPr>
          <w:trHeight w:val="188"/>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r>
      <w:tr>
        <w:trPr>
          <w:trHeight w:val="183"/>
        </w:trPr>
        <w:tc>
          <w:tcPr>
            <w:tcW w:w="65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ind w:left="160"/>
              <w:spacing w:after="0"/>
              <w:rPr>
                <w:sz w:val="20"/>
                <w:szCs w:val="20"/>
                <w:color w:val="auto"/>
              </w:rPr>
            </w:pPr>
            <w:r>
              <w:rPr>
                <w:rFonts w:ascii="Arial" w:cs="Arial" w:eastAsia="Arial" w:hAnsi="Arial"/>
                <w:sz w:val="16"/>
                <w:szCs w:val="16"/>
                <w:color w:val="auto"/>
              </w:rPr>
              <w:t>Provision for credit losses</w:t>
            </w:r>
          </w:p>
        </w:tc>
        <w:tc>
          <w:tcPr>
            <w:tcW w:w="2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Charge-offs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r>
      <w:tr>
        <w:trPr>
          <w:trHeight w:val="216"/>
        </w:trPr>
        <w:tc>
          <w:tcPr>
            <w:tcW w:w="6520" w:type="dxa"/>
            <w:vAlign w:val="bottom"/>
          </w:tcPr>
          <w:p>
            <w:pPr>
              <w:ind w:left="160"/>
              <w:spacing w:after="0"/>
              <w:rPr>
                <w:sz w:val="20"/>
                <w:szCs w:val="20"/>
                <w:color w:val="auto"/>
              </w:rPr>
            </w:pPr>
            <w:r>
              <w:rPr>
                <w:rFonts w:ascii="Arial" w:cs="Arial" w:eastAsia="Arial" w:hAnsi="Arial"/>
                <w:sz w:val="16"/>
                <w:szCs w:val="16"/>
                <w:color w:val="auto"/>
              </w:rPr>
              <w:t>Recoveries</w:t>
            </w:r>
          </w:p>
        </w:tc>
        <w:tc>
          <w:tcPr>
            <w:tcW w:w="2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ind w:left="3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gridSpan w:val="10"/>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(in thousands, except per share 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13,302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24,523</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6"/>
                <w:szCs w:val="16"/>
                <w:color w:val="auto"/>
                <w:w w:val="98"/>
              </w:rPr>
              <w:t>Weighted average common shares outstanding used in computing basic income per</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33,116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32,729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32,998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5"/>
              </w:rPr>
              <w:t>32,706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9"/>
              </w:rPr>
              <w:t>Weighted average common shares used in computing diluted net income per share</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33,958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33,901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34,023</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34,064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Diluted weighted average common shares outstanding does not include 3,138 and 239,314 common equivalent shares issuable with respect to outstanding equity awards for the three month periods ended June 30, 2020 and 2019, respectively, or 5,006 and 12,213 common equivalent shares issuable with respect to outstanding equity awards for the six month periods ending June 30, 2020 and 2019,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7" w:right="1339" w:bottom="1440" w:gutter="0" w:footer="0" w:header="0"/>
        </w:sectPr>
      </w:pPr>
    </w:p>
    <w:bookmarkStart w:id="13" w:name="page14"/>
    <w:bookmarkEnd w:id="13"/>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7. Accumulated Other Comprehensive Loss</w:t>
      </w:r>
    </w:p>
    <w:p>
      <w:pPr>
        <w:spacing w:after="0" w:line="229" w:lineRule="exact"/>
        <w:rPr>
          <w:sz w:val="20"/>
          <w:szCs w:val="20"/>
          <w:color w:val="auto"/>
        </w:rPr>
      </w:pPr>
    </w:p>
    <w:p>
      <w:pPr>
        <w:ind w:left="220" w:right="28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loss, net of tax, by component, for the six months ended June 30, 2020:</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Foreign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Defined benefit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pension plan</w:t>
            </w: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Other comprehensive loss and pension reclassification</w:t>
            </w:r>
          </w:p>
        </w:tc>
        <w:tc>
          <w:tcPr>
            <w:tcW w:w="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2020</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229" w:lineRule="exact"/>
        <w:rPr>
          <w:sz w:val="20"/>
          <w:szCs w:val="20"/>
          <w:color w:val="auto"/>
        </w:rPr>
      </w:pPr>
    </w:p>
    <w:p>
      <w:pPr>
        <w:ind w:left="220" w:right="76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to the total of the amounts shown in the statement of cash flows: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196"/>
        </w:trPr>
        <w:tc>
          <w:tcPr>
            <w:tcW w:w="5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139,881</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6,653</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197,016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146,534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As of June 30, 2020, we had $6.7 million in restricted cash representing the total of (i) cash collateral for a</w:t>
      </w:r>
    </w:p>
    <w:p>
      <w:pPr>
        <w:spacing w:after="0" w:line="23" w:lineRule="exact"/>
        <w:rPr>
          <w:sz w:val="20"/>
          <w:szCs w:val="20"/>
          <w:color w:val="auto"/>
        </w:rPr>
      </w:pPr>
    </w:p>
    <w:p>
      <w:pPr>
        <w:ind w:left="220" w:right="220"/>
        <w:spacing w:after="0" w:line="255" w:lineRule="auto"/>
        <w:rPr>
          <w:sz w:val="20"/>
          <w:szCs w:val="20"/>
          <w:color w:val="auto"/>
        </w:rPr>
      </w:pPr>
      <w:r>
        <w:rPr>
          <w:rFonts w:ascii="Arial" w:cs="Arial" w:eastAsia="Arial" w:hAnsi="Arial"/>
          <w:sz w:val="18"/>
          <w:szCs w:val="18"/>
          <w:color w:val="auto"/>
        </w:rPr>
        <w:t>$5.9 million letter of credit serving as security for the lease of our corporate headquarters in Beverly, Massachusetts, (ii) cash collateral for a $0.7 million letter of credit relating to workers’ compensation insurance and (iii) a $0.1 million deposit relating to customs activity.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r>
      <w:tr>
        <w:trPr>
          <w:trHeight w:val="128"/>
        </w:trPr>
        <w:tc>
          <w:tcPr>
            <w:tcW w:w="7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92,208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95,867</w:t>
            </w:r>
          </w:p>
        </w:tc>
        <w:tc>
          <w:tcPr>
            <w:tcW w:w="200" w:type="dxa"/>
            <w:vAlign w:val="bottom"/>
            <w:shd w:val="clear" w:color="auto" w:fill="CCEEFF"/>
          </w:tcPr>
          <w:p>
            <w:pPr>
              <w:spacing w:after="0"/>
              <w:rPr>
                <w:sz w:val="17"/>
                <w:szCs w:val="17"/>
                <w:color w:val="auto"/>
              </w:rPr>
            </w:pPr>
          </w:p>
        </w:tc>
      </w:tr>
      <w:tr>
        <w:trPr>
          <w:trHeight w:val="203"/>
        </w:trPr>
        <w:tc>
          <w:tcPr>
            <w:tcW w:w="7200" w:type="dxa"/>
            <w:vAlign w:val="bottom"/>
          </w:tcPr>
          <w:p>
            <w:pPr>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32,131</w:t>
            </w:r>
          </w:p>
        </w:tc>
        <w:tc>
          <w:tcPr>
            <w:tcW w:w="200" w:type="dxa"/>
            <w:vAlign w:val="bottom"/>
          </w:tcPr>
          <w:p>
            <w:pPr>
              <w:spacing w:after="0"/>
              <w:rPr>
                <w:sz w:val="17"/>
                <w:szCs w:val="17"/>
                <w:color w:val="auto"/>
              </w:rPr>
            </w:pPr>
          </w:p>
        </w:tc>
      </w:tr>
      <w:tr>
        <w:trPr>
          <w:trHeight w:val="203"/>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21,420</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200" w:type="dxa"/>
            <w:vAlign w:val="bottom"/>
            <w:shd w:val="clear" w:color="auto" w:fill="CCEEFF"/>
          </w:tcPr>
          <w:p>
            <w:pPr>
              <w:spacing w:after="0"/>
              <w:rPr>
                <w:sz w:val="17"/>
                <w:szCs w:val="17"/>
                <w:color w:val="auto"/>
              </w:rPr>
            </w:pPr>
          </w:p>
        </w:tc>
      </w:tr>
      <w:tr>
        <w:trPr>
          <w:trHeight w:val="196"/>
        </w:trPr>
        <w:tc>
          <w:tcPr>
            <w:tcW w:w="720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149,178</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140,364</w:t>
            </w:r>
          </w:p>
        </w:tc>
        <w:tc>
          <w:tcPr>
            <w:tcW w:w="20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right="24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jc w:val="both"/>
        <w:ind w:left="220" w:right="520" w:firstLine="648"/>
        <w:spacing w:after="0" w:line="301" w:lineRule="auto"/>
        <w:rPr>
          <w:sz w:val="20"/>
          <w:szCs w:val="20"/>
          <w:color w:val="auto"/>
        </w:rPr>
      </w:pPr>
      <w:r>
        <w:rPr>
          <w:rFonts w:ascii="Arial" w:cs="Arial" w:eastAsia="Arial" w:hAnsi="Arial"/>
          <w:sz w:val="16"/>
          <w:szCs w:val="16"/>
          <w:color w:val="auto"/>
        </w:rPr>
        <w:t>We generally offer a one 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w:t>
      </w:r>
    </w:p>
    <w:p>
      <w:pPr>
        <w:sectPr>
          <w:pgSz w:w="11900" w:h="16838" w:orient="portrait"/>
          <w:cols w:equalWidth="0" w:num="1">
            <w:col w:w="9560"/>
          </w:cols>
          <w:pgMar w:left="1160" w:top="517" w:right="117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372110</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560"/>
          </w:cols>
          <w:pgMar w:left="1160" w:top="517" w:right="1179" w:bottom="1440" w:gutter="0" w:footer="0" w:header="0"/>
          <w:type w:val="continuous"/>
        </w:sectPr>
      </w:pPr>
    </w:p>
    <w:bookmarkStart w:id="14" w:name="page15"/>
    <w:bookmarkEnd w:id="14"/>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right="800"/>
        <w:spacing w:after="0" w:line="277" w:lineRule="auto"/>
        <w:rPr>
          <w:sz w:val="20"/>
          <w:szCs w:val="20"/>
          <w:color w:val="auto"/>
        </w:rPr>
      </w:pPr>
      <w:r>
        <w:rPr>
          <w:rFonts w:ascii="Arial" w:cs="Arial" w:eastAsia="Arial" w:hAnsi="Arial"/>
          <w:sz w:val="18"/>
          <w:szCs w:val="18"/>
          <w:color w:val="auto"/>
        </w:rPr>
        <w:t>units, historical and anticipated product failure rates, material usage and service labor costs. We periodically assess the adequacy of our recorded liability and adjust the amount as necessary.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Six months ended</w:t>
      </w:r>
    </w:p>
    <w:p>
      <w:pPr>
        <w:jc w:val="center"/>
        <w:ind w:left="74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r>
      <w:tr>
        <w:trPr>
          <w:trHeight w:val="128"/>
        </w:trPr>
        <w:tc>
          <w:tcPr>
            <w:tcW w:w="6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4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220" w:type="dxa"/>
            <w:vAlign w:val="bottom"/>
            <w:shd w:val="clear" w:color="auto" w:fill="CCEEFF"/>
          </w:tcPr>
          <w:p>
            <w:pPr>
              <w:spacing w:after="0"/>
              <w:rPr>
                <w:sz w:val="18"/>
                <w:szCs w:val="18"/>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Warranties issued during the period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1,693</w:t>
            </w:r>
          </w:p>
        </w:tc>
        <w:tc>
          <w:tcPr>
            <w:tcW w:w="220" w:type="dxa"/>
            <w:vAlign w:val="bottom"/>
          </w:tcPr>
          <w:p>
            <w:pPr>
              <w:spacing w:after="0"/>
              <w:rPr>
                <w:sz w:val="18"/>
                <w:szCs w:val="18"/>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 made during the period</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220" w:type="dxa"/>
            <w:vAlign w:val="bottom"/>
            <w:shd w:val="clear" w:color="auto" w:fill="CCEEFF"/>
          </w:tcPr>
          <w:p>
            <w:pPr>
              <w:spacing w:after="0"/>
              <w:rPr>
                <w:sz w:val="19"/>
                <w:szCs w:val="19"/>
                <w:color w:val="auto"/>
              </w:rPr>
            </w:pPr>
          </w:p>
        </w:tc>
      </w:tr>
      <w:tr>
        <w:trPr>
          <w:trHeight w:val="21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220" w:type="dxa"/>
            <w:vAlign w:val="bottom"/>
            <w:tcBorders>
              <w:bottom w:val="single" w:sz="8" w:color="CCEEFF"/>
            </w:tcBorders>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(end of period)</w:t>
            </w: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6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 classified as current</w:t>
            </w:r>
          </w:p>
        </w:tc>
        <w:tc>
          <w:tcPr>
            <w:tcW w:w="142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220" w:type="dxa"/>
            <w:vAlign w:val="bottom"/>
            <w:shd w:val="clear" w:color="auto" w:fill="CCEEFF"/>
          </w:tcPr>
          <w:p>
            <w:pPr>
              <w:spacing w:after="0"/>
              <w:rPr>
                <w:sz w:val="18"/>
                <w:szCs w:val="18"/>
                <w:color w:val="auto"/>
              </w:rPr>
            </w:pPr>
          </w:p>
        </w:tc>
      </w:tr>
      <w:tr>
        <w:trPr>
          <w:trHeight w:val="21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Amount classified as long-term</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220" w:type="dxa"/>
            <w:vAlign w:val="bottom"/>
            <w:tcBorders>
              <w:bottom w:val="single" w:sz="8" w:color="CCEEFF"/>
            </w:tcBorders>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left="220" w:right="340" w:firstLine="648"/>
        <w:spacing w:after="0" w:line="286" w:lineRule="auto"/>
        <w:rPr>
          <w:sz w:val="20"/>
          <w:szCs w:val="20"/>
          <w:color w:val="auto"/>
        </w:rPr>
      </w:pPr>
      <w:r>
        <w:rPr>
          <w:rFonts w:ascii="Arial" w:cs="Arial" w:eastAsia="Arial" w:hAnsi="Arial"/>
          <w:sz w:val="17"/>
          <w:szCs w:val="17"/>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Fair Value Hierarchy</w:t>
      </w:r>
    </w:p>
    <w:p>
      <w:pPr>
        <w:spacing w:after="0" w:line="229" w:lineRule="exact"/>
        <w:rPr>
          <w:sz w:val="20"/>
          <w:szCs w:val="20"/>
          <w:color w:val="auto"/>
        </w:rPr>
      </w:pPr>
    </w:p>
    <w:p>
      <w:pPr>
        <w:ind w:left="220" w:right="30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237" w:lineRule="exact"/>
        <w:rPr>
          <w:sz w:val="20"/>
          <w:szCs w:val="20"/>
          <w:color w:val="auto"/>
        </w:rPr>
      </w:pPr>
    </w:p>
    <w:p>
      <w:pPr>
        <w:ind w:left="220" w:right="36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7" w:lineRule="exact"/>
        <w:rPr>
          <w:sz w:val="20"/>
          <w:szCs w:val="20"/>
          <w:color w:val="auto"/>
        </w:rPr>
      </w:pPr>
    </w:p>
    <w:p>
      <w:pPr>
        <w:ind w:left="220" w:right="94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Fair Value Measurements</w:t>
      </w:r>
    </w:p>
    <w:p>
      <w:pPr>
        <w:spacing w:after="0" w:line="229" w:lineRule="exact"/>
        <w:rPr>
          <w:sz w:val="20"/>
          <w:szCs w:val="20"/>
          <w:color w:val="auto"/>
        </w:rPr>
      </w:pPr>
    </w:p>
    <w:p>
      <w:pPr>
        <w:ind w:left="220" w:right="46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357505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560"/>
          </w:cols>
          <w:pgMar w:left="1160" w:top="517" w:right="11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0"/>
              </w:rPr>
              <w:t>(in thousands)</w:t>
            </w:r>
          </w:p>
        </w:tc>
        <w:tc>
          <w:tcPr>
            <w:tcW w:w="6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166,377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166,377</w:t>
            </w:r>
          </w:p>
        </w:tc>
        <w:tc>
          <w:tcPr>
            <w:tcW w:w="80" w:type="dxa"/>
            <w:vAlign w:val="bottom"/>
            <w:shd w:val="clear" w:color="auto" w:fill="CCEEFF"/>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jc w:val="center"/>
              <w:ind w:right="19"/>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116,872</w:t>
            </w:r>
          </w:p>
        </w:tc>
        <w:tc>
          <w:tcPr>
            <w:tcW w:w="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$48.4 million as of June 30, 2020.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is cash collateralized and the associated cash is included in long-term restricted cash.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Income tax expense was $2.3 million for the three months ended June 30, 2020, compared to $0.8 million for the three months ended June 30, 2019. The $1.5 million increase was primarily due to a $14.2 million increase in pretax income. The income tax provision was $3.3 million during the six months ended June 30, 2020, compared to $1.3 million for the six months ended June 30, 2019. The $2.0 million increase was primarily due to a $19.9 million increase in pretax income. The effective tax rate for the three and six months ended June 30, 2020 and 2019, respectively, was less than the U.S. statutory rate of 21% due to favorable discrete items related to equity compensation in those periods and Federal research and development tax credits that reduce the annual tax rate.</w:t>
      </w:r>
    </w:p>
    <w:p>
      <w:pPr>
        <w:spacing w:after="0" w:line="17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had $64.6 million and $68.1 million of net deferred tax assets worldwide relating to net operating loss carryforwards, tax credit carryforwards and other temporary differences, as of June 30, 2020 and December 31, 2019, respectively. These deferred tax assets are available to reduce income taxes in future years. We have a $9.2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229" w:lineRule="exact"/>
        <w:rPr>
          <w:sz w:val="20"/>
          <w:szCs w:val="20"/>
          <w:color w:val="auto"/>
        </w:rPr>
      </w:pPr>
    </w:p>
    <w:p>
      <w:pPr>
        <w:ind w:right="59" w:firstLine="648"/>
        <w:spacing w:after="0" w:line="263" w:lineRule="auto"/>
        <w:rPr>
          <w:sz w:val="20"/>
          <w:szCs w:val="20"/>
          <w:color w:val="auto"/>
        </w:rPr>
      </w:pPr>
      <w:r>
        <w:rPr>
          <w:rFonts w:ascii="Arial" w:cs="Arial" w:eastAsia="Arial" w:hAnsi="Arial"/>
          <w:sz w:val="18"/>
          <w:szCs w:val="18"/>
          <w:color w:val="auto"/>
        </w:rPr>
        <w:t>For the three months ended June 30, 2020, three customers accounted for 22.5%, 22.2% and 11.6% of total revenue, respectively. For the three months ended June 30, 2019, four customers accounted for 15.7%, 14.2%, 12.7% and 12.5% of total revenue, respectively.</w:t>
      </w:r>
    </w:p>
    <w:p>
      <w:pPr>
        <w:spacing w:after="0" w:line="184" w:lineRule="exact"/>
        <w:rPr>
          <w:sz w:val="20"/>
          <w:szCs w:val="20"/>
          <w:color w:val="auto"/>
        </w:rPr>
      </w:pPr>
    </w:p>
    <w:p>
      <w:pPr>
        <w:ind w:right="79" w:firstLine="648"/>
        <w:spacing w:after="0" w:line="263" w:lineRule="auto"/>
        <w:rPr>
          <w:sz w:val="20"/>
          <w:szCs w:val="20"/>
          <w:color w:val="auto"/>
        </w:rPr>
      </w:pPr>
      <w:r>
        <w:rPr>
          <w:rFonts w:ascii="Arial" w:cs="Arial" w:eastAsia="Arial" w:hAnsi="Arial"/>
          <w:sz w:val="18"/>
          <w:szCs w:val="18"/>
          <w:color w:val="auto"/>
        </w:rPr>
        <w:t>For the six months ended June 30, 2020, three customers accounted for 19.7%, 18.5% and 16.2% of total revenue, respectively. For the six months ended June 30, 2019, four customers accounted for 14.8%, 14.4%, 11.4% and 11.2% of total revenue respectively.</w:t>
      </w:r>
    </w:p>
    <w:p>
      <w:pPr>
        <w:spacing w:after="0" w:line="184" w:lineRule="exact"/>
        <w:rPr>
          <w:sz w:val="20"/>
          <w:szCs w:val="20"/>
          <w:color w:val="auto"/>
        </w:rPr>
      </w:pPr>
    </w:p>
    <w:p>
      <w:pPr>
        <w:ind w:right="59" w:firstLine="648"/>
        <w:spacing w:after="0" w:line="308" w:lineRule="auto"/>
        <w:rPr>
          <w:sz w:val="20"/>
          <w:szCs w:val="20"/>
          <w:color w:val="auto"/>
        </w:rPr>
      </w:pPr>
      <w:r>
        <w:rPr>
          <w:rFonts w:ascii="Arial" w:cs="Arial" w:eastAsia="Arial" w:hAnsi="Arial"/>
          <w:sz w:val="17"/>
          <w:szCs w:val="17"/>
          <w:color w:val="auto"/>
        </w:rPr>
        <w:t>At June 30, 2020, two customers accounted for 30.3% and 21.8% of accounts receivable, respectively. At December 31, 2019, three customers accounted for 24.9%, 15.3% and 11.1% of accounts receivable,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229" w:lineRule="exact"/>
        <w:rPr>
          <w:sz w:val="20"/>
          <w:szCs w:val="20"/>
          <w:color w:val="auto"/>
        </w:rPr>
      </w:pPr>
    </w:p>
    <w:p>
      <w:pPr>
        <w:ind w:right="99" w:firstLine="648"/>
        <w:spacing w:after="0" w:line="273" w:lineRule="auto"/>
        <w:rPr>
          <w:sz w:val="20"/>
          <w:szCs w:val="20"/>
          <w:color w:val="auto"/>
        </w:rPr>
      </w:pPr>
      <w:r>
        <w:rPr>
          <w:rFonts w:ascii="Arial" w:cs="Arial" w:eastAsia="Arial" w:hAnsi="Arial"/>
          <w:sz w:val="17"/>
          <w:szCs w:val="17"/>
          <w:color w:val="auto"/>
        </w:rPr>
        <w:t>The Board has approved stock repurchases of up to $50 million of our common stock through the end of 2020. At the end of the first quarter of 2020, we suspended the repurchase program in light of the economic uncertainty relating to the COVID-19 pandemic. We continue to invest cash in our business and to evaluate whether to recommence stock repurchases. If we do so, the timing and actual number of shares repurchased in 2020 beyond those acquired in the first quarter, will depend on various factors, including the price of our common stock, general business and market conditions, and alternative investment opportunities or other uses of cash.</w:t>
      </w:r>
    </w:p>
    <w:p>
      <w:pPr>
        <w:spacing w:after="0" w:line="178" w:lineRule="exact"/>
        <w:rPr>
          <w:sz w:val="20"/>
          <w:szCs w:val="20"/>
          <w:color w:val="auto"/>
        </w:rPr>
      </w:pPr>
    </w:p>
    <w:p>
      <w:pPr>
        <w:ind w:right="199" w:firstLine="648"/>
        <w:spacing w:after="0" w:line="277" w:lineRule="auto"/>
        <w:rPr>
          <w:sz w:val="20"/>
          <w:szCs w:val="20"/>
          <w:color w:val="auto"/>
        </w:rPr>
      </w:pPr>
      <w:r>
        <w:rPr>
          <w:rFonts w:ascii="Arial" w:cs="Arial" w:eastAsia="Arial" w:hAnsi="Arial"/>
          <w:sz w:val="18"/>
          <w:szCs w:val="18"/>
          <w:color w:val="auto"/>
        </w:rPr>
        <w:t>Shares repurchased are accounted for when the transaction is settled. There were no unsettled share repurchases at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62" w:lineRule="exact"/>
        <w:rPr>
          <w:sz w:val="20"/>
          <w:szCs w:val="20"/>
          <w:color w:val="auto"/>
        </w:rPr>
      </w:pPr>
    </w:p>
    <w:p>
      <w:pPr>
        <w:ind w:right="119"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Guidance</w:t>
      </w:r>
    </w:p>
    <w:p>
      <w:pPr>
        <w:spacing w:after="0" w:line="202" w:lineRule="exact"/>
        <w:rPr>
          <w:sz w:val="20"/>
          <w:szCs w:val="20"/>
          <w:color w:val="auto"/>
        </w:rPr>
      </w:pPr>
    </w:p>
    <w:p>
      <w:pPr>
        <w:ind w:right="79" w:firstLine="648"/>
        <w:spacing w:after="0" w:line="269" w:lineRule="auto"/>
        <w:rPr>
          <w:sz w:val="20"/>
          <w:szCs w:val="20"/>
          <w:color w:val="auto"/>
        </w:rPr>
      </w:pPr>
      <w:r>
        <w:rPr>
          <w:rFonts w:ascii="Arial" w:cs="Arial" w:eastAsia="Arial" w:hAnsi="Arial"/>
          <w:sz w:val="17"/>
          <w:szCs w:val="17"/>
          <w:color w:val="auto"/>
        </w:rPr>
        <w:t xml:space="preserve">We adopted Financial Accounting Standards Board ASU No. 2019-04 </w:t>
      </w:r>
      <w:r>
        <w:rPr>
          <w:rFonts w:ascii="Arial" w:cs="Arial" w:eastAsia="Arial" w:hAnsi="Arial"/>
          <w:sz w:val="17"/>
          <w:szCs w:val="17"/>
          <w:i w:val="1"/>
          <w:iCs w:val="1"/>
          <w:color w:val="auto"/>
        </w:rPr>
        <w:t>“Codification Improvements to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 Credit Losses, Topic 815, Derivatives and Hedging, and Topic 825, Financial Instruments” </w:t>
      </w:r>
      <w:r>
        <w:rPr>
          <w:rFonts w:ascii="Arial" w:cs="Arial" w:eastAsia="Arial" w:hAnsi="Arial"/>
          <w:sz w:val="17"/>
          <w:szCs w:val="17"/>
          <w:color w:val="auto"/>
        </w:rPr>
        <w:t>as of</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2020, using the modified-retrospective approach resulting in no cumulative adjustment to retained earnings. The amendments in this Update clarify the guidance within Topic 326 relating to credit losses. Topic 326 replaces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Due to the requirements of Topic 326, management reviews the average annual write-off rate along with an assessment of current micro and macro-economic factors to determine any expected losses. The adoption of this Update did not have any material impact on our results of operations or cash flows. See Note 5 above for further discussion.</w:t>
      </w:r>
    </w:p>
    <w:p>
      <w:pPr>
        <w:sectPr>
          <w:pgSz w:w="11900" w:h="16838" w:orient="portrait"/>
          <w:cols w:equalWidth="0" w:num="1">
            <w:col w:w="9079"/>
          </w:cols>
          <w:pgMar w:left="138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 – Revolving Credit Agreement</w:t>
      </w:r>
    </w:p>
    <w:p>
      <w:pPr>
        <w:spacing w:after="0" w:line="229" w:lineRule="exact"/>
        <w:rPr>
          <w:sz w:val="20"/>
          <w:szCs w:val="20"/>
          <w:color w:val="auto"/>
        </w:rPr>
      </w:pPr>
    </w:p>
    <w:p>
      <w:pPr>
        <w:ind w:right="119" w:firstLine="648"/>
        <w:spacing w:after="0" w:line="291" w:lineRule="auto"/>
        <w:rPr>
          <w:sz w:val="20"/>
          <w:szCs w:val="20"/>
          <w:color w:val="auto"/>
        </w:rPr>
      </w:pPr>
      <w:r>
        <w:rPr>
          <w:rFonts w:ascii="Arial" w:cs="Arial" w:eastAsia="Arial" w:hAnsi="Arial"/>
          <w:sz w:val="16"/>
          <w:szCs w:val="16"/>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who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August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31">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31">
        <w:r>
          <w:rPr>
            <w:rFonts w:ascii="Arial" w:cs="Arial" w:eastAsia="Arial" w:hAnsi="Arial"/>
            <w:sz w:val="17"/>
            <w:szCs w:val="17"/>
            <w:i w:val="1"/>
            <w:iCs w:val="1"/>
            <w:u w:val="single" w:color="auto"/>
            <w:color w:val="0000EE"/>
          </w:rPr>
          <w:t>December 31, 2019</w:t>
        </w:r>
        <w:r>
          <w:rPr>
            <w:rFonts w:ascii="Arial" w:cs="Arial" w:eastAsia="Arial" w:hAnsi="Arial"/>
            <w:sz w:val="17"/>
            <w:szCs w:val="17"/>
            <w:i w:val="1"/>
            <w:iCs w:val="1"/>
            <w:color w:val="000000"/>
          </w:rPr>
          <w:t xml:space="preserve">, in Part II, Item 1A of our Form 10-Q for the quarter ended March 31, 2020, and in Part II, Item </w:t>
        </w:r>
      </w:hyperlink>
      <w:r>
        <w:rPr>
          <w:rFonts w:ascii="Arial" w:cs="Arial" w:eastAsia="Arial" w:hAnsi="Arial"/>
          <w:sz w:val="17"/>
          <w:szCs w:val="17"/>
          <w:i w:val="1"/>
          <w:iCs w:val="1"/>
          <w:color w:val="0000EE"/>
        </w:rPr>
        <w:t xml:space="preserve">1A </w:t>
      </w:r>
      <w:r>
        <w:rPr>
          <w:rFonts w:ascii="Arial" w:cs="Arial" w:eastAsia="Arial" w:hAnsi="Arial"/>
          <w:sz w:val="17"/>
          <w:szCs w:val="17"/>
          <w:i w:val="1"/>
          <w:iCs w:val="1"/>
          <w:color w:val="000000"/>
        </w:rPr>
        <w:t>to</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this report on Form 10-Q,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occur primarily in the United States.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80.3% of total revenue for the six months ended June 30, 2020.</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first half of 2020, we delivered strong financial performance driven by demand for our Purion systems. The semiconductor supply chain was identified as a critical infrastructure sector in the Advisory Memorandum issued by the U.S. Department of Homeland Security’s Cybersecurity and Infrastructure Security Agency (“CISA”) on March 19, 2020 and updated on March 28, 2020. CISA’s list has been incorporated in orders by the Governor of Massachusetts and other states, which urge critical infrastructure sector businesses to continue to operate despite governmental restrictions imposed on general business operations during the COVID-19 pandemic. Accordingly, Axcelis has continued to operate throughout 2020, with a combination of work from home and the implementation of protocols for social distancing and other practices in our facilities, as recommended by the U.S. Centers for Disease Control and Prevention. Business travel has been substantially curtailed. Operations outside of the U.S. have also been conducted in accordance with applicable local governmental laws and public health recommendations. We are closely monitoring the impact of the pandemic on our business and will adjust operations as needed.</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ultimate consequence of the pandemic on the semiconductor industry will be the aggregation of both positive and negative forces on various customer market segments. For example, the pandemic is driving enhanced investment in PCs, video streaming and communications technologies. On the other hand, it is dampening the demand for semiconductors for automotive and aviation applications. Our customers will be adapting to the changes in the volumes of different types of semiconductors demanded by the market. These adaptations could cause delay and uncertainty that could impact Axcelis. However, we are continuing to work closely with our customers across market segments, even during this difficult time, to provide them with the best ion implant solutions for their specific manufacturing challenges.</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Currently implemented, and potential additional disruptions and restrictions on our operations and ability to travel, including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The COVID-19 pandemic may drive changes in the demand for certain of our customers’ products, resulting in a delay or cancelation of purchases from us. Travel restrictions imposed by various countries during the pandemic may also impact our ability, and our customers’ readiness, to have purchased systems installed on planned schedules, causing delays. The extent to which COVID-19 may impact our results will depend on future developments, which are highly uncertain and cannot be predicted, including the severity and duration of the current pandemic. We managed to achieve strong performance in the first half of 2020, despite</w:t>
      </w:r>
    </w:p>
    <w:p>
      <w:pPr>
        <w:sectPr>
          <w:pgSz w:w="11900" w:h="16838" w:orient="portrait"/>
          <w:cols w:equalWidth="0" w:num="1">
            <w:col w:w="9120"/>
          </w:cols>
          <w:pgMar w:left="1380" w:top="517" w:right="13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pandemic-related business risks described in this paragraph. At this time, however, there can be no assurance that these risks will not affect our future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2019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Conditions and Results of Operations included in our Annual Report on Form 10-K for the year ended December 31, 2019.</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0" w:name="page21"/>
    <w:bookmarkEnd w:id="20"/>
    <w:p>
      <w:pPr>
        <w:ind w:left="2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120" w:type="dxa"/>
            <w:vAlign w:val="bottom"/>
            <w:gridSpan w:val="5"/>
          </w:tcPr>
          <w:p>
            <w:pPr>
              <w:jc w:val="center"/>
              <w:ind w:right="419"/>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5"/>
          </w:tcPr>
          <w:p>
            <w:pPr>
              <w:jc w:val="center"/>
              <w:ind w:right="344"/>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14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2019</w:t>
            </w:r>
          </w:p>
        </w:tc>
        <w:tc>
          <w:tcPr>
            <w:tcW w:w="5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CCEEFF"/>
            </w:tcBorders>
          </w:tcPr>
          <w:p>
            <w:pPr>
              <w:spacing w:after="0"/>
              <w:rPr>
                <w:sz w:val="12"/>
                <w:szCs w:val="12"/>
                <w:color w:val="auto"/>
              </w:rPr>
            </w:pPr>
          </w:p>
        </w:tc>
      </w:tr>
      <w:tr>
        <w:trPr>
          <w:trHeight w:val="19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3"/>
        </w:trPr>
        <w:tc>
          <w:tcPr>
            <w:tcW w:w="5140" w:type="dxa"/>
            <w:vAlign w:val="bottom"/>
          </w:tcPr>
          <w:p>
            <w:pPr>
              <w:ind w:left="220"/>
              <w:spacing w:after="0"/>
              <w:rPr>
                <w:sz w:val="20"/>
                <w:szCs w:val="20"/>
                <w:color w:val="auto"/>
              </w:rPr>
            </w:pPr>
            <w:r>
              <w:rPr>
                <w:rFonts w:ascii="Arial" w:cs="Arial" w:eastAsia="Arial" w:hAnsi="Arial"/>
                <w:sz w:val="16"/>
                <w:szCs w:val="16"/>
                <w:color w:val="auto"/>
              </w:rPr>
              <w:t>Product</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95.3 %</w:t>
            </w:r>
          </w:p>
        </w:tc>
        <w:tc>
          <w:tcPr>
            <w:tcW w:w="160" w:type="dxa"/>
            <w:vAlign w:val="bottom"/>
          </w:tcPr>
          <w:p>
            <w:pPr>
              <w:spacing w:after="0"/>
              <w:rPr>
                <w:sz w:val="18"/>
                <w:szCs w:val="18"/>
                <w:color w:val="auto"/>
              </w:rPr>
            </w:pPr>
          </w:p>
        </w:tc>
        <w:tc>
          <w:tcPr>
            <w:tcW w:w="1020" w:type="dxa"/>
            <w:vAlign w:val="bottom"/>
            <w:gridSpan w:val="2"/>
          </w:tcPr>
          <w:p>
            <w:pPr>
              <w:jc w:val="right"/>
              <w:ind w:right="279"/>
              <w:spacing w:after="0"/>
              <w:rPr>
                <w:sz w:val="20"/>
                <w:szCs w:val="20"/>
                <w:color w:val="auto"/>
              </w:rPr>
            </w:pPr>
            <w:r>
              <w:rPr>
                <w:rFonts w:ascii="Arial" w:cs="Arial" w:eastAsia="Arial" w:hAnsi="Arial"/>
                <w:sz w:val="16"/>
                <w:szCs w:val="16"/>
                <w:color w:val="auto"/>
              </w:rPr>
              <w:t>92.5 %</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94.8 %</w:t>
            </w:r>
          </w:p>
        </w:tc>
        <w:tc>
          <w:tcPr>
            <w:tcW w:w="180" w:type="dxa"/>
            <w:vAlign w:val="bottom"/>
          </w:tcPr>
          <w:p>
            <w:pPr>
              <w:spacing w:after="0"/>
              <w:rPr>
                <w:sz w:val="18"/>
                <w:szCs w:val="18"/>
                <w:color w:val="auto"/>
              </w:rPr>
            </w:pPr>
          </w:p>
        </w:tc>
        <w:tc>
          <w:tcPr>
            <w:tcW w:w="940" w:type="dxa"/>
            <w:vAlign w:val="bottom"/>
            <w:gridSpan w:val="2"/>
          </w:tcPr>
          <w:p>
            <w:pPr>
              <w:jc w:val="right"/>
              <w:ind w:right="204"/>
              <w:spacing w:after="0"/>
              <w:rPr>
                <w:sz w:val="20"/>
                <w:szCs w:val="20"/>
                <w:color w:val="auto"/>
              </w:rPr>
            </w:pPr>
            <w:r>
              <w:rPr>
                <w:rFonts w:ascii="Arial" w:cs="Arial" w:eastAsia="Arial" w:hAnsi="Arial"/>
                <w:sz w:val="16"/>
                <w:szCs w:val="16"/>
                <w:color w:val="auto"/>
              </w:rPr>
              <w:t>92.2 %</w:t>
            </w:r>
          </w:p>
        </w:tc>
      </w:tr>
      <w:tr>
        <w:trPr>
          <w:trHeight w:val="21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5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400" w:type="dxa"/>
            <w:vAlign w:val="bottom"/>
            <w:shd w:val="clear" w:color="auto" w:fill="CCEEFF"/>
          </w:tcPr>
          <w:p>
            <w:pPr>
              <w:spacing w:after="0"/>
              <w:rPr>
                <w:sz w:val="19"/>
                <w:szCs w:val="19"/>
                <w:color w:val="auto"/>
              </w:rPr>
            </w:pPr>
          </w:p>
        </w:tc>
      </w:tr>
      <w:tr>
        <w:trPr>
          <w:trHeight w:val="196"/>
        </w:trPr>
        <w:tc>
          <w:tcPr>
            <w:tcW w:w="514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100.0</w:t>
            </w:r>
          </w:p>
        </w:tc>
        <w:tc>
          <w:tcPr>
            <w:tcW w:w="400" w:type="dxa"/>
            <w:vAlign w:val="bottom"/>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3"/>
        </w:trPr>
        <w:tc>
          <w:tcPr>
            <w:tcW w:w="5140" w:type="dxa"/>
            <w:vAlign w:val="bottom"/>
          </w:tcPr>
          <w:p>
            <w:pPr>
              <w:ind w:left="220"/>
              <w:spacing w:after="0"/>
              <w:rPr>
                <w:sz w:val="20"/>
                <w:szCs w:val="20"/>
                <w:color w:val="auto"/>
              </w:rPr>
            </w:pPr>
            <w:r>
              <w:rPr>
                <w:rFonts w:ascii="Arial" w:cs="Arial" w:eastAsia="Arial" w:hAnsi="Arial"/>
                <w:sz w:val="16"/>
                <w:szCs w:val="16"/>
                <w:color w:val="auto"/>
              </w:rPr>
              <w:t>Product</w:t>
            </w:r>
          </w:p>
        </w:tc>
        <w:tc>
          <w:tcPr>
            <w:tcW w:w="700" w:type="dxa"/>
            <w:vAlign w:val="bottom"/>
          </w:tcPr>
          <w:p>
            <w:pPr>
              <w:jc w:val="right"/>
              <w:spacing w:after="0"/>
              <w:rPr>
                <w:sz w:val="20"/>
                <w:szCs w:val="20"/>
                <w:color w:val="auto"/>
              </w:rPr>
            </w:pPr>
            <w:r>
              <w:rPr>
                <w:rFonts w:ascii="Arial" w:cs="Arial" w:eastAsia="Arial" w:hAnsi="Arial"/>
                <w:sz w:val="16"/>
                <w:szCs w:val="16"/>
                <w:color w:val="auto"/>
              </w:rPr>
              <w:t>53.3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w:t>
            </w:r>
          </w:p>
        </w:tc>
        <w:tc>
          <w:tcPr>
            <w:tcW w:w="400" w:type="dxa"/>
            <w:vAlign w:val="bottom"/>
          </w:tcPr>
          <w:p>
            <w:pPr>
              <w:spacing w:after="0"/>
              <w:rPr>
                <w:sz w:val="18"/>
                <w:szCs w:val="18"/>
                <w:color w:val="auto"/>
              </w:rPr>
            </w:pPr>
          </w:p>
        </w:tc>
      </w:tr>
      <w:tr>
        <w:trPr>
          <w:trHeight w:val="21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5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00" w:type="dxa"/>
            <w:vAlign w:val="bottom"/>
            <w:shd w:val="clear" w:color="auto" w:fill="CCEEFF"/>
          </w:tcPr>
          <w:p>
            <w:pPr>
              <w:spacing w:after="0"/>
              <w:rPr>
                <w:sz w:val="19"/>
                <w:szCs w:val="19"/>
                <w:color w:val="auto"/>
              </w:rPr>
            </w:pPr>
          </w:p>
        </w:tc>
      </w:tr>
      <w:tr>
        <w:trPr>
          <w:trHeight w:val="196"/>
        </w:trPr>
        <w:tc>
          <w:tcPr>
            <w:tcW w:w="514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700" w:type="dxa"/>
            <w:vAlign w:val="bottom"/>
          </w:tcPr>
          <w:p>
            <w:pPr>
              <w:jc w:val="right"/>
              <w:spacing w:after="0"/>
              <w:rPr>
                <w:sz w:val="20"/>
                <w:szCs w:val="20"/>
                <w:color w:val="auto"/>
              </w:rPr>
            </w:pPr>
            <w:r>
              <w:rPr>
                <w:rFonts w:ascii="Arial" w:cs="Arial" w:eastAsia="Arial" w:hAnsi="Arial"/>
                <w:sz w:val="16"/>
                <w:szCs w:val="16"/>
                <w:color w:val="auto"/>
              </w:rPr>
              <w:t>57.8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57.2</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w:t>
            </w:r>
          </w:p>
        </w:tc>
        <w:tc>
          <w:tcPr>
            <w:tcW w:w="400" w:type="dxa"/>
            <w:vAlign w:val="bottom"/>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400" w:type="dxa"/>
            <w:vAlign w:val="bottom"/>
            <w:shd w:val="clear" w:color="auto" w:fill="CCEEFF"/>
          </w:tcPr>
          <w:p>
            <w:pPr>
              <w:spacing w:after="0"/>
              <w:rPr>
                <w:sz w:val="18"/>
                <w:szCs w:val="18"/>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Operating expenses: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400" w:type="dxa"/>
            <w:vAlign w:val="bottom"/>
            <w:shd w:val="clear" w:color="auto" w:fill="CCEEFF"/>
          </w:tcPr>
          <w:p>
            <w:pPr>
              <w:spacing w:after="0"/>
              <w:rPr>
                <w:sz w:val="19"/>
                <w:szCs w:val="19"/>
                <w:color w:val="auto"/>
              </w:rPr>
            </w:pPr>
          </w:p>
        </w:tc>
      </w:tr>
      <w:tr>
        <w:trPr>
          <w:trHeight w:val="213"/>
        </w:trPr>
        <w:tc>
          <w:tcPr>
            <w:tcW w:w="514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70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18"/>
                <w:szCs w:val="18"/>
                <w:color w:val="auto"/>
              </w:rPr>
            </w:pPr>
          </w:p>
        </w:tc>
      </w:tr>
      <w:tr>
        <w:trPr>
          <w:trHeight w:val="21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5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0" w:type="dxa"/>
            <w:vAlign w:val="bottom"/>
            <w:shd w:val="clear" w:color="auto" w:fill="CCEEFF"/>
          </w:tcPr>
          <w:p>
            <w:pPr>
              <w:spacing w:after="0"/>
              <w:rPr>
                <w:sz w:val="19"/>
                <w:szCs w:val="19"/>
                <w:color w:val="auto"/>
              </w:rPr>
            </w:pPr>
          </w:p>
        </w:tc>
      </w:tr>
      <w:tr>
        <w:trPr>
          <w:trHeight w:val="196"/>
        </w:trPr>
        <w:tc>
          <w:tcPr>
            <w:tcW w:w="5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5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400" w:type="dxa"/>
            <w:vAlign w:val="bottom"/>
            <w:tcBorders>
              <w:bottom w:val="single" w:sz="8" w:color="CCEEFF"/>
            </w:tcBorders>
          </w:tcPr>
          <w:p>
            <w:pPr>
              <w:spacing w:after="0"/>
              <w:rPr>
                <w:sz w:val="17"/>
                <w:szCs w:val="17"/>
                <w:color w:val="auto"/>
              </w:rPr>
            </w:pPr>
          </w:p>
        </w:tc>
      </w:tr>
      <w:tr>
        <w:trPr>
          <w:trHeight w:val="19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0" w:type="dxa"/>
            <w:vAlign w:val="bottom"/>
            <w:shd w:val="clear" w:color="auto" w:fill="CCEEFF"/>
          </w:tcPr>
          <w:p>
            <w:pPr>
              <w:spacing w:after="0"/>
              <w:rPr>
                <w:sz w:val="17"/>
                <w:szCs w:val="17"/>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Other (expense) income: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9"/>
                <w:szCs w:val="19"/>
                <w:color w:val="auto"/>
              </w:rPr>
            </w:pPr>
          </w:p>
        </w:tc>
      </w:tr>
      <w:tr>
        <w:trPr>
          <w:trHeight w:val="213"/>
        </w:trPr>
        <w:tc>
          <w:tcPr>
            <w:tcW w:w="51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940" w:type="dxa"/>
            <w:vAlign w:val="bottom"/>
            <w:gridSpan w:val="2"/>
          </w:tcPr>
          <w:p>
            <w:pPr>
              <w:jc w:val="right"/>
              <w:ind w:right="15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1020" w:type="dxa"/>
            <w:vAlign w:val="bottom"/>
            <w:gridSpan w:val="2"/>
          </w:tcPr>
          <w:p>
            <w:pPr>
              <w:jc w:val="right"/>
              <w:ind w:right="419"/>
              <w:spacing w:after="0"/>
              <w:rPr>
                <w:sz w:val="20"/>
                <w:szCs w:val="20"/>
                <w:color w:val="auto"/>
              </w:rPr>
            </w:pPr>
            <w:r>
              <w:rPr>
                <w:rFonts w:ascii="Arial" w:cs="Arial" w:eastAsia="Arial" w:hAnsi="Arial"/>
                <w:sz w:val="16"/>
                <w:szCs w:val="16"/>
                <w:color w:val="auto"/>
              </w:rPr>
              <w:t>(1.8)</w:t>
            </w:r>
          </w:p>
        </w:tc>
        <w:tc>
          <w:tcPr>
            <w:tcW w:w="940" w:type="dxa"/>
            <w:vAlign w:val="bottom"/>
            <w:gridSpan w:val="2"/>
          </w:tcPr>
          <w:p>
            <w:pPr>
              <w:jc w:val="right"/>
              <w:ind w:right="159"/>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940" w:type="dxa"/>
            <w:vAlign w:val="bottom"/>
            <w:gridSpan w:val="2"/>
          </w:tcPr>
          <w:p>
            <w:pPr>
              <w:jc w:val="right"/>
              <w:ind w:right="324"/>
              <w:spacing w:after="0"/>
              <w:rPr>
                <w:sz w:val="20"/>
                <w:szCs w:val="20"/>
                <w:color w:val="auto"/>
              </w:rPr>
            </w:pPr>
            <w:r>
              <w:rPr>
                <w:rFonts w:ascii="Arial" w:cs="Arial" w:eastAsia="Arial" w:hAnsi="Arial"/>
                <w:sz w:val="16"/>
                <w:szCs w:val="16"/>
                <w:color w:val="auto"/>
              </w:rPr>
              <w:t>(1.5)</w:t>
            </w:r>
          </w:p>
        </w:tc>
      </w:tr>
      <w:tr>
        <w:trPr>
          <w:trHeight w:val="219"/>
        </w:trPr>
        <w:tc>
          <w:tcPr>
            <w:tcW w:w="5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(0.3)</w:t>
            </w: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4"/>
              <w:spacing w:after="0"/>
              <w:rPr>
                <w:sz w:val="20"/>
                <w:szCs w:val="20"/>
                <w:color w:val="auto"/>
              </w:rPr>
            </w:pPr>
            <w:r>
              <w:rPr>
                <w:rFonts w:ascii="Arial" w:cs="Arial" w:eastAsia="Arial" w:hAnsi="Arial"/>
                <w:sz w:val="16"/>
                <w:szCs w:val="16"/>
                <w:color w:val="auto"/>
              </w:rPr>
              <w:t>(0.2)</w:t>
            </w:r>
          </w:p>
        </w:tc>
      </w:tr>
      <w:tr>
        <w:trPr>
          <w:trHeight w:val="196"/>
        </w:trPr>
        <w:tc>
          <w:tcPr>
            <w:tcW w:w="5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expense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CCEEFF"/>
            </w:tcBorders>
          </w:tcPr>
          <w:p>
            <w:pPr>
              <w:spacing w:after="0"/>
              <w:rPr>
                <w:sz w:val="17"/>
                <w:szCs w:val="17"/>
                <w:color w:val="auto"/>
              </w:rPr>
            </w:pPr>
          </w:p>
        </w:tc>
      </w:tr>
      <w:tr>
        <w:trPr>
          <w:trHeight w:val="19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0" w:type="dxa"/>
            <w:vAlign w:val="bottom"/>
            <w:shd w:val="clear" w:color="auto" w:fill="CCEEFF"/>
          </w:tcPr>
          <w:p>
            <w:pPr>
              <w:spacing w:after="0"/>
              <w:rPr>
                <w:sz w:val="17"/>
                <w:szCs w:val="17"/>
                <w:color w:val="auto"/>
              </w:rPr>
            </w:pPr>
          </w:p>
        </w:tc>
      </w:tr>
      <w:tr>
        <w:trPr>
          <w:trHeight w:val="213"/>
        </w:trPr>
        <w:tc>
          <w:tcPr>
            <w:tcW w:w="5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400" w:type="dxa"/>
            <w:vAlign w:val="bottom"/>
            <w:tcBorders>
              <w:bottom w:val="single" w:sz="8" w:color="CCEEFF"/>
            </w:tcBorders>
          </w:tcPr>
          <w:p>
            <w:pPr>
              <w:spacing w:after="0"/>
              <w:rPr>
                <w:sz w:val="18"/>
                <w:szCs w:val="18"/>
                <w:color w:val="auto"/>
              </w:rPr>
            </w:pPr>
          </w:p>
        </w:tc>
      </w:tr>
      <w:tr>
        <w:trPr>
          <w:trHeight w:val="199"/>
        </w:trPr>
        <w:tc>
          <w:tcPr>
            <w:tcW w:w="5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5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74"/>
              </w:rPr>
              <w:t>%</w:t>
            </w:r>
          </w:p>
        </w:tc>
      </w:tr>
      <w:tr>
        <w:trPr>
          <w:trHeight w:val="20"/>
        </w:trPr>
        <w:tc>
          <w:tcPr>
            <w:tcW w:w="5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Period-to-Period</w:t>
            </w: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r>
      <w:tr>
        <w:trPr>
          <w:trHeight w:val="214"/>
        </w:trPr>
        <w:tc>
          <w:tcPr>
            <w:tcW w:w="2980" w:type="dxa"/>
            <w:vAlign w:val="bottom"/>
          </w:tcPr>
          <w:p>
            <w:pPr>
              <w:spacing w:after="0"/>
              <w:rPr>
                <w:sz w:val="18"/>
                <w:szCs w:val="18"/>
                <w:color w:val="auto"/>
              </w:rPr>
            </w:pPr>
          </w:p>
        </w:tc>
        <w:tc>
          <w:tcPr>
            <w:tcW w:w="17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29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(dollars 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0"/>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67"/>
        </w:trPr>
        <w:tc>
          <w:tcPr>
            <w:tcW w:w="2980" w:type="dxa"/>
            <w:vAlign w:val="bottom"/>
          </w:tcPr>
          <w:p>
            <w:pPr>
              <w:ind w:left="220"/>
              <w:spacing w:after="0"/>
              <w:rPr>
                <w:sz w:val="20"/>
                <w:szCs w:val="20"/>
                <w:color w:val="auto"/>
              </w:rPr>
            </w:pPr>
            <w:r>
              <w:rPr>
                <w:rFonts w:ascii="Arial" w:cs="Arial" w:eastAsia="Arial" w:hAnsi="Arial"/>
                <w:sz w:val="16"/>
                <w:szCs w:val="16"/>
                <w:color w:val="auto"/>
              </w:rPr>
              <w:t>Product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$ 117,194</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$ 68,714</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xml:space="preserve">$ </w:t>
            </w:r>
            <w:r>
              <w:rPr>
                <w:rFonts w:ascii="Arial" w:cs="Arial" w:eastAsia="Arial" w:hAnsi="Arial"/>
                <w:sz w:val="16"/>
                <w:szCs w:val="16"/>
                <w:i w:val="1"/>
                <w:iCs w:val="1"/>
                <w:color w:val="auto"/>
                <w:w w:val="89"/>
              </w:rPr>
              <w:t>48,480</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70.6 % </w:t>
            </w:r>
            <w:r>
              <w:rPr>
                <w:rFonts w:ascii="Arial" w:cs="Arial" w:eastAsia="Arial" w:hAnsi="Arial"/>
                <w:sz w:val="16"/>
                <w:szCs w:val="16"/>
                <w:color w:val="auto"/>
                <w:w w:val="95"/>
              </w:rPr>
              <w:t>$ 229,327</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$ 152,911</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6"/>
              </w:rPr>
              <w:t>$ 76,416</w:t>
            </w:r>
          </w:p>
        </w:tc>
        <w:tc>
          <w:tcPr>
            <w:tcW w:w="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i w:val="1"/>
                <w:iCs w:val="1"/>
                <w:color w:val="auto"/>
              </w:rPr>
              <w:t>50.0 %</w:t>
            </w:r>
          </w:p>
        </w:tc>
        <w:tc>
          <w:tcPr>
            <w:tcW w:w="260" w:type="dxa"/>
            <w:vAlign w:val="bottom"/>
          </w:tcPr>
          <w:p>
            <w:pPr>
              <w:spacing w:after="0"/>
              <w:rPr>
                <w:sz w:val="23"/>
                <w:szCs w:val="23"/>
                <w:color w:val="auto"/>
              </w:rPr>
            </w:pPr>
          </w:p>
        </w:tc>
      </w:tr>
      <w:tr>
        <w:trPr>
          <w:trHeight w:val="273"/>
        </w:trPr>
        <w:tc>
          <w:tcPr>
            <w:tcW w:w="29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95.3 %</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92.5 %</w:t>
            </w: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94.8 %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92.2 %</w:t>
            </w: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67"/>
        </w:trPr>
        <w:tc>
          <w:tcPr>
            <w:tcW w:w="2980" w:type="dxa"/>
            <w:vAlign w:val="bottom"/>
          </w:tcPr>
          <w:p>
            <w:pPr>
              <w:ind w:left="220"/>
              <w:spacing w:after="0"/>
              <w:rPr>
                <w:sz w:val="20"/>
                <w:szCs w:val="20"/>
                <w:color w:val="auto"/>
              </w:rPr>
            </w:pPr>
            <w:r>
              <w:rPr>
                <w:rFonts w:ascii="Arial" w:cs="Arial" w:eastAsia="Arial" w:hAnsi="Arial"/>
                <w:sz w:val="16"/>
                <w:szCs w:val="16"/>
                <w:color w:val="auto"/>
              </w:rPr>
              <w:t>Services</w:t>
            </w:r>
          </w:p>
        </w:tc>
        <w:tc>
          <w:tcPr>
            <w:tcW w:w="720" w:type="dxa"/>
            <w:vAlign w:val="bottom"/>
          </w:tcPr>
          <w:p>
            <w:pPr>
              <w:jc w:val="right"/>
              <w:spacing w:after="0"/>
              <w:rPr>
                <w:sz w:val="20"/>
                <w:szCs w:val="20"/>
                <w:color w:val="auto"/>
              </w:rPr>
            </w:pPr>
            <w:r>
              <w:rPr>
                <w:rFonts w:ascii="Arial" w:cs="Arial" w:eastAsia="Arial" w:hAnsi="Arial"/>
                <w:sz w:val="16"/>
                <w:szCs w:val="16"/>
                <w:color w:val="auto"/>
              </w:rPr>
              <w:t>5,771</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5,591</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180</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3.2 %</w:t>
            </w:r>
          </w:p>
        </w:tc>
        <w:tc>
          <w:tcPr>
            <w:tcW w:w="720" w:type="dxa"/>
            <w:vAlign w:val="bottom"/>
          </w:tcPr>
          <w:p>
            <w:pPr>
              <w:jc w:val="right"/>
              <w:spacing w:after="0"/>
              <w:rPr>
                <w:sz w:val="20"/>
                <w:szCs w:val="20"/>
                <w:color w:val="auto"/>
              </w:rPr>
            </w:pPr>
            <w:r>
              <w:rPr>
                <w:rFonts w:ascii="Arial" w:cs="Arial" w:eastAsia="Arial" w:hAnsi="Arial"/>
                <w:sz w:val="16"/>
                <w:szCs w:val="16"/>
                <w:color w:val="auto"/>
              </w:rPr>
              <w:t>12,629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12,871</w:t>
            </w:r>
          </w:p>
        </w:tc>
        <w:tc>
          <w:tcPr>
            <w:tcW w:w="2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(242)</w:t>
            </w:r>
          </w:p>
        </w:tc>
        <w:tc>
          <w:tcPr>
            <w:tcW w:w="580" w:type="dxa"/>
            <w:vAlign w:val="bottom"/>
            <w:gridSpan w:val="2"/>
          </w:tcPr>
          <w:p>
            <w:pPr>
              <w:jc w:val="right"/>
              <w:spacing w:after="0"/>
              <w:rPr>
                <w:sz w:val="20"/>
                <w:szCs w:val="20"/>
                <w:color w:val="auto"/>
              </w:rPr>
            </w:pPr>
            <w:r>
              <w:rPr>
                <w:rFonts w:ascii="Arial" w:cs="Arial" w:eastAsia="Arial" w:hAnsi="Arial"/>
                <w:sz w:val="16"/>
                <w:szCs w:val="16"/>
                <w:i w:val="1"/>
                <w:iCs w:val="1"/>
                <w:color w:val="auto"/>
              </w:rPr>
              <w:t>(1.9)%</w:t>
            </w:r>
          </w:p>
        </w:tc>
        <w:tc>
          <w:tcPr>
            <w:tcW w:w="260" w:type="dxa"/>
            <w:vAlign w:val="bottom"/>
          </w:tcPr>
          <w:p>
            <w:pPr>
              <w:spacing w:after="0"/>
              <w:rPr>
                <w:sz w:val="23"/>
                <w:szCs w:val="23"/>
                <w:color w:val="auto"/>
              </w:rPr>
            </w:pPr>
          </w:p>
        </w:tc>
      </w:tr>
      <w:tr>
        <w:trPr>
          <w:trHeight w:val="270"/>
        </w:trPr>
        <w:tc>
          <w:tcPr>
            <w:tcW w:w="29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4.7 %</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7.5 %</w:t>
            </w: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5.2 %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7.8 %</w:t>
            </w: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0"/>
        </w:trPr>
        <w:tc>
          <w:tcPr>
            <w:tcW w:w="2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0"/>
        </w:trPr>
        <w:tc>
          <w:tcPr>
            <w:tcW w:w="298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$ 122,965</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$ 74,305</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$ 48,660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65.5 % </w:t>
            </w:r>
            <w:r>
              <w:rPr>
                <w:rFonts w:ascii="Arial" w:cs="Arial" w:eastAsia="Arial" w:hAnsi="Arial"/>
                <w:sz w:val="16"/>
                <w:szCs w:val="16"/>
                <w:color w:val="auto"/>
                <w:w w:val="95"/>
              </w:rPr>
              <w:t>$ 241,956</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$ 165,782</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6"/>
              </w:rPr>
              <w:t>$ 76,174</w:t>
            </w: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i w:val="1"/>
                <w:iCs w:val="1"/>
                <w:color w:val="auto"/>
              </w:rPr>
              <w:t xml:space="preserve">45.9 </w:t>
            </w:r>
            <w:r>
              <w:rPr>
                <w:rFonts w:ascii="Arial" w:cs="Arial" w:eastAsia="Arial" w:hAnsi="Arial"/>
                <w:sz w:val="16"/>
                <w:szCs w:val="16"/>
                <w:color w:val="auto"/>
              </w:rPr>
              <w:t>%</w:t>
            </w:r>
          </w:p>
        </w:tc>
        <w:tc>
          <w:tcPr>
            <w:tcW w:w="26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Three months ended June 30, 2020 Compared with Three months ended June 30,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left="220" w:right="500" w:firstLine="648"/>
        <w:spacing w:after="0" w:line="342" w:lineRule="auto"/>
        <w:rPr>
          <w:sz w:val="20"/>
          <w:szCs w:val="20"/>
          <w:color w:val="auto"/>
        </w:rPr>
      </w:pPr>
      <w:r>
        <w:rPr>
          <w:rFonts w:ascii="Arial" w:cs="Arial" w:eastAsia="Arial" w:hAnsi="Arial"/>
          <w:sz w:val="16"/>
          <w:szCs w:val="16"/>
          <w:color w:val="auto"/>
        </w:rPr>
        <w:t>Product revenue, which includes systems sales, sales of spare parts, product upgrades and used systems was $117.2 million, or 95.3% of revenue during the three months ended June 30, 2020, compared with $68.7 million, or 92.5%</w:t>
      </w:r>
    </w:p>
    <w:p>
      <w:pPr>
        <w:sectPr>
          <w:pgSz w:w="11900" w:h="16838" w:orient="portrait"/>
          <w:cols w:equalWidth="0" w:num="1">
            <w:col w:w="9540"/>
          </w:cols>
          <w:pgMar w:left="1160" w:top="517" w:right="119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372110</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540"/>
          </w:cols>
          <w:pgMar w:left="1160" w:top="517" w:right="11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revenue for the three months ended June 30, 2019. The $48.5 million increase in product revenue for the three month period ending June 30, 2020, in comparison to the same period in 2019, was primarily driven by an increase in the number of systems sold.</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portion of our revenue from systems sales is deferred until installation and other services related to future performance obligations are performed. The total amount of deferred revenue at June 30, 2020 and December 31, 2019 was $30.4 million and $29.3 million, respectively. The net increase in deferred revenue was primarily due to the collection of advance payments on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Services revenue, which includes the labor component of maintenance and service contracts and fees for service hours provided by on-site service personnel, was $5.8 million, or 4.7% of revenue for the three months ended June 30, 2020, compared with $5.6 million, or 7.5% of revenue for the three months ended June 30, 2019.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Compared with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Product revenue was $229.3 million, or 94.8% of revenue during the six months ended June 30, 2020, compared with $152.9 million, or 92.2% of revenue for the six months ended June 30, 2019. The $76.4 million increase in product revenue for the six month period ended June 30, 2020, in comparison to the same period in 2019, was primarily driven by an increase in the number of systems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Services revenue was $12.6 million, or 5.2% of revenue for the six months ended June 30, 2020, compared with $12.9 million, or 7.8% of revenue for the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00" w:right="840" w:hanging="323"/>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Ion implant revenue separate from revenue from legacy non-implant product lines, given that ion implantation systems are the primary driver of our growth and strategic objectives;</w:t>
      </w:r>
    </w:p>
    <w:p>
      <w:pPr>
        <w:spacing w:after="0" w:line="146" w:lineRule="exact"/>
        <w:rPr>
          <w:rFonts w:ascii="Arial" w:cs="Arial" w:eastAsia="Arial" w:hAnsi="Arial"/>
          <w:sz w:val="17"/>
          <w:szCs w:val="17"/>
          <w:color w:val="auto"/>
        </w:rPr>
      </w:pPr>
    </w:p>
    <w:p>
      <w:pPr>
        <w:ind w:left="1300" w:hanging="32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40" w:right="560" w:hanging="315"/>
        <w:spacing w:after="0" w:line="250" w:lineRule="auto"/>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40" w:hanging="315"/>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00" w:right="60" w:hanging="323"/>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00" w:right="360" w:hanging="323"/>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ectPr>
          <w:pgSz w:w="11900" w:h="16838" w:orient="portrait"/>
          <w:cols w:equalWidth="0" w:num="1">
            <w:col w:w="9120"/>
          </w:cols>
          <w:pgMar w:left="1380" w:top="517" w:right="13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ion implant and Aftermarket revenue categories for recent periods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Compared with Three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Included in total revenue of $123.0 million during the three months ended June 30, 2020 is revenue from sales of ion implant products and services of $118.7 million, or 96.6% of total revenue, compared with $70.2 million, or 94.5%, of total revenue for the three months ended June 30, 2019. The remaining $4.3 million of revenue for the three months ended June 30, 2020 was non-ion implant parts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Included in total revenue of $123.0 million during the three months ended June 30, 2020 is revenue from our Aftermarket business of $46.2 million, compared to $37.1 million for the three months ended June 30, 2019. The remaining $76.8 million of revenue for the three months ended June 30, 2020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Compared with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Included in total revenue of $242.0 million during the six months ended June 30, 2020 is revenue from sales of ion implant products and services of $233.8 million, or 96.6% of total revenue, compared with $157.2 million, or 94.8%, of total revenue for the six months ended June 30, 2019. The remaining $8.2 million of revenue for the six months ended June 30, 2020 was non-ion implant parts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Included in total revenue of $242.0 million during the six months ended June 30, 2020 is revenue from our Aftermarket business of $82.8 million, compared to $71.5 million for the six months ended June 30, 2019. The remaining $159.2 million of revenue for the six months ended June 30, 2020 was from system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384"/>
              <w:spacing w:after="0"/>
              <w:rPr>
                <w:sz w:val="20"/>
                <w:szCs w:val="20"/>
                <w:color w:val="auto"/>
              </w:rPr>
            </w:pPr>
            <w:r>
              <w:rPr>
                <w:rFonts w:ascii="Arial" w:cs="Arial" w:eastAsia="Arial" w:hAnsi="Arial"/>
                <w:sz w:val="14"/>
                <w:szCs w:val="14"/>
                <w:b w:val="1"/>
                <w:bCs w:val="1"/>
                <w:color w:val="auto"/>
                <w:w w:val="94"/>
              </w:rPr>
              <w:t>Three months ended</w:t>
            </w:r>
          </w:p>
        </w:tc>
        <w:tc>
          <w:tcPr>
            <w:tcW w:w="40" w:type="dxa"/>
            <w:vAlign w:val="bottom"/>
          </w:tcPr>
          <w:p>
            <w:pPr>
              <w:spacing w:after="0"/>
              <w:rPr>
                <w:sz w:val="14"/>
                <w:szCs w:val="14"/>
                <w:color w:val="auto"/>
              </w:rPr>
            </w:pPr>
          </w:p>
        </w:tc>
        <w:tc>
          <w:tcPr>
            <w:tcW w:w="1580" w:type="dxa"/>
            <w:vAlign w:val="bottom"/>
            <w:gridSpan w:val="5"/>
          </w:tcPr>
          <w:p>
            <w:pPr>
              <w:jc w:val="center"/>
              <w:ind w:right="224"/>
              <w:spacing w:after="0"/>
              <w:rPr>
                <w:sz w:val="20"/>
                <w:szCs w:val="20"/>
                <w:color w:val="auto"/>
              </w:rPr>
            </w:pPr>
            <w:r>
              <w:rPr>
                <w:rFonts w:ascii="Arial" w:cs="Arial" w:eastAsia="Arial" w:hAnsi="Arial"/>
                <w:sz w:val="14"/>
                <w:szCs w:val="14"/>
                <w:b w:val="1"/>
                <w:bCs w:val="1"/>
                <w:color w:val="auto"/>
                <w:w w:val="94"/>
              </w:rPr>
              <w:t>Period-to-Period</w:t>
            </w:r>
          </w:p>
        </w:tc>
        <w:tc>
          <w:tcPr>
            <w:tcW w:w="1740" w:type="dxa"/>
            <w:vAlign w:val="bottom"/>
            <w:gridSpan w:val="7"/>
          </w:tcPr>
          <w:p>
            <w:pPr>
              <w:jc w:val="center"/>
              <w:ind w:right="184"/>
              <w:spacing w:after="0"/>
              <w:rPr>
                <w:sz w:val="20"/>
                <w:szCs w:val="20"/>
                <w:color w:val="auto"/>
              </w:rPr>
            </w:pPr>
            <w:r>
              <w:rPr>
                <w:rFonts w:ascii="Arial" w:cs="Arial" w:eastAsia="Arial" w:hAnsi="Arial"/>
                <w:sz w:val="14"/>
                <w:szCs w:val="14"/>
                <w:b w:val="1"/>
                <w:bCs w:val="1"/>
                <w:color w:val="auto"/>
                <w:w w:val="89"/>
              </w:rPr>
              <w:t>Six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center"/>
              <w:ind w:left="363"/>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204"/>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in</w:t>
            </w:r>
          </w:p>
        </w:tc>
        <w:tc>
          <w:tcPr>
            <w:tcW w:w="64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(dollars</w:t>
            </w:r>
          </w:p>
        </w:tc>
        <w:tc>
          <w:tcPr>
            <w:tcW w:w="280" w:type="dxa"/>
            <w:vAlign w:val="bottom"/>
            <w:gridSpan w:val="2"/>
            <w:vMerge w:val="continue"/>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6"/>
                <w:szCs w:val="16"/>
                <w:color w:val="auto"/>
              </w:rPr>
              <w:t>Product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51,675</w:t>
            </w:r>
          </w:p>
        </w:tc>
        <w:tc>
          <w:tcPr>
            <w:tcW w:w="180" w:type="dxa"/>
            <w:vAlign w:val="bottom"/>
          </w:tcPr>
          <w:p>
            <w:pPr>
              <w:spacing w:after="0"/>
              <w:rPr>
                <w:sz w:val="18"/>
                <w:szCs w:val="18"/>
                <w:color w:val="auto"/>
              </w:rPr>
            </w:pPr>
          </w:p>
        </w:tc>
        <w:tc>
          <w:tcPr>
            <w:tcW w:w="2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31,526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$ 20,149</w:t>
            </w:r>
          </w:p>
        </w:tc>
        <w:tc>
          <w:tcPr>
            <w:tcW w:w="940" w:type="dxa"/>
            <w:vAlign w:val="bottom"/>
            <w:gridSpan w:val="4"/>
          </w:tcPr>
          <w:p>
            <w:pPr>
              <w:jc w:val="right"/>
              <w:spacing w:after="0"/>
              <w:rPr>
                <w:sz w:val="20"/>
                <w:szCs w:val="20"/>
                <w:color w:val="auto"/>
              </w:rPr>
            </w:pPr>
            <w:r>
              <w:rPr>
                <w:rFonts w:ascii="Arial" w:cs="Arial" w:eastAsia="Arial" w:hAnsi="Arial"/>
                <w:sz w:val="16"/>
                <w:szCs w:val="16"/>
                <w:i w:val="1"/>
                <w:iCs w:val="1"/>
                <w:color w:val="auto"/>
              </w:rPr>
              <w:t xml:space="preserve">63.9 % </w:t>
            </w: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96,636</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68,393</w:t>
            </w:r>
          </w:p>
        </w:tc>
        <w:tc>
          <w:tcPr>
            <w:tcW w:w="160" w:type="dxa"/>
            <w:vAlign w:val="bottom"/>
          </w:tcPr>
          <w:p>
            <w:pPr>
              <w:spacing w:after="0"/>
              <w:rPr>
                <w:sz w:val="18"/>
                <w:szCs w:val="18"/>
                <w:color w:val="auto"/>
              </w:rPr>
            </w:pPr>
          </w:p>
        </w:tc>
        <w:tc>
          <w:tcPr>
            <w:tcW w:w="20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28,243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 xml:space="preserve">41.3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w w:val="99"/>
              </w:rPr>
              <w:t>Product gross margin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44.1 %</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45.9 %</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42.1 %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44.7 %</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(0.4)%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(5.8)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6"/>
                <w:szCs w:val="16"/>
                <w:i w:val="1"/>
                <w:iCs w:val="1"/>
                <w:color w:val="auto"/>
                <w:w w:val="96"/>
              </w:rPr>
              <w:t>Services gross margin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3.9 %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4.0 %</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i w:val="1"/>
                <w:iCs w:val="1"/>
                <w:color w:val="auto"/>
              </w:rPr>
              <w:t>6.4 %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i w:val="1"/>
                <w:iCs w:val="1"/>
                <w:color w:val="auto"/>
              </w:rPr>
              <w:t>6.7 %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$ 20,150</w:t>
            </w:r>
          </w:p>
        </w:tc>
        <w:tc>
          <w:tcPr>
            <w:tcW w:w="860" w:type="dxa"/>
            <w:vAlign w:val="bottom"/>
            <w:tcBorders>
              <w:top w:val="single" w:sz="8" w:color="CCEEFF"/>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63.5 %</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69,255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28,193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40.7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42.2</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i w:val="1"/>
                <w:iCs w:val="1"/>
                <w:color w:val="auto"/>
              </w:rPr>
              <w:t>42.8</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40.3</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i w:val="1"/>
                <w:iCs w:val="1"/>
                <w:color w:val="auto"/>
              </w:rPr>
              <w:t>41.8</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Compared with Three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Gross margin from product revenue was 44.1% for the three months ended June 30, 2020, compared to 45.9% for the three months ended June 30, 2019. The decrease in gross margin resulted from a decreased mix of higher margin parts and upgrades, partially offset by improved margins on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Gross margin from services revenue was 3.9% for the three month periods ended June 30, 2020, compared to 4.0% for the three months ended June 30, 2019. The decrease in gross margin is attributable to changes in the mix of service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Compared with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Gross margin from product revenue was 42.1% for the six months ended June 30, 2020, compared to 44.7% for the six months ended June 30, 2019. The decrease in gross margin resulted from a decreased mix of higher margin parts and upgrades, partially offset by improved margins on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Gross margin from services revenue was 6.4% for the six months ended June 30, 2020, compared to 6.7% for the six months ended June 30, 2019. The decrease in gross margin is attributable to changes in the mix of service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580" w:type="dxa"/>
            <w:vAlign w:val="bottom"/>
            <w:gridSpan w:val="6"/>
          </w:tcPr>
          <w:p>
            <w:pPr>
              <w:ind w:left="60"/>
              <w:spacing w:after="0"/>
              <w:rPr>
                <w:sz w:val="20"/>
                <w:szCs w:val="20"/>
                <w:color w:val="auto"/>
              </w:rPr>
            </w:pPr>
            <w:r>
              <w:rPr>
                <w:rFonts w:ascii="Arial" w:cs="Arial" w:eastAsia="Arial" w:hAnsi="Arial"/>
                <w:sz w:val="14"/>
                <w:szCs w:val="14"/>
                <w:b w:val="1"/>
                <w:bCs w:val="1"/>
                <w:color w:val="auto"/>
              </w:rPr>
              <w:t>Period-to-Period</w:t>
            </w:r>
          </w:p>
        </w:tc>
        <w:tc>
          <w:tcPr>
            <w:tcW w:w="158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w w:val="96"/>
              </w:rPr>
              <w:t>Six months ended</w:t>
            </w:r>
          </w:p>
        </w:tc>
        <w:tc>
          <w:tcPr>
            <w:tcW w:w="160" w:type="dxa"/>
            <w:vAlign w:val="bottom"/>
          </w:tcPr>
          <w:p>
            <w:pPr>
              <w:spacing w:after="0"/>
              <w:rPr>
                <w:sz w:val="14"/>
                <w:szCs w:val="14"/>
                <w:color w:val="auto"/>
              </w:rPr>
            </w:pPr>
          </w:p>
        </w:tc>
        <w:tc>
          <w:tcPr>
            <w:tcW w:w="16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(dollars</w:t>
            </w:r>
          </w:p>
        </w:tc>
        <w:tc>
          <w:tcPr>
            <w:tcW w:w="200" w:type="dxa"/>
            <w:vAlign w:val="bottom"/>
            <w:vMerge w:val="continue"/>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13,720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2,320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16.9 </w:t>
            </w:r>
            <w:r>
              <w:rPr>
                <w:rFonts w:ascii="Arial" w:cs="Arial" w:eastAsia="Arial" w:hAnsi="Arial"/>
                <w:sz w:val="14"/>
                <w:szCs w:val="14"/>
                <w:color w:val="auto"/>
              </w:rPr>
              <w:t>% $</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30,646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27,405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 xml:space="preserve">11.8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13.0 %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18.5 %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12.7 %</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16.5 %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1,001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11.9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17,354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 xml:space="preserve">1.7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7.7 %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11.4 %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7.3 %</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10.5 %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2,458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32.4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19,077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15,390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 xml:space="preserve">24.0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8.2 %</w:t>
            </w: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10.2 %</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7.9 %</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9.3 %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29,739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w w:val="96"/>
              </w:rPr>
              <w:t>5,779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 xml:space="preserve">19.4 </w:t>
            </w: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67,364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60,149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7,215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i w:val="1"/>
                <w:iCs w:val="1"/>
                <w:color w:val="auto"/>
              </w:rPr>
              <w:t xml:space="preserve">12.0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6"/>
              </w:rPr>
              <w:t>%</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6"/>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i w:val="1"/>
                <w:iCs w:val="1"/>
                <w:color w:val="auto"/>
              </w:rPr>
              <w:t>28.9</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i w:val="1"/>
                <w:iCs w:val="1"/>
                <w:color w:val="auto"/>
              </w:rPr>
              <w:t>40.1</w:t>
            </w: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27.9</w:t>
            </w: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i w:val="1"/>
                <w:iCs w:val="1"/>
                <w:color w:val="auto"/>
              </w:rPr>
              <w:t>36.3</w:t>
            </w: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expected incentive plan payouts,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Personnel costs are our largest expense, representing $22.8 million or 64.3% of our total operating expenses for the three month period ended June 30, 2020, compared to $17.8 million or 59.9% of our total operating expenses for the three month period ended June 30, 2019. Personnel costs were $42.8 million or 63.5% of our total operating expenses for the six month period ended June 30, 2020, compared to $35.6 million or 59.2% of our total operating expenses for the six month period ended June 30, 2019. The higher personnel costs for the three and six month periods ended June 30, 2020 is primarily due to higher incentive based pay expense.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Six months ended</w:t>
            </w:r>
          </w:p>
        </w:tc>
        <w:tc>
          <w:tcPr>
            <w:tcW w:w="16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26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09"/>
        </w:trPr>
        <w:tc>
          <w:tcPr>
            <w:tcW w:w="266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129"/>
        </w:trPr>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$ 16,040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$ 13,720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$ 2,320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i w:val="1"/>
                <w:iCs w:val="1"/>
                <w:color w:val="auto"/>
              </w:rPr>
              <w:t xml:space="preserve">16.9 </w:t>
            </w: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30,646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27,405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3,241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11.8 </w:t>
            </w:r>
            <w:r>
              <w:rPr>
                <w:rFonts w:ascii="Arial" w:cs="Arial" w:eastAsia="Arial" w:hAnsi="Arial"/>
                <w:sz w:val="16"/>
                <w:szCs w:val="16"/>
                <w:color w:val="auto"/>
              </w:rPr>
              <w:t>%</w:t>
            </w: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13.0 %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18.5 %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12.7 %</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16.5 %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Compared with Three months ended June 30, 2019</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Research and development expense was $16.0 million during the three months ended June 30, 2020, an increase of $2.3 million, or 16.9%, compared with $13.7 million during the three months ended June 30, 2019. The increase is primarily due to higher incentive based pay expense, supplies and materials costs for ongoing projects and increased depreciation associated with capital additions.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Compared with Six months ended June 30, 2019</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Research and development expense was $30.6 million during the six months ended June 30, 2020, an increase of $3.2 million, or 11.8%, compared with $27.4 million during the six months ended June 30, 2019. The increase is primarily due to higher incentive based pay expense, supplies and materials costs for ongoing projects and increased depreciation associated with capital additions.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Three months ended</w:t>
            </w: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6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3020" w:type="dxa"/>
            <w:vAlign w:val="bottom"/>
          </w:tcPr>
          <w:p>
            <w:pPr>
              <w:spacing w:after="0"/>
              <w:rPr>
                <w:sz w:val="14"/>
                <w:szCs w:val="14"/>
                <w:color w:val="auto"/>
              </w:rPr>
            </w:pPr>
          </w:p>
        </w:tc>
        <w:tc>
          <w:tcPr>
            <w:tcW w:w="1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r>
      <w:tr>
        <w:trPr>
          <w:trHeight w:val="128"/>
        </w:trPr>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3"/>
          </w:tcPr>
          <w:p>
            <w:pPr>
              <w:jc w:val="center"/>
              <w:ind w:left="25"/>
              <w:spacing w:after="0" w:line="129" w:lineRule="exact"/>
              <w:rPr>
                <w:sz w:val="20"/>
                <w:szCs w:val="20"/>
                <w:color w:val="auto"/>
              </w:rPr>
            </w:pPr>
            <w:r>
              <w:rPr>
                <w:rFonts w:ascii="Arial" w:cs="Arial" w:eastAsia="Arial" w:hAnsi="Arial"/>
                <w:sz w:val="14"/>
                <w:szCs w:val="14"/>
                <w:b w:val="1"/>
                <w:bCs w:val="1"/>
                <w:color w:val="auto"/>
                <w:w w:val="83"/>
              </w:rPr>
              <w:t>(dollars in 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$ 9,437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$ 8,436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$ 1,001</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6"/>
                <w:szCs w:val="16"/>
                <w:i w:val="1"/>
                <w:iCs w:val="1"/>
                <w:color w:val="auto"/>
              </w:rPr>
              <w:t xml:space="preserve">11.9 </w:t>
            </w:r>
            <w:r>
              <w:rPr>
                <w:rFonts w:ascii="Arial" w:cs="Arial" w:eastAsia="Arial" w:hAnsi="Arial"/>
                <w:sz w:val="16"/>
                <w:szCs w:val="16"/>
                <w:color w:val="auto"/>
              </w:rPr>
              <w:t>% $ 17,641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$ 17,354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i w:val="1"/>
                <w:iCs w:val="1"/>
                <w:color w:val="auto"/>
              </w:rPr>
              <w:t xml:space="preserve">1.7 </w:t>
            </w:r>
            <w:r>
              <w:rPr>
                <w:rFonts w:ascii="Arial" w:cs="Arial" w:eastAsia="Arial" w:hAnsi="Arial"/>
                <w:sz w:val="16"/>
                <w:szCs w:val="16"/>
                <w:color w:val="auto"/>
              </w:rPr>
              <w:t>%</w:t>
            </w:r>
          </w:p>
        </w:tc>
      </w:tr>
      <w:tr>
        <w:trPr>
          <w:trHeight w:val="210"/>
        </w:trPr>
        <w:tc>
          <w:tcPr>
            <w:tcW w:w="302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7.7 %</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11.4 %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7.3 %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10.5 %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Compared with Three months ended June 30, 2019</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Sales and marketing expense was $9.4 million during the three months ended June 30, 2020, an increase of $1.0 million, or 11.9%, compared with $8.4 million during the three months ended June 30, 2019. The increase is primarily due to higher incentive based pay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Compared with Six months ended June 30, 2019</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Sales and marketing expense was $17.6 million during the six months ended June 30, 2020, an increase of $0.3 million, or 1.7%, compared with $17.4 million during the six months ended June 30, 2019. The increase is primarily due to higher incentive based pay expense.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1"/>
              </w:rPr>
              <w:t>Three months ended</w:t>
            </w:r>
          </w:p>
        </w:tc>
        <w:tc>
          <w:tcPr>
            <w:tcW w:w="150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2"/>
              </w:rPr>
              <w:t>Period-to-Period</w:t>
            </w:r>
          </w:p>
        </w:tc>
        <w:tc>
          <w:tcPr>
            <w:tcW w:w="16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89"/>
              </w:rPr>
              <w:t>Change</w:t>
            </w:r>
          </w:p>
        </w:tc>
        <w:tc>
          <w:tcPr>
            <w:tcW w:w="16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86"/>
              </w:rPr>
              <w:t>(dollars</w:t>
            </w:r>
          </w:p>
        </w:tc>
        <w:tc>
          <w:tcPr>
            <w:tcW w:w="20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$ 10,041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$ 7,583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2,458</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 xml:space="preserve">32.4 </w:t>
            </w:r>
            <w:r>
              <w:rPr>
                <w:rFonts w:ascii="Arial" w:cs="Arial" w:eastAsia="Arial" w:hAnsi="Arial"/>
                <w:sz w:val="16"/>
                <w:szCs w:val="16"/>
                <w:color w:val="auto"/>
              </w:rPr>
              <w:t>% $ 19,077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$ 15,390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$ 3,687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i w:val="1"/>
                <w:iCs w:val="1"/>
                <w:color w:val="auto"/>
                <w:w w:val="96"/>
              </w:rPr>
              <w:t xml:space="preserve">24.0 </w:t>
            </w: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28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8.2 %</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10.2 %</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7.9 %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9.3 %</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2020 Compared with Three months ended June 30, 2019</w:t>
      </w:r>
    </w:p>
    <w:p>
      <w:pPr>
        <w:spacing w:after="0" w:line="14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General and administrative expense was $10.0 million during the three months ended June 30, 2020, an increase of $2.5 million, or 32.4%, compared with $7.6 million during the three months ended June 30, 2019. The increase is primarily due to an increase in incentive based pay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2020 Compared with Six months ended June 30, 2019</w:t>
      </w:r>
    </w:p>
    <w:p>
      <w:pPr>
        <w:spacing w:after="0" w:line="144"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General and administrative expense was $19.1 million during the six months ended June 30, 2020, an increase of $3.7 million, or 24.0%, compared with $15.4 million during the six months ended June 30, 2019. The increase is primarily due to an increase in incentive based pay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60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93"/>
              </w:rPr>
              <w:t>Period-to-period</w:t>
            </w:r>
          </w:p>
        </w:tc>
        <w:tc>
          <w:tcPr>
            <w:tcW w:w="1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4"/>
                <w:szCs w:val="14"/>
                <w:color w:val="auto"/>
              </w:rPr>
            </w:pPr>
          </w:p>
        </w:tc>
        <w:tc>
          <w:tcPr>
            <w:tcW w:w="1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Period-to-period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85"/>
              </w:rPr>
              <w:t>change</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left="226"/>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83"/>
              </w:rPr>
              <w:t>2019</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40" w:type="dxa"/>
            <w:vAlign w:val="bottom"/>
            <w:vMerge w:val="continue"/>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(23.4)</w:t>
            </w:r>
            <w:r>
              <w:rPr>
                <w:rFonts w:ascii="Arial" w:cs="Arial" w:eastAsia="Arial" w:hAnsi="Arial"/>
                <w:sz w:val="16"/>
                <w:szCs w:val="16"/>
                <w:color w:val="auto"/>
              </w:rPr>
              <w:t>% $</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(1,217)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i w:val="1"/>
                <w:iCs w:val="1"/>
                <w:color w:val="auto"/>
                <w:w w:val="96"/>
              </w:rPr>
              <w:t>(84.8)</w:t>
            </w: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26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i w:val="1"/>
                <w:iCs w:val="1"/>
                <w:color w:val="auto"/>
              </w:rPr>
              <w:t>(0.7)%</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i w:val="1"/>
                <w:iCs w:val="1"/>
                <w:color w:val="auto"/>
              </w:rPr>
              <w:t>(1.0)%</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i w:val="1"/>
                <w:iCs w:val="1"/>
                <w:color w:val="auto"/>
              </w:rPr>
              <w:t>(0.7)%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Other expense was $0.8 million for the three months ended June 30, 2020, compared with $0.7 million for the three months ended June 30, 2019. The increase in other expense of $0.1 million for the three month period ended June 30, 2020 compared to the three month period ended June 30, 2019, was primarily due to higher foreign currency exchange losses in the current year period compared to the prior year. Other expense was $2.2 million for the six months ended June 30, 2020, compared with $1.2 million for the six months ended June 30, 2019. The increase in other expense of $1.0 million for the six month period ended June 30, 2020 compared to the six month period ended June 30, 2019, was primarily due to higher foreign currency exchange losses in the current year period compared to the prior year.</w:t>
      </w:r>
    </w:p>
    <w:p>
      <w:pPr>
        <w:spacing w:after="0" w:line="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 month periods ended June 30, 2020 and 2019, we had no significant off-balance-sheet risk such as exchange contracts, option contracts or other hedging arrangements.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5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7"/>
              </w:rPr>
              <w:t>Three months ended</w:t>
            </w:r>
          </w:p>
        </w:tc>
        <w:tc>
          <w:tcPr>
            <w:tcW w:w="1640" w:type="dxa"/>
            <w:vAlign w:val="bottom"/>
            <w:gridSpan w:val="5"/>
          </w:tcPr>
          <w:p>
            <w:pPr>
              <w:jc w:val="center"/>
              <w:ind w:right="228"/>
              <w:spacing w:after="0"/>
              <w:rPr>
                <w:sz w:val="20"/>
                <w:szCs w:val="20"/>
                <w:color w:val="auto"/>
              </w:rPr>
            </w:pPr>
            <w:r>
              <w:rPr>
                <w:rFonts w:ascii="Arial" w:cs="Arial" w:eastAsia="Arial" w:hAnsi="Arial"/>
                <w:sz w:val="14"/>
                <w:szCs w:val="14"/>
                <w:b w:val="1"/>
                <w:bCs w:val="1"/>
                <w:color w:val="auto"/>
                <w:w w:val="93"/>
              </w:rPr>
              <w:t>Period-to-period</w:t>
            </w: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jc w:val="center"/>
              <w:ind w:left="386"/>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2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71"/>
              </w:rPr>
              <w:t>(dollars</w:t>
            </w:r>
          </w:p>
        </w:tc>
        <w:tc>
          <w:tcPr>
            <w:tcW w:w="30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2,271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1,472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i w:val="1"/>
                <w:iCs w:val="1"/>
                <w:color w:val="auto"/>
                <w:w w:val="95"/>
              </w:rPr>
              <w:t xml:space="preserve">184.2 </w:t>
            </w:r>
            <w:r>
              <w:rPr>
                <w:rFonts w:ascii="Arial" w:cs="Arial" w:eastAsia="Arial" w:hAnsi="Arial"/>
                <w:sz w:val="16"/>
                <w:szCs w:val="16"/>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3,312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1,271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2,041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 xml:space="preserve">160.6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2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1.8 %</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i w:val="1"/>
                <w:iCs w:val="1"/>
                <w:color w:val="auto"/>
              </w:rPr>
              <w:t>1.1 %</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i w:val="1"/>
                <w:i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xml:space="preserve">0.8 </w:t>
            </w:r>
            <w:r>
              <w:rPr>
                <w:rFonts w:ascii="Arial" w:cs="Arial" w:eastAsia="Arial" w:hAnsi="Arial"/>
                <w:sz w:val="16"/>
                <w:szCs w:val="16"/>
                <w:i w:val="1"/>
                <w:iCs w:val="1"/>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Income tax expense was $2.3 million for the three months ended June 30, 2020, compared to $0.8 million for the three months ended June 30, 2019. The $1.5 million increase was primarily due to a $14.2 million increase in pretax income. The income tax provision was $3.3 million during the six months ended June 30, 2020, compared to $1.3 million for the six months ended June 30, 2019. The $2.0 million increase was primarily due to a $19.9 million increase in pretax income. The effective tax rate for the three and six months ended June 30, 2020 and 2019, respectively, was less than the U.S. statutory rate of 21% due to favorable discrete items related to equity compensation in those periods and Federal research and development tax credits that reduce the annual tax rate.</w:t>
      </w:r>
    </w:p>
    <w:p>
      <w:pPr>
        <w:spacing w:after="0" w:line="17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had $64.6 million and $68.1 million of net deferred tax assets worldwide relating to net operating loss carryforwards, tax credit carryforwards and other temporary differences, as of June 30, 2020 and December 31, 2019, respectively. These deferred tax assets are available to reduce income taxes in future years. We have a $9.2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166"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("CARES Act"). The CARES Act, among other things, includes certain income tax provisions for individuals and corporations, however, these benefits do not materially impact our income tax provision.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had $190.3 million in unrestricted cash and cash equivalents at June 30, 2020, in addition to $6.7 million in restricted cash, primarily comprised of the $5.9 million security deposit for the lease of our corporate headquarters. Management believes that maintaining a strong cash balance is necessary to provide funding for potential ramps in our business which can require significant cash investment to meet sudden demand. Additionally, we are considering both organic and inorganic opportunities to drive future growth, for which cash resources will be necessary.</w:t>
      </w:r>
    </w:p>
    <w:p>
      <w:pPr>
        <w:spacing w:after="0" w:line="8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We may also engage in stock repurchases, as discussed below.</w:t>
      </w:r>
    </w:p>
    <w:p>
      <w:pPr>
        <w:spacing w:after="0" w:line="67"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During the six months ended June 30, 2020, we generated $56.6 million of cash related to operating activities. In comparison, during the six months ended June 30, 2019, we used $20.3 million of cash from operations.</w:t>
      </w:r>
    </w:p>
    <w:p>
      <w:pPr>
        <w:spacing w:after="0" w:line="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Investing activities for the six months ended June 30, 2020 and 2019 resulted in cash outflows of $3.0 million and $8.8 million, respectively, used for capital expenditures.</w:t>
      </w:r>
    </w:p>
    <w:p>
      <w:pPr>
        <w:spacing w:after="0" w:line="7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Financing activities for the six months ended June 30, 2020 resulted in a net cash usage of $3.7 million. During the first half of 2020, $7.5 million in cash was used to repurchase our common stock and $3.9 million was used for payments to government tax authorities for income tax withholding on employee compensation arising from the vesting of RSUs, where shares are withheld by the Company, as well as $0.1 million relating to the reduction of our financing lease liability. These amounts were partially offset by $7.8 million of proceeds from the exercise of stock options and purchases under the ESPP, during the first half of 2020. Financing activities for the six months ended June 30, 2019 resulted in a net cash usage of $12.8 million, $14.0 million of which related to the repurchase of our common stock and $1.6 million related to payments</w:t>
      </w:r>
    </w:p>
    <w:p>
      <w:pPr>
        <w:sectPr>
          <w:pgSz w:w="11900" w:h="16838" w:orient="portrait"/>
          <w:cols w:equalWidth="0" w:num="1">
            <w:col w:w="9120"/>
          </w:cols>
          <w:pgMar w:left="1380" w:top="517" w:right="13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made to government tax authorities for income tax withholding on employee compensation arising from the vesting of RSUs. These amounts were partially offset by $2.8 million of proceeds related to the exercise of stock options and purchase of shares under our ESPP during the first half of 2019.</w:t>
      </w:r>
    </w:p>
    <w:p>
      <w:pPr>
        <w:spacing w:after="0" w:line="18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212529"/>
        </w:rPr>
        <w:t>Under the rules of the U.S. Securities and Exchange Commission,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August 3, 2023. No borrowing is outstanding on this facility as of the filing of this Form 10-Q. We have no immediate plans to borrow under the Credit Agreement, but we will use the facility for letters of credit, for ongoing working capital needs and to fund general corporate purposes, as desired. See Note 18 to the financial statements included elsewhere in this Quarterly Report.</w:t>
      </w:r>
    </w:p>
    <w:p>
      <w:pPr>
        <w:spacing w:after="0" w:line="16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believe that based on our current market, revenue, expense and cash flow forecasts, our existing cash, cash equivalents and borrowing capacity will be sufficient to satisfy our anticipated cash requirements for the short and long-term.</w:t>
      </w:r>
    </w:p>
    <w:p>
      <w:pPr>
        <w:spacing w:after="0" w:line="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December 2019, our Board of Directors authorized an increase and extension of the share repurchase program, of up to $50 million of the Company's common stock through 2020. These shares could be purchased in the open market or through privately negotiated transactions. At the end of the first quarter of 2020, we suspended the repurchase program in light of the economic uncertainty relating to the COVID-19 pandemic. As of June 30, 2020, we had approximately $24.8 million remaining under the share repurchase program.</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continue to invest cash in our business and to evaluate whether to recommence stock repurchases. Consideration of whether to do so includes an evaluation of the known and anticipated effects of the COVID-19 pandemic on our business and industry. See Note 15 to the financial statements included elsewhere in this Quarterly Report. If we do recommence stock purchases, the timing and actual number of shares repurchased in 2020 beyond those acquired in the first quarter, will depend on various factors, including the price of our common stock, general business and market conditions, and alternative investment opportunities or other uses of cash. See Part II, Item 2 of this report for purchases under this program during the second quarter of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Significant commitments and contingencies at June 30, 2020 are consistent with those discussed in Item 7, “Management’s Discussion and Analysis of Financial Condition and Results of Operations,” and Note 16 to the consolidated financial statements in our Annual Report on Form 10-K for the fiscal year ended December 31, 2019.</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June 30, 2020, there have been no material changes to the quantitative information about market risk disclosed in Item 7A to our Annual Report on Form 10-K for the year ended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June 30, 2020, there have been no material changes to the risk factors described in Item 1A to our Annual Report on Form 10-K for the year ended December 31, 2019, other than the addition of the risk factor included in Part II, Item 1A of our Form 10-Q for the quarter ended March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Our Board of Directors authorized a share repurchase program covering calendar years 2019 and 2020 for up to $50 million of the Company's common stock. This program was announced on December 3, 2019. As discussed in Management’s Discussion and Analysis—Liquidity above, and in Note 15 to the financial statements contained elsewhere in this Quarterly Report, this program was suspended at the end of the first quarter of 2020, but not terminated.</w:t>
      </w:r>
    </w:p>
    <w:p>
      <w:pPr>
        <w:spacing w:after="0" w:line="9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following table summarizes the stock repurchase activity for the three months ended June 30, 2020 and the approximate dollar value of shares that may yet be purchased pursuant to our stock repurchase program:</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0" w:type="dxa"/>
            <w:vAlign w:val="bottom"/>
          </w:tcPr>
          <w:p>
            <w:pPr>
              <w:spacing w:after="0"/>
              <w:rPr>
                <w:sz w:val="12"/>
                <w:szCs w:val="12"/>
                <w:color w:val="auto"/>
              </w:rPr>
            </w:pPr>
          </w:p>
        </w:tc>
        <w:tc>
          <w:tcPr>
            <w:tcW w:w="1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Announced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Paid per Share</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Program*</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Program</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w w:val="86"/>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April 1, 2020 through April 30, 2020</w:t>
            </w:r>
          </w:p>
        </w:tc>
        <w:tc>
          <w:tcPr>
            <w:tcW w:w="132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6"/>
              </w:rPr>
              <w:t>$0.00</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24,756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May 1, 2020 through May 31, 2020</w:t>
            </w:r>
          </w:p>
        </w:tc>
        <w:tc>
          <w:tcPr>
            <w:tcW w:w="1320" w:type="dxa"/>
            <w:vAlign w:val="bottom"/>
          </w:tcPr>
          <w:p>
            <w:pPr>
              <w:ind w:left="1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6"/>
              </w:rPr>
              <w:t>$0.00</w:t>
            </w:r>
          </w:p>
        </w:tc>
        <w:tc>
          <w:tcPr>
            <w:tcW w:w="180" w:type="dxa"/>
            <w:vAlign w:val="bottom"/>
          </w:tcPr>
          <w:p>
            <w:pPr>
              <w:spacing w:after="0"/>
              <w:rPr>
                <w:sz w:val="12"/>
                <w:szCs w:val="12"/>
                <w:color w:val="auto"/>
              </w:rPr>
            </w:pPr>
          </w:p>
        </w:tc>
        <w:tc>
          <w:tcPr>
            <w:tcW w:w="146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24,756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1, 2020 through June 30, 2020</w:t>
            </w:r>
          </w:p>
        </w:tc>
        <w:tc>
          <w:tcPr>
            <w:tcW w:w="132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6"/>
              </w:rPr>
              <w:t>$0.00</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24,756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gridSpan w:val="2"/>
          </w:tcPr>
          <w:p>
            <w:pPr>
              <w:ind w:left="1260"/>
              <w:spacing w:after="0" w:line="142"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bottom w:val="single" w:sz="8" w:color="auto"/>
            </w:tcBorders>
          </w:tcPr>
          <w:p>
            <w:pPr>
              <w:ind w:left="112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top w:val="single" w:sz="8" w:color="auto"/>
              <w:bottom w:val="single" w:sz="8" w:color="auto"/>
            </w:tcBorders>
          </w:tcPr>
          <w:p>
            <w:pPr>
              <w:ind w:left="11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11"/>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1"/>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940" w:type="dxa"/>
            <w:vAlign w:val="bottom"/>
            <w:tcBorders>
              <w:bottom w:val="single" w:sz="8" w:color="auto"/>
            </w:tcBorders>
            <w:gridSpan w:val="9"/>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Restated Certificate of Incorporation of the Company filed November 2, 2017. Incorporated by reference to</w:t>
              </w:r>
            </w:hyperlink>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4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Exhibit 3.1 of the Company’s Form 10-Q filed with the Commission on November 3, 2017.</w:t>
              </w:r>
            </w:hyperlink>
          </w:p>
        </w:tc>
        <w:tc>
          <w:tcPr>
            <w:tcW w:w="200" w:type="dxa"/>
            <w:vAlign w:val="bottom"/>
            <w:gridSpan w:val="2"/>
          </w:tcPr>
          <w:p>
            <w:pPr>
              <w:spacing w:after="0"/>
              <w:rPr>
                <w:sz w:val="20"/>
                <w:szCs w:val="20"/>
                <w:color w:val="auto"/>
              </w:rPr>
            </w:pPr>
          </w:p>
        </w:tc>
      </w:tr>
      <w:tr>
        <w:trPr>
          <w:trHeight w:val="392"/>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Bylaws of the Company, as amended as of May 13, 2014. Incorporated by reference to Exhibit 3.2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Company’s Form 8-K filed with the Commission on May 19, 2014.</w:t>
              </w:r>
            </w:hyperlink>
          </w:p>
        </w:tc>
        <w:tc>
          <w:tcPr>
            <w:tcW w:w="268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Certification of the Principal Executive Officer under Exchange Act Rule 13a-14(a)/15d-14(a) (Section 302</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of the Sarbanes-Oxley Act), dated August 5, 2020. Filed herewith.</w:t>
              </w:r>
            </w:hyperlink>
          </w:p>
        </w:tc>
        <w:tc>
          <w:tcPr>
            <w:tcW w:w="200" w:type="dxa"/>
            <w:vAlign w:val="bottom"/>
            <w:gridSpan w:val="2"/>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the Principal Financial Officer under Exchange Act Rule 13a-14(a)/15d-14(a) (Section 302 of</w:t>
              </w:r>
            </w:hyperlink>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Sarbanes-Oxley Act), dated August 5, 2020. Filed herewith.</w:t>
              </w:r>
            </w:hyperlink>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Certification of the Principal Executive Officer pursuant to Section 1350 of Chapter 63 of title 18 of the</w:t>
              </w:r>
            </w:hyperlink>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Borders>
              <w:top w:val="single" w:sz="8" w:color="0000EE"/>
            </w:tcBorders>
            <w:gridSpan w:val="5"/>
          </w:tcPr>
          <w:p>
            <w:pPr>
              <w:spacing w:after="0"/>
              <w:rPr>
                <w:rFonts w:ascii="Arial" w:cs="Arial" w:eastAsia="Arial" w:hAnsi="Arial"/>
                <w:sz w:val="18"/>
                <w:szCs w:val="18"/>
                <w:u w:val="single" w:color="auto"/>
                <w:color w:val="0000EE"/>
                <w:w w:val="94"/>
              </w:rPr>
            </w:pPr>
            <w:hyperlink w:anchor="page35">
              <w:r>
                <w:rPr>
                  <w:rFonts w:ascii="Arial" w:cs="Arial" w:eastAsia="Arial" w:hAnsi="Arial"/>
                  <w:sz w:val="18"/>
                  <w:szCs w:val="18"/>
                  <w:u w:val="single" w:color="auto"/>
                  <w:color w:val="0000EE"/>
                  <w:w w:val="94"/>
                </w:rPr>
                <w:t>United States Code (Section 906 of the Sarbanes-Oxley Act), dated August 5, 2020. Filed herewith.</w:t>
              </w:r>
            </w:hyperlink>
          </w:p>
        </w:tc>
        <w:tc>
          <w:tcPr>
            <w:tcW w:w="480" w:type="dxa"/>
            <w:vAlign w:val="bottom"/>
            <w:gridSpan w:val="4"/>
          </w:tcPr>
          <w:p>
            <w:pPr>
              <w:spacing w:after="0"/>
              <w:rPr>
                <w:sz w:val="20"/>
                <w:szCs w:val="20"/>
                <w:color w:val="auto"/>
              </w:rPr>
            </w:pPr>
          </w:p>
        </w:tc>
      </w:tr>
      <w:tr>
        <w:trPr>
          <w:trHeight w:val="39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the Principal Financial Officer pursuant to Section 1350 of Chapter 63 of title 18 of the</w:t>
              </w:r>
            </w:hyperlink>
          </w:p>
        </w:tc>
        <w:tc>
          <w:tcPr>
            <w:tcW w:w="520" w:type="dxa"/>
            <w:vAlign w:val="bottom"/>
            <w:gridSpan w:val="5"/>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40" w:type="dxa"/>
            <w:vAlign w:val="bottom"/>
            <w:gridSpan w:val="9"/>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United States Code (Section 906 of the Sarbanes-Oxley Act), dated August 5, 2020. Filed herewith.</w:t>
              </w:r>
            </w:hyperlink>
          </w:p>
        </w:tc>
      </w:tr>
    </w:tbl>
    <w:p>
      <w:pPr>
        <w:spacing w:after="0" w:line="202" w:lineRule="exact"/>
        <w:rPr>
          <w:sz w:val="20"/>
          <w:szCs w:val="20"/>
          <w:color w:val="auto"/>
        </w:rPr>
      </w:pPr>
    </w:p>
    <w:p>
      <w:pPr>
        <w:ind w:left="1180" w:right="260" w:hanging="858"/>
        <w:spacing w:after="0" w:line="291"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materials from the Company’s Form 10-Q for the quarter ended June 30, 2020, formatted in eXtensible Business Reporting Language (iXBRL): (i) Consolidated Statements of Operations,</w:t>
      </w:r>
    </w:p>
    <w:p>
      <w:pPr>
        <w:ind w:left="1180" w:right="100"/>
        <w:spacing w:after="0" w:line="323" w:lineRule="auto"/>
        <w:rPr>
          <w:rFonts w:ascii="Arial" w:cs="Arial" w:eastAsia="Arial" w:hAnsi="Arial"/>
          <w:sz w:val="16"/>
          <w:szCs w:val="16"/>
          <w:color w:val="auto"/>
        </w:rPr>
      </w:pPr>
      <w:r>
        <w:rPr>
          <w:rFonts w:ascii="Arial" w:cs="Arial" w:eastAsia="Arial" w:hAnsi="Arial"/>
          <w:sz w:val="16"/>
          <w:szCs w:val="16"/>
          <w:color w:val="auto"/>
        </w:rPr>
        <w:t>(ii) 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1180" w:hanging="858"/>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August 5, 2020</w:t>
      </w:r>
      <w:r>
        <w:rPr>
          <w:sz w:val="20"/>
          <w:szCs w:val="20"/>
          <w:color w:val="auto"/>
        </w:rPr>
        <w:tab/>
      </w:r>
      <w:r>
        <w:rPr>
          <w:rFonts w:ascii="Arial" w:cs="Arial" w:eastAsia="Arial" w:hAnsi="Arial"/>
          <w:sz w:val="17"/>
          <w:szCs w:val="17"/>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2640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J. Brewer</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Mary G. Puma, certify that:</w:t>
      </w:r>
    </w:p>
    <w:p>
      <w:pPr>
        <w:spacing w:after="0" w:line="198" w:lineRule="exact"/>
        <w:rPr>
          <w:sz w:val="20"/>
          <w:szCs w:val="20"/>
          <w:color w:val="auto"/>
        </w:rPr>
      </w:pPr>
    </w:p>
    <w:p>
      <w:pPr>
        <w:ind w:left="540" w:hanging="490"/>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J. Brewer, certify that:</w:t>
      </w:r>
    </w:p>
    <w:p>
      <w:pPr>
        <w:spacing w:after="0" w:line="198" w:lineRule="exact"/>
        <w:rPr>
          <w:sz w:val="20"/>
          <w:szCs w:val="20"/>
          <w:color w:val="auto"/>
        </w:rPr>
      </w:pPr>
    </w:p>
    <w:p>
      <w:pPr>
        <w:ind w:left="540" w:hanging="49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59" w:firstLine="495"/>
        <w:spacing w:after="0" w:line="248"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August 5, 2020.</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119" w:firstLine="495"/>
        <w:spacing w:after="0" w:line="248"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August 5, 2020.</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upp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01"/>
    </w:lvl>
  </w:abstractNum>
  <w:abstractNum w:abstractNumId="7">
    <w:nsid w:val="5BD062C2"/>
    <w:multiLevelType w:val="hybridMultilevel"/>
    <w:lvl w:ilvl="0">
      <w:lvlJc w:val="left"/>
      <w:lvlText w:val="%1"/>
      <w:numFmt w:val="decimal"/>
      <w:start w:val="10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31" Type="http://schemas.openxmlformats.org/officeDocument/2006/relationships/hyperlink" Target="http://www.sec.gov/Archives/edgar/data/1113232/000155837020001858/acls-20191231x10k.htm" TargetMode="External"/><Relationship Id="rId44" Type="http://schemas.openxmlformats.org/officeDocument/2006/relationships/hyperlink" Target="http://www.sec.gov/Archives/edgar/data/1113232/000155837017008078/acls-20170930ex31a83feb6.htm" TargetMode="External"/><Relationship Id="rId45"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2020-08-05T11:42:27Z</dcterms:created>
  <dcterms:modified xsi:type="dcterms:W3CDTF">2020-08-05T11:42:27Z</dcterms:modified>
</cp:coreProperties>
</file>