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81" w:lineRule="exact"/>
        <w:rPr>
          <w:sz w:val="24"/>
          <w:szCs w:val="24"/>
          <w:color w:val="auto"/>
        </w:rPr>
      </w:pPr>
    </w:p>
    <w:p>
      <w:pPr>
        <w:ind w:left="660" w:right="1280" w:hanging="326"/>
        <w:spacing w:after="0" w:line="256" w:lineRule="auto"/>
        <w:tabs>
          <w:tab w:leader="none" w:pos="6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60" w:right="1260" w:hanging="326"/>
        <w:spacing w:after="0" w:line="256" w:lineRule="auto"/>
        <w:tabs>
          <w:tab w:leader="none" w:pos="6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20"/>
        <w:spacing w:after="0"/>
        <w:tabs>
          <w:tab w:leader="none" w:pos="6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000-30941</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AXCELIS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39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34-1818596</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(State or other jurisdiction of</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incorporation or organization)</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108 Cherry Hill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787-4000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2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ACLS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67" w:lineRule="exact"/>
        <w:rPr>
          <w:sz w:val="24"/>
          <w:szCs w:val="24"/>
          <w:color w:val="auto"/>
        </w:rPr>
      </w:pPr>
    </w:p>
    <w:p>
      <w:pPr>
        <w:ind w:left="20" w:right="280" w:firstLine="23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1" w:lineRule="exact"/>
        <w:rPr>
          <w:sz w:val="24"/>
          <w:szCs w:val="24"/>
          <w:color w:val="auto"/>
        </w:rPr>
      </w:pPr>
    </w:p>
    <w:p>
      <w:pPr>
        <w:ind w:left="20" w:right="20" w:firstLine="23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1" w:lineRule="exact"/>
        <w:rPr>
          <w:sz w:val="24"/>
          <w:szCs w:val="24"/>
          <w:color w:val="auto"/>
        </w:rPr>
      </w:pPr>
    </w:p>
    <w:p>
      <w:pPr>
        <w:jc w:val="both"/>
        <w:ind w:left="20" w:right="160" w:firstLine="23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31" w:lineRule="exact"/>
        <w:rPr>
          <w:sz w:val="24"/>
          <w:szCs w:val="24"/>
          <w:color w:val="auto"/>
        </w:rPr>
      </w:pPr>
    </w:p>
    <w:p>
      <w:pPr>
        <w:ind w:left="16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ind w:left="1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3">
            <w:col w:w="5900" w:space="720"/>
            <w:col w:w="1980" w:space="80"/>
            <w:col w:w="1560"/>
          </w:cols>
          <w:pgMar w:left="820" w:top="665" w:right="839" w:bottom="1440" w:gutter="0" w:footer="0" w:header="0"/>
          <w:type w:val="continuous"/>
        </w:sectPr>
      </w:pPr>
    </w:p>
    <w:p>
      <w:pPr>
        <w:ind w:left="20" w:right="200" w:firstLine="233"/>
        <w:spacing w:after="0" w:line="238"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240" w:right="840" w:hanging="3"/>
        <w:spacing w:after="0" w:line="28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31, 2023, there were 32,817,464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27"/>
          </w:tcPr>
          <w:p>
            <w:pPr>
              <w:spacing w:after="0"/>
              <w:rPr>
                <w:sz w:val="20"/>
                <w:szCs w:val="20"/>
                <w:color w:val="auto"/>
              </w:rPr>
            </w:pPr>
            <w:r>
              <w:rPr>
                <w:rFonts w:ascii="Arial" w:cs="Arial" w:eastAsia="Arial" w:hAnsi="Arial"/>
                <w:sz w:val="18"/>
                <w:szCs w:val="18"/>
                <w:color w:val="0000EE"/>
              </w:rPr>
              <w:t>Table of Contents</w:t>
            </w:r>
          </w:p>
        </w:tc>
        <w:tc>
          <w:tcPr>
            <w:tcW w:w="560" w:type="dxa"/>
            <w:vAlign w:val="bottom"/>
          </w:tcPr>
          <w:p>
            <w:pPr>
              <w:spacing w:after="0"/>
              <w:rPr>
                <w:sz w:val="17"/>
                <w:szCs w:val="17"/>
                <w:color w:val="auto"/>
              </w:rPr>
            </w:pPr>
          </w:p>
        </w:tc>
      </w:tr>
      <w:tr>
        <w:trPr>
          <w:trHeight w:val="668"/>
        </w:trPr>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r>
      <w:tr>
        <w:trPr>
          <w:trHeight w:val="418"/>
        </w:trPr>
        <w:tc>
          <w:tcPr>
            <w:tcW w:w="31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b w:val="1"/>
                <w:bCs w:val="1"/>
                <w:color w:val="0000EE"/>
              </w:rPr>
              <w:t>PART I - FINANCIAL INFORMATION</w:t>
            </w:r>
          </w:p>
        </w:tc>
        <w:tc>
          <w:tcPr>
            <w:tcW w:w="542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1.</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Financial Statements (Unaudited)</w:t>
            </w:r>
          </w:p>
        </w:tc>
        <w:tc>
          <w:tcPr>
            <w:tcW w:w="56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0000EE"/>
                <w:w w:val="97"/>
              </w:rPr>
              <w:t>Consolidated Statements of Operations for the three and six months ended June 30, 2023 and 2022</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0000EE"/>
                <w:w w:val="91"/>
              </w:rPr>
              <w:t>Consolidated Statements of Comprehensive Income for the three and six months ended June 30, 2023 and</w:t>
            </w:r>
          </w:p>
        </w:tc>
        <w:tc>
          <w:tcPr>
            <w:tcW w:w="5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4"/>
              </w:rPr>
              <w:t>2022</w:t>
            </w:r>
          </w:p>
        </w:tc>
        <w:tc>
          <w:tcPr>
            <w:tcW w:w="1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8"/>
              </w:rPr>
              <w:t>Consolidated Balance Sheets as of June 30, 2023 and December 31, 2022</w:t>
            </w:r>
          </w:p>
        </w:tc>
        <w:tc>
          <w:tcPr>
            <w:tcW w:w="2520" w:type="dxa"/>
            <w:vAlign w:val="bottom"/>
            <w:gridSpan w:val="5"/>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2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89"/>
              </w:rPr>
              <w:t>Consolidated Statements of Stockholders’ Equity for the three and six months ended June 30, 2023 and 2022</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Consolidated Statements of Cash Flows for the six months ended June 30, 2023 and 2022</w:t>
            </w:r>
          </w:p>
        </w:tc>
        <w:tc>
          <w:tcPr>
            <w:tcW w:w="1360" w:type="dxa"/>
            <w:vAlign w:val="bottom"/>
            <w:gridSpan w:val="4"/>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0000EE"/>
              </w:rPr>
              <w:t>Notes to Consolidated Financial Statements (Unaudited)</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2.</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6"/>
        </w:trPr>
        <w:tc>
          <w:tcPr>
            <w:tcW w:w="54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3"/>
              </w:rPr>
              <w:t>Overview</w:t>
            </w:r>
          </w:p>
        </w:tc>
        <w:tc>
          <w:tcPr>
            <w:tcW w:w="6100" w:type="dxa"/>
            <w:vAlign w:val="bottom"/>
            <w:tcBorders>
              <w:top w:val="single" w:sz="8" w:color="0000EE"/>
            </w:tcBorders>
            <w:gridSpan w:val="17"/>
          </w:tcPr>
          <w:p>
            <w:pPr>
              <w:spacing w:after="0"/>
              <w:rPr>
                <w:sz w:val="20"/>
                <w:szCs w:val="20"/>
                <w:color w:val="auto"/>
              </w:rPr>
            </w:pPr>
          </w:p>
        </w:tc>
        <w:tc>
          <w:tcPr>
            <w:tcW w:w="100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Critical Accounting Estimates</w:t>
            </w:r>
          </w:p>
        </w:tc>
        <w:tc>
          <w:tcPr>
            <w:tcW w:w="5660" w:type="dxa"/>
            <w:vAlign w:val="bottom"/>
            <w:gridSpan w:val="13"/>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Results of Operations</w:t>
            </w:r>
          </w:p>
        </w:tc>
        <w:tc>
          <w:tcPr>
            <w:tcW w:w="6260" w:type="dxa"/>
            <w:vAlign w:val="bottom"/>
            <w:gridSpan w:val="16"/>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20" w:type="dxa"/>
            <w:vAlign w:val="bottom"/>
            <w:gridSpan w:val="24"/>
          </w:tcPr>
          <w:p>
            <w:pPr>
              <w:spacing w:after="0"/>
              <w:rPr>
                <w:sz w:val="20"/>
                <w:szCs w:val="20"/>
                <w:color w:val="auto"/>
              </w:rPr>
            </w:pPr>
            <w:r>
              <w:rPr>
                <w:rFonts w:ascii="Arial" w:cs="Arial" w:eastAsia="Arial" w:hAnsi="Arial"/>
                <w:sz w:val="18"/>
                <w:szCs w:val="18"/>
                <w:color w:val="0000EE"/>
              </w:rPr>
              <w:t>Liquidity and Capital Resources</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3.</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4.</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8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rPr>
              <w:t>PART II - OTHER INFORMATION</w:t>
            </w:r>
          </w:p>
        </w:tc>
        <w:tc>
          <w:tcPr>
            <w:tcW w:w="5720" w:type="dxa"/>
            <w:vAlign w:val="bottom"/>
            <w:gridSpan w:val="14"/>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1.</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4"/>
              </w:rPr>
              <w:t>Item 1A.</w:t>
            </w:r>
          </w:p>
        </w:tc>
        <w:tc>
          <w:tcPr>
            <w:tcW w:w="60" w:type="dxa"/>
            <w:vAlign w:val="bottom"/>
          </w:tcPr>
          <w:p>
            <w:pPr>
              <w:spacing w:after="0"/>
              <w:rPr>
                <w:sz w:val="20"/>
                <w:szCs w:val="20"/>
                <w:color w:val="auto"/>
              </w:rPr>
            </w:pPr>
          </w:p>
        </w:tc>
        <w:tc>
          <w:tcPr>
            <w:tcW w:w="9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88"/>
              </w:rPr>
              <w:t>Risk Factors</w:t>
            </w:r>
          </w:p>
        </w:tc>
        <w:tc>
          <w:tcPr>
            <w:tcW w:w="6840" w:type="dxa"/>
            <w:vAlign w:val="bottom"/>
            <w:gridSpan w:val="19"/>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2.</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3.</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Defaults Upon Senior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5"/>
            <w:shd w:val="clear" w:color="auto" w:fill="0000EE"/>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4.</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98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5.</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63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EE"/>
              </w:rPr>
              <w:t>Item 6.</w:t>
            </w:r>
          </w:p>
        </w:tc>
        <w:tc>
          <w:tcPr>
            <w:tcW w:w="7820" w:type="dxa"/>
            <w:vAlign w:val="bottom"/>
            <w:gridSpan w:val="24"/>
          </w:tcPr>
          <w:p>
            <w:pPr>
              <w:spacing w:after="0"/>
              <w:rPr>
                <w:sz w:val="20"/>
                <w:szCs w:val="20"/>
                <w:color w:val="auto"/>
              </w:rPr>
            </w:pPr>
            <w:r>
              <w:rPr>
                <w:rFonts w:ascii="Arial" w:cs="Arial" w:eastAsia="Arial" w:hAnsi="Arial"/>
                <w:sz w:val="18"/>
                <w:szCs w:val="18"/>
                <w:b w:val="1"/>
                <w:bCs w:val="1"/>
                <w:color w:val="0000EE"/>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gridSpan w:val="3"/>
          </w:tcPr>
          <w:p>
            <w:pPr>
              <w:spacing w:after="0"/>
              <w:rPr>
                <w:sz w:val="24"/>
                <w:szCs w:val="24"/>
                <w:color w:val="auto"/>
              </w:rPr>
            </w:pPr>
          </w:p>
        </w:tc>
        <w:tc>
          <w:tcPr>
            <w:tcW w:w="3420" w:type="dxa"/>
            <w:vAlign w:val="bottom"/>
            <w:gridSpan w:val="13"/>
          </w:tcPr>
          <w:p>
            <w:pPr>
              <w:jc w:val="right"/>
              <w:ind w:right="1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60"/>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00" w:right="13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Product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265,673</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213,926</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511,680</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410,458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273,970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221,177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527,990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146,741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115,754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289,512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223,395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32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154,267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121,996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304,268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235,824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119,703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15,537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23,994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31,073</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26,180</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108,657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115,065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(1,250)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320"/>
              <w:spacing w:after="0"/>
              <w:rPr>
                <w:sz w:val="20"/>
                <w:szCs w:val="20"/>
                <w:color w:val="auto"/>
              </w:rPr>
            </w:pPr>
            <w:r>
              <w:rPr>
                <w:rFonts w:ascii="Arial" w:cs="Arial" w:eastAsia="Arial" w:hAnsi="Arial"/>
                <w:sz w:val="18"/>
                <w:szCs w:val="18"/>
                <w:color w:val="auto"/>
              </w:rPr>
              <w:t>Total other income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(5,949)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64,616</w:t>
            </w: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48,196</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117,518</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94,080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44,189</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109,276</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85,804</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income per share:</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00" w:type="dxa"/>
            <w:vAlign w:val="bottom"/>
            <w:tcBorders>
              <w:top w:val="single" w:sz="8" w:color="CCEEFF"/>
            </w:tcBorders>
          </w:tcPr>
          <w:p>
            <w:pPr>
              <w:ind w:left="2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w:t>
            </w: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w:t>
            </w: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w:t>
            </w: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w w:val="93"/>
              </w:rPr>
              <w:t>Basic weighted average shares of common stock</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ind w:left="220"/>
              <w:spacing w:after="0" w:line="169" w:lineRule="exact"/>
              <w:rPr>
                <w:sz w:val="20"/>
                <w:szCs w:val="20"/>
                <w:color w:val="auto"/>
              </w:rPr>
            </w:pPr>
            <w:r>
              <w:rPr>
                <w:rFonts w:ascii="Arial" w:cs="Arial" w:eastAsia="Arial" w:hAnsi="Arial"/>
                <w:sz w:val="18"/>
                <w:szCs w:val="18"/>
                <w:color w:val="auto"/>
              </w:rPr>
              <w:t>Diluted weighted average shares of common</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33,189</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33,562</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33,237</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stock</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6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5620" w:type="dxa"/>
            <w:vAlign w:val="bottom"/>
          </w:tcPr>
          <w:p>
            <w:pPr>
              <w:spacing w:after="0"/>
              <w:rPr>
                <w:sz w:val="14"/>
                <w:szCs w:val="14"/>
                <w:color w:val="auto"/>
              </w:rPr>
            </w:pPr>
          </w:p>
        </w:tc>
        <w:tc>
          <w:tcPr>
            <w:tcW w:w="156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6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$ 61,579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$ 44,189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$ 109,276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$ 85,804</w:t>
            </w:r>
          </w:p>
        </w:tc>
        <w:tc>
          <w:tcPr>
            <w:tcW w:w="1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40" w:type="dxa"/>
            <w:vAlign w:val="bottom"/>
            <w:shd w:val="clear" w:color="auto" w:fill="CCEEFF"/>
          </w:tcPr>
          <w:p>
            <w:pPr>
              <w:spacing w:after="0"/>
              <w:rPr>
                <w:sz w:val="18"/>
                <w:szCs w:val="18"/>
                <w:color w:val="auto"/>
              </w:rPr>
            </w:pPr>
          </w:p>
        </w:tc>
      </w:tr>
      <w:tr>
        <w:trPr>
          <w:trHeight w:val="202"/>
        </w:trPr>
        <w:tc>
          <w:tcPr>
            <w:tcW w:w="5620" w:type="dxa"/>
            <w:vAlign w:val="bottom"/>
          </w:tcPr>
          <w:p>
            <w:pPr>
              <w:ind w:left="220"/>
              <w:spacing w:after="0" w:line="201" w:lineRule="exact"/>
              <w:rPr>
                <w:sz w:val="20"/>
                <w:szCs w:val="20"/>
                <w:color w:val="auto"/>
              </w:rPr>
            </w:pPr>
            <w:r>
              <w:rPr>
                <w:rFonts w:ascii="Arial" w:cs="Arial" w:eastAsia="Arial" w:hAnsi="Arial"/>
                <w:sz w:val="18"/>
                <w:szCs w:val="18"/>
                <w:color w:val="auto"/>
                <w:w w:val="97"/>
              </w:rPr>
              <w:t>Amortization of actuarial net gain and other adjustments from pension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plan, net of tax</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r>
      <w:tr>
        <w:trPr>
          <w:trHeight w:val="209"/>
        </w:trPr>
        <w:tc>
          <w:tcPr>
            <w:tcW w:w="5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comprehensive loss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$ 60,568</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$ 41,512</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$ 108,315</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$ 81,950</w:t>
            </w:r>
          </w:p>
        </w:tc>
        <w:tc>
          <w:tcPr>
            <w:tcW w:w="14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June 30,</w:t>
            </w:r>
          </w:p>
        </w:tc>
        <w:tc>
          <w:tcPr>
            <w:tcW w:w="10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12"/>
        </w:trPr>
        <w:tc>
          <w:tcPr>
            <w:tcW w:w="6660" w:type="dxa"/>
            <w:vAlign w:val="bottom"/>
            <w:shd w:val="clear" w:color="auto" w:fill="CCEEFF"/>
          </w:tcPr>
          <w:p>
            <w:pPr>
              <w:ind w:left="41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185,595</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320,360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246,571</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169,773</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242,406</w:t>
            </w:r>
          </w:p>
        </w:tc>
        <w:tc>
          <w:tcPr>
            <w:tcW w:w="100" w:type="dxa"/>
            <w:vAlign w:val="bottom"/>
          </w:tcPr>
          <w:p>
            <w:pPr>
              <w:spacing w:after="0"/>
              <w:rPr>
                <w:sz w:val="18"/>
                <w:szCs w:val="18"/>
                <w:color w:val="auto"/>
              </w:rPr>
            </w:pPr>
          </w:p>
        </w:tc>
      </w:tr>
      <w:tr>
        <w:trPr>
          <w:trHeight w:val="216"/>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6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950,169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877,645</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Operating lease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12,146</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assets,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31,701</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33,791</w:t>
            </w:r>
          </w:p>
        </w:tc>
        <w:tc>
          <w:tcPr>
            <w:tcW w:w="100" w:type="dxa"/>
            <w:vAlign w:val="bottom"/>
          </w:tcPr>
          <w:p>
            <w:pPr>
              <w:spacing w:after="0"/>
              <w:rPr>
                <w:sz w:val="18"/>
                <w:szCs w:val="18"/>
                <w:color w:val="auto"/>
              </w:rPr>
            </w:pPr>
          </w:p>
        </w:tc>
      </w:tr>
      <w:tr>
        <w:trPr>
          <w:trHeight w:val="250"/>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1,121,718</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1,013,641</w:t>
            </w:r>
          </w:p>
        </w:tc>
        <w:tc>
          <w:tcPr>
            <w:tcW w:w="100" w:type="dxa"/>
            <w:vAlign w:val="bottom"/>
            <w:shd w:val="clear" w:color="auto" w:fill="CCEEFF"/>
          </w:tcPr>
          <w:p>
            <w:pPr>
              <w:spacing w:after="0"/>
              <w:rPr>
                <w:sz w:val="21"/>
                <w:szCs w:val="21"/>
                <w:color w:val="auto"/>
              </w:rPr>
            </w:pPr>
          </w:p>
        </w:tc>
      </w:tr>
      <w:tr>
        <w:trPr>
          <w:trHeight w:val="196"/>
        </w:trPr>
        <w:tc>
          <w:tcPr>
            <w:tcW w:w="6660" w:type="dxa"/>
            <w:vAlign w:val="bottom"/>
            <w:tcBorders>
              <w:top w:val="single" w:sz="8" w:color="CCEEFF"/>
            </w:tcBorders>
          </w:tcPr>
          <w:p>
            <w:pPr>
              <w:ind w:left="25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60,504</w:t>
            </w:r>
          </w:p>
        </w:tc>
        <w:tc>
          <w:tcPr>
            <w:tcW w:w="10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62,346</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35,540</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Warranty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138,890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123,471</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finance lease obligation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12,943</w:t>
            </w:r>
          </w:p>
        </w:tc>
        <w:tc>
          <w:tcPr>
            <w:tcW w:w="100" w:type="dxa"/>
            <w:vAlign w:val="bottom"/>
          </w:tcPr>
          <w:p>
            <w:pPr>
              <w:spacing w:after="0"/>
              <w:rPr>
                <w:sz w:val="18"/>
                <w:szCs w:val="18"/>
                <w:color w:val="auto"/>
              </w:rPr>
            </w:pPr>
          </w:p>
        </w:tc>
      </w:tr>
      <w:tr>
        <w:trPr>
          <w:trHeight w:val="210"/>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248,132</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Long-term finance lease obligation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45,185</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31,306</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21,762</w:t>
            </w:r>
          </w:p>
        </w:tc>
        <w:tc>
          <w:tcPr>
            <w:tcW w:w="100" w:type="dxa"/>
            <w:vAlign w:val="bottom"/>
          </w:tcPr>
          <w:p>
            <w:pPr>
              <w:spacing w:after="0"/>
              <w:rPr>
                <w:sz w:val="18"/>
                <w:szCs w:val="18"/>
                <w:color w:val="auto"/>
              </w:rPr>
            </w:pPr>
          </w:p>
        </w:tc>
      </w:tr>
      <w:tr>
        <w:trPr>
          <w:trHeight w:val="209"/>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346,385</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660" w:type="dxa"/>
            <w:vAlign w:val="bottom"/>
          </w:tcPr>
          <w:p>
            <w:pPr>
              <w:ind w:left="220"/>
              <w:spacing w:after="0" w:line="201" w:lineRule="exact"/>
              <w:rPr>
                <w:sz w:val="20"/>
                <w:szCs w:val="20"/>
                <w:color w:val="auto"/>
              </w:rPr>
            </w:pPr>
            <w:r>
              <w:rPr>
                <w:rFonts w:ascii="Arial" w:cs="Arial" w:eastAsia="Arial" w:hAnsi="Arial"/>
                <w:sz w:val="18"/>
                <w:szCs w:val="18"/>
                <w:color w:val="auto"/>
                <w:w w:val="92"/>
              </w:rPr>
              <w:t>Common stock, $0.001 par value, 75,000 shares authorized; 32,836 shares issued and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w w:val="93"/>
              </w:rPr>
              <w:t>outstanding at June 30, 2023; 32,775 shares issued and outstanding at December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550,299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206,813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118,892</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r>
      <w:tr>
        <w:trPr>
          <w:trHeight w:val="209"/>
        </w:trPr>
        <w:tc>
          <w:tcPr>
            <w:tcW w:w="6660" w:type="dxa"/>
            <w:vAlign w:val="bottom"/>
            <w:tcBorders>
              <w:top w:val="single" w:sz="8" w:color="CCEEFF"/>
            </w:tcBorders>
          </w:tcPr>
          <w:p>
            <w:pPr>
              <w:ind w:left="4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744,037</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667,256</w:t>
            </w:r>
          </w:p>
        </w:tc>
        <w:tc>
          <w:tcPr>
            <w:tcW w:w="100" w:type="dxa"/>
            <w:vAlign w:val="bottom"/>
            <w:tcBorders>
              <w:top w:val="single" w:sz="8" w:color="CCEEFF"/>
            </w:tcBorders>
          </w:tcPr>
          <w:p>
            <w:pPr>
              <w:spacing w:after="0"/>
              <w:rPr>
                <w:sz w:val="18"/>
                <w:szCs w:val="18"/>
                <w:color w:val="auto"/>
              </w:rPr>
            </w:pPr>
          </w:p>
        </w:tc>
      </w:tr>
      <w:tr>
        <w:trPr>
          <w:trHeight w:val="250"/>
        </w:trPr>
        <w:tc>
          <w:tcPr>
            <w:tcW w:w="6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1,121,718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1,013,641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5"/>
          </w:tcPr>
          <w:p>
            <w:pPr>
              <w:ind w:left="1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7"/>
            <w:vMerge w:val="restart"/>
          </w:tcPr>
          <w:p>
            <w:pPr>
              <w:jc w:val="right"/>
              <w:ind w:righ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5"/>
          </w:tcPr>
          <w:p>
            <w:pPr>
              <w:ind w:left="20"/>
              <w:spacing w:after="0" w:line="158"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3"/>
                <w:szCs w:val="13"/>
                <w:color w:val="auto"/>
              </w:rPr>
            </w:pPr>
          </w:p>
        </w:tc>
        <w:tc>
          <w:tcPr>
            <w:tcW w:w="96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w w:val="85"/>
              </w:rPr>
              <w:t>Shares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Income</w:t>
            </w: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33,240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559,883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Net income</w:t>
            </w: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41,614</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41,614</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Arial" w:cs="Arial" w:eastAsia="Arial" w:hAnsi="Arial"/>
                <w:sz w:val="16"/>
                <w:szCs w:val="16"/>
                <w:color w:val="auto"/>
              </w:rPr>
              <w:t>Change in pension obligation</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460" w:type="dxa"/>
            <w:vAlign w:val="bottom"/>
          </w:tcPr>
          <w:p>
            <w:pPr>
              <w:spacing w:after="0"/>
              <w:rPr>
                <w:sz w:val="20"/>
                <w:szCs w:val="20"/>
                <w:color w:val="auto"/>
              </w:rPr>
            </w:pPr>
            <w:r>
              <w:rPr>
                <w:rFonts w:ascii="Arial" w:cs="Arial" w:eastAsia="Arial" w:hAnsi="Arial"/>
                <w:sz w:val="16"/>
                <w:szCs w:val="16"/>
                <w:color w:val="auto"/>
              </w:rPr>
              <w:t>Issuance of common stock on restricted stock</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6"/>
                <w:szCs w:val="16"/>
                <w:color w:val="auto"/>
              </w:rPr>
              <w:t>units, net of shares withheld</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(3,315)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2022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33,064</w:t>
            </w:r>
          </w:p>
        </w:tc>
        <w:tc>
          <w:tcPr>
            <w:tcW w:w="6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554,633</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559,273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(2,685)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Issuance of stock under Employee Stock</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Purchase Plan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460" w:type="dxa"/>
            <w:vAlign w:val="bottom"/>
          </w:tcPr>
          <w:p>
            <w:pPr>
              <w:spacing w:after="0"/>
              <w:rPr>
                <w:sz w:val="20"/>
                <w:szCs w:val="20"/>
                <w:color w:val="auto"/>
              </w:rPr>
            </w:pPr>
            <w:r>
              <w:rPr>
                <w:rFonts w:ascii="Arial" w:cs="Arial" w:eastAsia="Arial" w:hAnsi="Arial"/>
                <w:sz w:val="16"/>
                <w:szCs w:val="16"/>
                <w:color w:val="auto"/>
              </w:rPr>
              <w:t>Issuance of common stock on restricted stock</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6"/>
                <w:szCs w:val="16"/>
                <w:color w:val="auto"/>
              </w:rPr>
              <w:t>units, net of shares withheld</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(5,896)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(3,872)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33,094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549,401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586,927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7"/>
            <w:vMerge w:val="restart"/>
          </w:tcPr>
          <w:p>
            <w:pPr>
              <w:jc w:val="right"/>
              <w:ind w:right="1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auto"/>
            </w:tcBorders>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Comprehensive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2022</w:t>
            </w: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32,775</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550,299</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118,892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667,256</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47,697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47,697</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on restricted stock</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units, net of shares withheld</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(3,907)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3,199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(12,499)</w:t>
            </w:r>
          </w:p>
        </w:tc>
        <w:tc>
          <w:tcPr>
            <w:tcW w:w="0" w:type="dxa"/>
            <w:vAlign w:val="bottom"/>
          </w:tcPr>
          <w:p>
            <w:pPr>
              <w:spacing w:after="0"/>
              <w:rPr>
                <w:sz w:val="1"/>
                <w:szCs w:val="1"/>
                <w:color w:val="auto"/>
              </w:rPr>
            </w:pPr>
          </w:p>
        </w:tc>
      </w:tr>
      <w:tr>
        <w:trPr>
          <w:trHeight w:val="236"/>
        </w:trPr>
        <w:tc>
          <w:tcPr>
            <w:tcW w:w="3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March 31, 2023</w:t>
            </w:r>
          </w:p>
        </w:tc>
        <w:tc>
          <w:tcPr>
            <w:tcW w:w="60" w:type="dxa"/>
            <w:vAlign w:val="bottom"/>
            <w:tcBorders>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8"/>
              </w:rPr>
              <w:t>32,726</w:t>
            </w:r>
          </w:p>
        </w:tc>
        <w:tc>
          <w:tcPr>
            <w:tcW w:w="180" w:type="dxa"/>
            <w:vAlign w:val="bottom"/>
            <w:tcBorders>
              <w:bottom w:val="single" w:sz="8" w:color="CCEEFF"/>
            </w:tcBorders>
            <w:gridSpan w:val="2"/>
          </w:tcPr>
          <w:p>
            <w:pPr>
              <w:spacing w:after="0"/>
              <w:rPr>
                <w:sz w:val="20"/>
                <w:szCs w:val="20"/>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CCEEFF"/>
            </w:tcBorders>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547,692</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gridSpan w:val="2"/>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156,014</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(1,918)</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701,821</w:t>
            </w:r>
          </w:p>
        </w:tc>
        <w:tc>
          <w:tcPr>
            <w:tcW w:w="0" w:type="dxa"/>
            <w:vAlign w:val="bottom"/>
          </w:tcPr>
          <w:p>
            <w:pPr>
              <w:spacing w:after="0"/>
              <w:rPr>
                <w:sz w:val="1"/>
                <w:szCs w:val="1"/>
                <w:color w:val="auto"/>
              </w:rPr>
            </w:pPr>
          </w:p>
        </w:tc>
      </w:tr>
      <w:tr>
        <w:trPr>
          <w:trHeight w:val="183"/>
        </w:trPr>
        <w:tc>
          <w:tcPr>
            <w:tcW w:w="3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61,579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61,579</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(1,011)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193"/>
        </w:trPr>
        <w:tc>
          <w:tcPr>
            <w:tcW w:w="3460" w:type="dxa"/>
            <w:vAlign w:val="bottom"/>
          </w:tcPr>
          <w:p>
            <w:pPr>
              <w:spacing w:after="0"/>
              <w:rPr>
                <w:sz w:val="20"/>
                <w:szCs w:val="20"/>
                <w:color w:val="auto"/>
              </w:rPr>
            </w:pPr>
            <w:r>
              <w:rPr>
                <w:rFonts w:ascii="Arial" w:cs="Arial" w:eastAsia="Arial" w:hAnsi="Arial"/>
                <w:sz w:val="16"/>
                <w:szCs w:val="16"/>
                <w:color w:val="auto"/>
              </w:rPr>
              <w:t>Issuance of stock under Employee Stock</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6"/>
                <w:szCs w:val="16"/>
                <w:color w:val="auto"/>
              </w:rPr>
              <w:t>Purchase Plan</w:t>
            </w: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957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on restricted stock</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units, net of shares withheld</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(11,558)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(11,558)</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4,749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(1,720)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Arial" w:cs="Arial" w:eastAsia="Arial" w:hAnsi="Arial"/>
                <w:sz w:val="16"/>
                <w:szCs w:val="16"/>
                <w:color w:val="auto"/>
              </w:rPr>
              <w:t>Balance at June 30, 2023</w:t>
            </w:r>
          </w:p>
        </w:tc>
        <w:tc>
          <w:tcPr>
            <w:tcW w:w="60" w:type="dxa"/>
            <w:vAlign w:val="bottom"/>
          </w:tcPr>
          <w:p>
            <w:pPr>
              <w:spacing w:after="0"/>
              <w:rPr>
                <w:sz w:val="17"/>
                <w:szCs w:val="17"/>
                <w:color w:val="auto"/>
              </w:rPr>
            </w:pP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8"/>
              </w:rPr>
              <w:t>32,836</w:t>
            </w:r>
          </w:p>
        </w:tc>
        <w:tc>
          <w:tcPr>
            <w:tcW w:w="18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33</w:t>
            </w:r>
          </w:p>
        </w:tc>
        <w:tc>
          <w:tcPr>
            <w:tcW w:w="18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540,120</w:t>
            </w:r>
          </w:p>
        </w:tc>
        <w:tc>
          <w:tcPr>
            <w:tcW w:w="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206,813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(2,929)</w:t>
            </w:r>
          </w:p>
        </w:tc>
        <w:tc>
          <w:tcPr>
            <w:tcW w:w="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744,037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6500"/>
        <w:spacing w:after="0"/>
        <w:rPr>
          <w:sz w:val="20"/>
          <w:szCs w:val="20"/>
          <w:color w:val="auto"/>
        </w:rPr>
      </w:pPr>
      <w:r>
        <w:rPr>
          <w:rFonts w:ascii="Arial" w:cs="Arial" w:eastAsia="Arial" w:hAnsi="Arial"/>
          <w:sz w:val="16"/>
          <w:szCs w:val="16"/>
          <w:b w:val="1"/>
          <w:bCs w:val="1"/>
          <w:color w:val="auto"/>
        </w:rPr>
        <w:t>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8"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68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109,276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85,804</w:t>
            </w:r>
          </w:p>
        </w:tc>
        <w:tc>
          <w:tcPr>
            <w:tcW w:w="340" w:type="dxa"/>
            <w:vAlign w:val="bottom"/>
          </w:tcPr>
          <w:p>
            <w:pPr>
              <w:spacing w:after="0"/>
              <w:rPr>
                <w:sz w:val="18"/>
                <w:szCs w:val="18"/>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5,724</w:t>
            </w:r>
          </w:p>
        </w:tc>
        <w:tc>
          <w:tcPr>
            <w:tcW w:w="340" w:type="dxa"/>
            <w:vAlign w:val="bottom"/>
          </w:tcPr>
          <w:p>
            <w:pPr>
              <w:spacing w:after="0"/>
              <w:rPr>
                <w:sz w:val="18"/>
                <w:szCs w:val="18"/>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340" w:type="dxa"/>
            <w:vAlign w:val="bottom"/>
            <w:shd w:val="clear" w:color="auto" w:fill="CCEEFF"/>
          </w:tcPr>
          <w:p>
            <w:pPr>
              <w:spacing w:after="0"/>
              <w:rPr>
                <w:sz w:val="18"/>
                <w:szCs w:val="18"/>
                <w:color w:val="auto"/>
              </w:rPr>
            </w:pP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6,228</w:t>
            </w:r>
          </w:p>
        </w:tc>
        <w:tc>
          <w:tcPr>
            <w:tcW w:w="340" w:type="dxa"/>
            <w:vAlign w:val="bottom"/>
          </w:tcPr>
          <w:p>
            <w:pPr>
              <w:spacing w:after="0"/>
              <w:rPr>
                <w:sz w:val="18"/>
                <w:szCs w:val="18"/>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340" w:type="dxa"/>
            <w:vAlign w:val="bottom"/>
            <w:shd w:val="clear" w:color="auto" w:fill="CCEEFF"/>
          </w:tcPr>
          <w:p>
            <w:pPr>
              <w:spacing w:after="0"/>
              <w:rPr>
                <w:sz w:val="18"/>
                <w:szCs w:val="18"/>
                <w:color w:val="auto"/>
              </w:rPr>
            </w:pP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Accretion of discounts and premiums on marketable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Currency loss on foreign denominated transactions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(45,783)</w:t>
            </w: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(27,511)</w:t>
            </w: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(5,304)</w:t>
            </w: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Accounts payable and other current liabilities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1,507</w:t>
            </w:r>
          </w:p>
        </w:tc>
        <w:tc>
          <w:tcPr>
            <w:tcW w:w="340" w:type="dxa"/>
            <w:vAlign w:val="bottom"/>
          </w:tcPr>
          <w:p>
            <w:pPr>
              <w:spacing w:after="0"/>
              <w:rPr>
                <w:sz w:val="18"/>
                <w:szCs w:val="18"/>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340" w:type="dxa"/>
            <w:vAlign w:val="bottom"/>
            <w:shd w:val="clear" w:color="auto" w:fill="CCEEFF"/>
          </w:tcPr>
          <w:p>
            <w:pPr>
              <w:spacing w:after="0"/>
              <w:rPr>
                <w:sz w:val="18"/>
                <w:szCs w:val="18"/>
                <w:color w:val="auto"/>
              </w:rPr>
            </w:pP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(529)</w:t>
            </w: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 and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r>
      <w:tr>
        <w:trPr>
          <w:trHeight w:val="209"/>
        </w:trPr>
        <w:tc>
          <w:tcPr>
            <w:tcW w:w="684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67,274</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29,222</w:t>
            </w:r>
          </w:p>
        </w:tc>
        <w:tc>
          <w:tcPr>
            <w:tcW w:w="340" w:type="dxa"/>
            <w:vAlign w:val="bottom"/>
            <w:tcBorders>
              <w:top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Expenditures for property, plant and equipment and capitalized software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(3,356)</w:t>
            </w: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(188,943)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Maturities of short-term investments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10"/>
        </w:trPr>
        <w:tc>
          <w:tcPr>
            <w:tcW w:w="684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(73,238)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(3,356)</w:t>
            </w: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settlement on restricted stock grants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(9,211)</w:t>
            </w: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(32,498)</w:t>
            </w:r>
          </w:p>
        </w:tc>
      </w:tr>
      <w:tr>
        <w:trPr>
          <w:trHeight w:val="216"/>
        </w:trPr>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 purchases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340" w:type="dxa"/>
            <w:vAlign w:val="bottom"/>
            <w:shd w:val="clear" w:color="auto" w:fill="CCEEFF"/>
          </w:tcPr>
          <w:p>
            <w:pPr>
              <w:spacing w:after="0"/>
              <w:rPr>
                <w:sz w:val="18"/>
                <w:szCs w:val="18"/>
                <w:color w:val="auto"/>
              </w:rPr>
            </w:pPr>
          </w:p>
        </w:tc>
      </w:tr>
      <w:tr>
        <w:trPr>
          <w:trHeight w:val="216"/>
        </w:trPr>
        <w:tc>
          <w:tcPr>
            <w:tcW w:w="6840" w:type="dxa"/>
            <w:vAlign w:val="bottom"/>
          </w:tcPr>
          <w:p>
            <w:pPr>
              <w:ind w:left="320"/>
              <w:spacing w:after="0"/>
              <w:rPr>
                <w:sz w:val="20"/>
                <w:szCs w:val="20"/>
                <w:color w:val="auto"/>
              </w:rPr>
            </w:pPr>
            <w:r>
              <w:rPr>
                <w:rFonts w:ascii="Arial" w:cs="Arial" w:eastAsia="Arial" w:hAnsi="Arial"/>
                <w:sz w:val="18"/>
                <w:szCs w:val="18"/>
                <w:color w:val="auto"/>
              </w:rPr>
              <w:t>Principal payments on finance lease obligation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r>
      <w:tr>
        <w:trPr>
          <w:trHeight w:val="216"/>
        </w:trPr>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10"/>
        </w:trPr>
        <w:tc>
          <w:tcPr>
            <w:tcW w:w="6840" w:type="dxa"/>
            <w:vAlign w:val="bottom"/>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(40,684)</w:t>
            </w: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c>
          <w:tcPr>
            <w:tcW w:w="340" w:type="dxa"/>
            <w:vAlign w:val="bottom"/>
          </w:tcPr>
          <w:p>
            <w:pPr>
              <w:spacing w:after="0"/>
              <w:rPr>
                <w:sz w:val="18"/>
                <w:szCs w:val="18"/>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(7,760)</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295,680</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139,156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287,920</w:t>
            </w:r>
          </w:p>
        </w:tc>
        <w:tc>
          <w:tcPr>
            <w:tcW w:w="34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6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1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balance sheet at December 31, 2022 has been derived from the audited consolidated financial statements at that date but does not include all the information and footnotes required by generally accepted accounting principles for complete financial statements. As of June 30, 2023, there have been no material changes in the Company’s significant accounting policies. For further information, refer to the consolidated financial statements and footnotes thereto included in the Company’s Annual Report on Form 10-K for the year ended December 31, 2022.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6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maintain the Axcelis Technologies, Inc. 2012 Equity Incentive Plan, as amended (the “2012 Equity Plan”), an Internal Revenue Code Section 423 plan, which became effective on May 2, 2012, and permits the issuance of options, restricted stock, restricted stock units (“RSUs”) and performance awards to selected employees, directors and consultants of the Company.</w:t>
      </w:r>
    </w:p>
    <w:p>
      <w:pPr>
        <w:spacing w:after="0" w:line="11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2012 Equity Plan is more fully described in Note 13 to the consolidated financial statements in our Annual Report on Form 10-K for the year ended December 31, 2022.</w:t>
      </w:r>
    </w:p>
    <w:p>
      <w:pPr>
        <w:spacing w:after="0" w:line="10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recognized stock-based compensation expense of $4.7 million and $3.5 million for the three-month periods ended June 30, 2023 and 2022, respectively. We recognized stock-based compensation expense of $7.9 million and $6.2 million for the six-month periods ended June 30, 2023 and 2022, respectively. These amounts include compensation expense related to RSUs, non-qualified stock options and stock to be issued to participants under the 2020 Employee Stock Purchase Plan (the “2020 ESPP”).</w:t>
      </w:r>
    </w:p>
    <w:p>
      <w:pPr>
        <w:spacing w:after="0" w:line="12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the three-month periods ended June 30, 2023 and 2022, we issued 0.2 million and 0.2 million of common stock for purchases under the 2020 ESPP and vesting of RSUs, respectively. In the three-month period ended June 30, 2023, we received proceeds of $1.0 million for purchases under the 2020 ESPP. In the three-month period ended June 30, 2022, we received proceeds of $1.0 million in connection with the exercise of stock options and purchases under the 2020 ESPP.</w:t>
      </w:r>
    </w:p>
    <w:p>
      <w:pPr>
        <w:spacing w:after="0" w:line="90"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the six-month periods ended June 30, 2023 and 2022, we issued 0.3 million and 0.4 million shares of common stock, respectively, upon stock option exercises, purchases under the 2020 ESPP and vesting of RSUs. In the six-month periods ended June 30, 2023 and 2022, we received proceeds of $1.0 million and $1.5 million, respectively, in connection with the exercise of stock options and purchases under the 2020 ESPP.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6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for the use of a specific physical space or a specific physical item.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We recognize operating lease obligations under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by one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Leases</w:t>
            </w:r>
          </w:p>
        </w:tc>
        <w:tc>
          <w:tcPr>
            <w:tcW w:w="348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9"/>
                <w:szCs w:val="19"/>
                <w:color w:val="auto"/>
              </w:rPr>
            </w:pPr>
          </w:p>
        </w:tc>
      </w:tr>
      <w:tr>
        <w:trPr>
          <w:trHeight w:val="236"/>
        </w:trPr>
        <w:tc>
          <w:tcPr>
            <w:tcW w:w="29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348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Operating lease assets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12,146</w:t>
            </w:r>
          </w:p>
        </w:tc>
        <w:tc>
          <w:tcPr>
            <w:tcW w:w="420" w:type="dxa"/>
            <w:vAlign w:val="bottom"/>
            <w:shd w:val="clear" w:color="auto" w:fill="CCEEFF"/>
          </w:tcPr>
          <w:p>
            <w:pPr>
              <w:spacing w:after="0"/>
              <w:rPr>
                <w:sz w:val="21"/>
                <w:szCs w:val="2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4"/>
                <w:szCs w:val="14"/>
                <w:color w:val="auto"/>
              </w:rPr>
              <w:t>Finance lease</w:t>
            </w:r>
          </w:p>
        </w:tc>
        <w:tc>
          <w:tcPr>
            <w:tcW w:w="3480" w:type="dxa"/>
            <w:vAlign w:val="bottom"/>
          </w:tcPr>
          <w:p>
            <w:pPr>
              <w:ind w:left="1720"/>
              <w:spacing w:after="0"/>
              <w:rPr>
                <w:sz w:val="20"/>
                <w:szCs w:val="20"/>
                <w:color w:val="auto"/>
              </w:rPr>
            </w:pPr>
            <w:r>
              <w:rPr>
                <w:rFonts w:ascii="Arial" w:cs="Arial" w:eastAsia="Arial" w:hAnsi="Arial"/>
                <w:sz w:val="14"/>
                <w:szCs w:val="14"/>
                <w:color w:val="auto"/>
              </w:rPr>
              <w:t>Finance lease assets*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17,942</w:t>
            </w:r>
          </w:p>
        </w:tc>
        <w:tc>
          <w:tcPr>
            <w:tcW w:w="420" w:type="dxa"/>
            <w:vAlign w:val="bottom"/>
          </w:tcPr>
          <w:p>
            <w:pPr>
              <w:spacing w:after="0"/>
              <w:rPr>
                <w:sz w:val="19"/>
                <w:szCs w:val="19"/>
                <w:color w:val="auto"/>
              </w:rPr>
            </w:pPr>
          </w:p>
        </w:tc>
      </w:tr>
      <w:tr>
        <w:trPr>
          <w:trHeight w:val="250"/>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Total leased assets</w:t>
            </w:r>
          </w:p>
        </w:tc>
        <w:tc>
          <w:tcPr>
            <w:tcW w:w="34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30,088</w:t>
            </w:r>
          </w:p>
        </w:tc>
        <w:tc>
          <w:tcPr>
            <w:tcW w:w="420" w:type="dxa"/>
            <w:vAlign w:val="bottom"/>
            <w:shd w:val="clear" w:color="auto" w:fill="CCEEFF"/>
          </w:tcPr>
          <w:p>
            <w:pPr>
              <w:spacing w:after="0"/>
              <w:rPr>
                <w:sz w:val="21"/>
                <w:szCs w:val="21"/>
                <w:color w:val="auto"/>
              </w:rPr>
            </w:pPr>
          </w:p>
        </w:tc>
      </w:tr>
      <w:tr>
        <w:trPr>
          <w:trHeight w:val="210"/>
        </w:trPr>
        <w:tc>
          <w:tcPr>
            <w:tcW w:w="29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Liabilities</w:t>
            </w:r>
          </w:p>
        </w:tc>
        <w:tc>
          <w:tcPr>
            <w:tcW w:w="3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243"/>
        </w:trPr>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w:t>
            </w:r>
          </w:p>
        </w:tc>
        <w:tc>
          <w:tcPr>
            <w:tcW w:w="3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4"/>
                <w:szCs w:val="14"/>
                <w:color w:val="auto"/>
              </w:rPr>
              <w:t>Operating</w:t>
            </w:r>
          </w:p>
        </w:tc>
        <w:tc>
          <w:tcPr>
            <w:tcW w:w="3480" w:type="dxa"/>
            <w:vAlign w:val="bottom"/>
          </w:tcPr>
          <w:p>
            <w:pPr>
              <w:ind w:left="1720"/>
              <w:spacing w:after="0"/>
              <w:rPr>
                <w:sz w:val="20"/>
                <w:szCs w:val="20"/>
                <w:color w:val="auto"/>
              </w:rPr>
            </w:pPr>
            <w:r>
              <w:rPr>
                <w:rFonts w:ascii="Arial" w:cs="Arial" w:eastAsia="Arial" w:hAnsi="Arial"/>
                <w:sz w:val="14"/>
                <w:szCs w:val="14"/>
                <w:color w:val="auto"/>
              </w:rPr>
              <w:t>Other current liabilities</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5,544</w:t>
            </w:r>
          </w:p>
        </w:tc>
        <w:tc>
          <w:tcPr>
            <w:tcW w:w="3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5,367</w:t>
            </w:r>
          </w:p>
        </w:tc>
        <w:tc>
          <w:tcPr>
            <w:tcW w:w="420" w:type="dxa"/>
            <w:vAlign w:val="bottom"/>
          </w:tcPr>
          <w:p>
            <w:pPr>
              <w:spacing w:after="0"/>
              <w:rPr>
                <w:sz w:val="21"/>
                <w:szCs w:val="21"/>
                <w:color w:val="auto"/>
              </w:rPr>
            </w:pPr>
          </w:p>
        </w:tc>
      </w:tr>
      <w:tr>
        <w:trPr>
          <w:trHeight w:val="130"/>
        </w:trPr>
        <w:tc>
          <w:tcPr>
            <w:tcW w:w="2940" w:type="dxa"/>
            <w:vAlign w:val="bottom"/>
            <w:shd w:val="clear" w:color="auto" w:fill="CCEEFF"/>
          </w:tcPr>
          <w:p>
            <w:pPr>
              <w:spacing w:after="0"/>
              <w:rPr>
                <w:sz w:val="11"/>
                <w:szCs w:val="11"/>
                <w:color w:val="auto"/>
              </w:rPr>
            </w:pPr>
          </w:p>
        </w:tc>
        <w:tc>
          <w:tcPr>
            <w:tcW w:w="3480" w:type="dxa"/>
            <w:vAlign w:val="bottom"/>
            <w:shd w:val="clear" w:color="auto" w:fill="CCEEFF"/>
          </w:tcPr>
          <w:p>
            <w:pPr>
              <w:ind w:left="1720"/>
              <w:spacing w:after="0" w:line="130" w:lineRule="exact"/>
              <w:rPr>
                <w:sz w:val="20"/>
                <w:szCs w:val="20"/>
                <w:color w:val="auto"/>
              </w:rPr>
            </w:pPr>
            <w:r>
              <w:rPr>
                <w:rFonts w:ascii="Arial" w:cs="Arial" w:eastAsia="Arial" w:hAnsi="Arial"/>
                <w:sz w:val="14"/>
                <w:szCs w:val="14"/>
                <w:color w:val="auto"/>
              </w:rPr>
              <w:t>Current portion of finance</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67"/>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Finance</w:t>
            </w:r>
          </w:p>
        </w:tc>
        <w:tc>
          <w:tcPr>
            <w:tcW w:w="348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lease obligation</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420" w:type="dxa"/>
            <w:vAlign w:val="bottom"/>
            <w:shd w:val="clear" w:color="auto" w:fill="CCEEFF"/>
          </w:tcPr>
          <w:p>
            <w:pPr>
              <w:spacing w:after="0"/>
              <w:rPr>
                <w:sz w:val="14"/>
                <w:szCs w:val="14"/>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4"/>
                <w:szCs w:val="14"/>
                <w:b w:val="1"/>
                <w:bCs w:val="1"/>
                <w:color w:val="auto"/>
              </w:rPr>
              <w:t>Non-current</w:t>
            </w:r>
          </w:p>
        </w:tc>
        <w:tc>
          <w:tcPr>
            <w:tcW w:w="3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Operating</w:t>
            </w:r>
          </w:p>
        </w:tc>
        <w:tc>
          <w:tcPr>
            <w:tcW w:w="348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Other long-term liabilities</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6,931</w:t>
            </w:r>
          </w:p>
        </w:tc>
        <w:tc>
          <w:tcPr>
            <w:tcW w:w="420" w:type="dxa"/>
            <w:vAlign w:val="bottom"/>
            <w:shd w:val="clear" w:color="auto" w:fill="CCEEFF"/>
          </w:tcPr>
          <w:p>
            <w:pPr>
              <w:spacing w:after="0"/>
              <w:rPr>
                <w:sz w:val="21"/>
                <w:szCs w:val="2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4"/>
                <w:szCs w:val="14"/>
                <w:color w:val="auto"/>
              </w:rPr>
              <w:t>Finance</w:t>
            </w:r>
          </w:p>
        </w:tc>
        <w:tc>
          <w:tcPr>
            <w:tcW w:w="3480" w:type="dxa"/>
            <w:vAlign w:val="bottom"/>
          </w:tcPr>
          <w:p>
            <w:pPr>
              <w:ind w:left="1720"/>
              <w:spacing w:after="0"/>
              <w:rPr>
                <w:sz w:val="20"/>
                <w:szCs w:val="20"/>
                <w:color w:val="auto"/>
              </w:rPr>
            </w:pPr>
            <w:r>
              <w:rPr>
                <w:rFonts w:ascii="Arial" w:cs="Arial" w:eastAsia="Arial" w:hAnsi="Arial"/>
                <w:sz w:val="14"/>
                <w:szCs w:val="14"/>
                <w:color w:val="auto"/>
              </w:rPr>
              <w:t>Finance lease obligation</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44,455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45,185</w:t>
            </w:r>
          </w:p>
        </w:tc>
        <w:tc>
          <w:tcPr>
            <w:tcW w:w="420" w:type="dxa"/>
            <w:vAlign w:val="bottom"/>
          </w:tcPr>
          <w:p>
            <w:pPr>
              <w:spacing w:after="0"/>
              <w:rPr>
                <w:sz w:val="19"/>
                <w:szCs w:val="19"/>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liabilities</w:t>
            </w:r>
          </w:p>
        </w:tc>
        <w:tc>
          <w:tcPr>
            <w:tcW w:w="34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77,345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58,712</w:t>
            </w:r>
          </w:p>
        </w:tc>
        <w:tc>
          <w:tcPr>
            <w:tcW w:w="420" w:type="dxa"/>
            <w:vAlign w:val="bottom"/>
            <w:shd w:val="clear" w:color="auto" w:fill="CCEEFF"/>
          </w:tcPr>
          <w:p>
            <w:pPr>
              <w:spacing w:after="0"/>
              <w:rPr>
                <w:sz w:val="19"/>
                <w:szCs w:val="19"/>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r>
    </w:tbl>
    <w:p>
      <w:pPr>
        <w:spacing w:after="0" w:line="224" w:lineRule="exact"/>
        <w:rPr>
          <w:sz w:val="20"/>
          <w:szCs w:val="20"/>
          <w:color w:val="auto"/>
        </w:rPr>
      </w:pPr>
    </w:p>
    <w:p>
      <w:pPr>
        <w:ind w:right="500"/>
        <w:spacing w:after="0" w:line="238" w:lineRule="auto"/>
        <w:rPr>
          <w:sz w:val="20"/>
          <w:szCs w:val="20"/>
          <w:color w:val="auto"/>
        </w:rPr>
      </w:pPr>
      <w:r>
        <w:rPr>
          <w:rFonts w:ascii="Arial" w:cs="Arial" w:eastAsia="Arial" w:hAnsi="Arial"/>
          <w:sz w:val="14"/>
          <w:szCs w:val="14"/>
          <w:color w:val="auto"/>
        </w:rPr>
        <w:t>*Finance lease assets are recorded net of accumulated depreciation of $46.5 million and include $0.6 million of prepaid financing costs as of June 30, 2023. Finance lease assets are recorded net of accumulated depreciation of $45.9 million and include $0.6 million of prepaid financing costs as of December 31, 2022.</w:t>
      </w:r>
    </w:p>
    <w:p>
      <w:pPr>
        <w:spacing w:after="0" w:line="11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All of our operating lease office locations support selling and servicing functions. Our Axcelis Asia Operations Center facility in South Korea brings production capability closer to our Asia-based customers. Our state-of-the-art 98,500 square foot logistics and flex manufacturing center in Beverly, Massachusetts, which is anticipated to be fully operational in the second half of 2023, commenced during the three-months ended June 30, 2023. As a result, we recorded a right-of-use asset of $21.0 million, which includes approximately $1.0 million of prepaid rent, and a related liability of $20.0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Operating lease expense and depreciation and interest expense relating to our finance lease obligation are recognized within our consolidated statement of operations for the three and six months ended June 30, 2023 and 2022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0"/>
              </w:rPr>
              <w:t>Three months ended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Six months ended</w:t>
            </w:r>
          </w:p>
        </w:tc>
      </w:tr>
      <w:tr>
        <w:trPr>
          <w:trHeight w:val="228"/>
        </w:trPr>
        <w:tc>
          <w:tcPr>
            <w:tcW w:w="26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r>
      <w:tr>
        <w:trPr>
          <w:trHeight w:val="223"/>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Lease cost</w:t>
            </w:r>
          </w:p>
        </w:tc>
        <w:tc>
          <w:tcPr>
            <w:tcW w:w="29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9"/>
                <w:szCs w:val="19"/>
                <w:color w:val="auto"/>
              </w:rPr>
            </w:pPr>
          </w:p>
        </w:tc>
      </w:tr>
      <w:tr>
        <w:trPr>
          <w:trHeight w:val="236"/>
        </w:trPr>
        <w:tc>
          <w:tcPr>
            <w:tcW w:w="2600" w:type="dxa"/>
            <w:vAlign w:val="bottom"/>
          </w:tcPr>
          <w:p>
            <w:pPr>
              <w:spacing w:after="0"/>
              <w:rPr>
                <w:sz w:val="20"/>
                <w:szCs w:val="20"/>
                <w:color w:val="auto"/>
              </w:rPr>
            </w:pPr>
            <w:r>
              <w:rPr>
                <w:rFonts w:ascii="Arial" w:cs="Arial" w:eastAsia="Arial" w:hAnsi="Arial"/>
                <w:sz w:val="14"/>
                <w:szCs w:val="14"/>
                <w:b w:val="1"/>
                <w:bCs w:val="1"/>
                <w:color w:val="auto"/>
              </w:rPr>
              <w:t>Operating lease cost</w:t>
            </w:r>
          </w:p>
        </w:tc>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Product / services*</w:t>
            </w:r>
          </w:p>
        </w:tc>
        <w:tc>
          <w:tcPr>
            <w:tcW w:w="328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Cost of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2,516</w:t>
            </w:r>
          </w:p>
        </w:tc>
        <w:tc>
          <w:tcPr>
            <w:tcW w:w="260" w:type="dxa"/>
            <w:vAlign w:val="bottom"/>
            <w:shd w:val="clear" w:color="auto" w:fill="CCEEFF"/>
          </w:tcPr>
          <w:p>
            <w:pPr>
              <w:spacing w:after="0"/>
              <w:rPr>
                <w:sz w:val="21"/>
                <w:szCs w:val="2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280" w:type="dxa"/>
            <w:vAlign w:val="bottom"/>
            <w:gridSpan w:val="2"/>
          </w:tcPr>
          <w:p>
            <w:pPr>
              <w:ind w:left="940"/>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132</w:t>
            </w:r>
          </w:p>
        </w:tc>
        <w:tc>
          <w:tcPr>
            <w:tcW w:w="260" w:type="dxa"/>
            <w:vAlign w:val="bottom"/>
          </w:tcPr>
          <w:p>
            <w:pPr>
              <w:spacing w:after="0"/>
              <w:rPr>
                <w:sz w:val="21"/>
                <w:szCs w:val="21"/>
                <w:color w:val="auto"/>
              </w:rPr>
            </w:pPr>
          </w:p>
        </w:tc>
      </w:tr>
      <w:tr>
        <w:trPr>
          <w:trHeight w:val="243"/>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328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260" w:type="dxa"/>
            <w:vAlign w:val="bottom"/>
            <w:shd w:val="clear" w:color="auto" w:fill="CCEEFF"/>
          </w:tcPr>
          <w:p>
            <w:pPr>
              <w:spacing w:after="0"/>
              <w:rPr>
                <w:sz w:val="21"/>
                <w:szCs w:val="2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280" w:type="dxa"/>
            <w:vAlign w:val="bottom"/>
            <w:gridSpan w:val="2"/>
          </w:tcPr>
          <w:p>
            <w:pPr>
              <w:ind w:left="940"/>
              <w:spacing w:after="0"/>
              <w:rPr>
                <w:sz w:val="20"/>
                <w:szCs w:val="20"/>
                <w:color w:val="auto"/>
              </w:rPr>
            </w:pPr>
            <w:r>
              <w:rPr>
                <w:rFonts w:ascii="Arial" w:cs="Arial" w:eastAsia="Arial" w:hAnsi="Arial"/>
                <w:sz w:val="14"/>
                <w:szCs w:val="14"/>
                <w:color w:val="auto"/>
              </w:rPr>
              <w:t>Operating expenses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260" w:type="dxa"/>
            <w:vAlign w:val="bottom"/>
          </w:tcPr>
          <w:p>
            <w:pPr>
              <w:spacing w:after="0"/>
              <w:rPr>
                <w:sz w:val="19"/>
                <w:szCs w:val="19"/>
                <w:color w:val="auto"/>
              </w:rPr>
            </w:pPr>
          </w:p>
        </w:tc>
      </w:tr>
      <w:tr>
        <w:trPr>
          <w:trHeight w:val="249"/>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cost</w:t>
            </w:r>
          </w:p>
        </w:tc>
        <w:tc>
          <w:tcPr>
            <w:tcW w:w="2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260" w:type="dxa"/>
            <w:vAlign w:val="bottom"/>
            <w:shd w:val="clear" w:color="auto" w:fill="CCEEFF"/>
          </w:tcPr>
          <w:p>
            <w:pPr>
              <w:spacing w:after="0"/>
              <w:rPr>
                <w:sz w:val="21"/>
                <w:szCs w:val="21"/>
                <w:color w:val="auto"/>
              </w:rPr>
            </w:pPr>
          </w:p>
        </w:tc>
      </w:tr>
      <w:tr>
        <w:trPr>
          <w:trHeight w:val="210"/>
        </w:trPr>
        <w:tc>
          <w:tcPr>
            <w:tcW w:w="260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Finance lease cost</w:t>
            </w:r>
          </w:p>
        </w:tc>
        <w:tc>
          <w:tcPr>
            <w:tcW w:w="29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30"/>
        </w:trPr>
        <w:tc>
          <w:tcPr>
            <w:tcW w:w="2600" w:type="dxa"/>
            <w:vAlign w:val="bottom"/>
            <w:shd w:val="clear" w:color="auto" w:fill="CCEEFF"/>
          </w:tcPr>
          <w:p>
            <w:pPr>
              <w:spacing w:after="0"/>
              <w:rPr>
                <w:sz w:val="11"/>
                <w:szCs w:val="11"/>
                <w:color w:val="auto"/>
              </w:rPr>
            </w:pPr>
          </w:p>
        </w:tc>
        <w:tc>
          <w:tcPr>
            <w:tcW w:w="3280" w:type="dxa"/>
            <w:vAlign w:val="bottom"/>
            <w:gridSpan w:val="2"/>
            <w:shd w:val="clear" w:color="auto" w:fill="CCEEFF"/>
          </w:tcPr>
          <w:p>
            <w:pPr>
              <w:ind w:left="940"/>
              <w:spacing w:after="0" w:line="130" w:lineRule="exact"/>
              <w:rPr>
                <w:sz w:val="20"/>
                <w:szCs w:val="20"/>
                <w:color w:val="auto"/>
              </w:rPr>
            </w:pPr>
            <w:r>
              <w:rPr>
                <w:rFonts w:ascii="Arial" w:cs="Arial" w:eastAsia="Arial" w:hAnsi="Arial"/>
                <w:sz w:val="14"/>
                <w:szCs w:val="14"/>
                <w:color w:val="auto"/>
              </w:rPr>
              <w:t>Cost of revenue, R&amp;D, Sales and</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67"/>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Depreciation of leased assets</w:t>
            </w:r>
          </w:p>
        </w:tc>
        <w:tc>
          <w:tcPr>
            <w:tcW w:w="328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marketing and G&amp;A</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260" w:type="dxa"/>
            <w:vAlign w:val="bottom"/>
            <w:shd w:val="clear" w:color="auto" w:fill="CCEEFF"/>
          </w:tcPr>
          <w:p>
            <w:pPr>
              <w:spacing w:after="0"/>
              <w:rPr>
                <w:sz w:val="14"/>
                <w:szCs w:val="14"/>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4"/>
                <w:szCs w:val="14"/>
                <w:color w:val="auto"/>
              </w:rPr>
              <w:t>Interest on lease liabilities</w:t>
            </w:r>
          </w:p>
        </w:tc>
        <w:tc>
          <w:tcPr>
            <w:tcW w:w="3280" w:type="dxa"/>
            <w:vAlign w:val="bottom"/>
            <w:gridSpan w:val="2"/>
          </w:tcPr>
          <w:p>
            <w:pPr>
              <w:ind w:left="940"/>
              <w:spacing w:after="0"/>
              <w:rPr>
                <w:sz w:val="20"/>
                <w:szCs w:val="20"/>
                <w:color w:val="auto"/>
              </w:rPr>
            </w:pPr>
            <w:r>
              <w:rPr>
                <w:rFonts w:ascii="Arial" w:cs="Arial" w:eastAsia="Arial" w:hAnsi="Arial"/>
                <w:sz w:val="14"/>
                <w:szCs w:val="14"/>
                <w:color w:val="auto"/>
              </w:rPr>
              <w:t>Interest expense</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2,454</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w:t>
            </w:r>
          </w:p>
        </w:tc>
        <w:tc>
          <w:tcPr>
            <w:tcW w:w="260" w:type="dxa"/>
            <w:vAlign w:val="bottom"/>
          </w:tcPr>
          <w:p>
            <w:pPr>
              <w:spacing w:after="0"/>
              <w:rPr>
                <w:sz w:val="19"/>
                <w:szCs w:val="19"/>
                <w:color w:val="auto"/>
              </w:rPr>
            </w:pPr>
          </w:p>
        </w:tc>
      </w:tr>
      <w:tr>
        <w:trPr>
          <w:trHeight w:val="249"/>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 finance lease cost</w:t>
            </w:r>
          </w:p>
        </w:tc>
        <w:tc>
          <w:tcPr>
            <w:tcW w:w="2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w:t>
            </w:r>
          </w:p>
        </w:tc>
        <w:tc>
          <w:tcPr>
            <w:tcW w:w="260" w:type="dxa"/>
            <w:vAlign w:val="bottom"/>
            <w:shd w:val="clear" w:color="auto" w:fill="CCEEFF"/>
          </w:tcPr>
          <w:p>
            <w:pPr>
              <w:spacing w:after="0"/>
              <w:rPr>
                <w:sz w:val="21"/>
                <w:szCs w:val="21"/>
                <w:color w:val="auto"/>
              </w:rPr>
            </w:pPr>
          </w:p>
        </w:tc>
      </w:tr>
      <w:tr>
        <w:trPr>
          <w:trHeight w:val="197"/>
        </w:trPr>
        <w:tc>
          <w:tcPr>
            <w:tcW w:w="260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r>
      <w:tr>
        <w:trPr>
          <w:trHeight w:val="229"/>
        </w:trPr>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2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7,135</w:t>
            </w:r>
          </w:p>
        </w:tc>
        <w:tc>
          <w:tcPr>
            <w:tcW w:w="260" w:type="dxa"/>
            <w:vAlign w:val="bottom"/>
            <w:shd w:val="clear" w:color="auto" w:fill="CCEEFF"/>
          </w:tcPr>
          <w:p>
            <w:pPr>
              <w:spacing w:after="0"/>
              <w:rPr>
                <w:sz w:val="19"/>
                <w:szCs w:val="19"/>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320" w:firstLine="5"/>
        <w:spacing w:after="0" w:line="238"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Product / services, sales and marketing and general and administrative expense also includes short-term lease and variable lease costs of approximately $0.5 million and $1.0 million for the three and six months ended June 30, 2023, respectively, and includes short-term lease and variable lease costs of approximately $0.6 million and $1.0 million for the three and six months ended June 30, 2022, respectively.</w:t>
      </w:r>
    </w:p>
    <w:p>
      <w:pPr>
        <w:spacing w:after="0" w:line="18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lease of our corporate headquarters, shown below under finance leases, had an original lease term of 22 years, beginning in January 2015 and expiring in January 2037, with renewal options. All other locations are treated as operating leases, with lease terms ranging from one to sixteen years. The tables below reflect the minimum cash outflow regarding our current lease obligations as well as the weighted-average remaining lease term and weighted-average discount rates used in our calculation of our lease obligations and right-of-use assets as of June 30,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Maturity of Lease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Finance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Leases</w:t>
            </w:r>
          </w:p>
        </w:tc>
        <w:tc>
          <w:tcPr>
            <w:tcW w:w="0" w:type="dxa"/>
            <w:vAlign w:val="bottom"/>
          </w:tcPr>
          <w:p>
            <w:pPr>
              <w:spacing w:after="0"/>
              <w:rPr>
                <w:sz w:val="1"/>
                <w:szCs w:val="1"/>
                <w:color w:val="auto"/>
              </w:rPr>
            </w:pPr>
          </w:p>
        </w:tc>
      </w:tr>
      <w:tr>
        <w:trPr>
          <w:trHeight w:val="142"/>
        </w:trPr>
        <w:tc>
          <w:tcPr>
            <w:tcW w:w="5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61,586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25,080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86,666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88,967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45,147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spacing w:after="0"/>
              <w:rPr>
                <w:sz w:val="20"/>
                <w:szCs w:val="20"/>
                <w:color w:val="auto"/>
              </w:rPr>
            </w:pPr>
            <w:r>
              <w:rPr>
                <w:rFonts w:ascii="Arial" w:cs="Arial" w:eastAsia="Arial" w:hAnsi="Arial"/>
                <w:sz w:val="14"/>
                <w:szCs w:val="14"/>
                <w:color w:val="auto"/>
              </w:rPr>
              <w:t>Less interest portion*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(43,145)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(13,624)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(56,769)</w:t>
            </w:r>
          </w:p>
        </w:tc>
        <w:tc>
          <w:tcPr>
            <w:tcW w:w="0" w:type="dxa"/>
            <w:vAlign w:val="bottom"/>
          </w:tcPr>
          <w:p>
            <w:pPr>
              <w:spacing w:after="0"/>
              <w:rPr>
                <w:sz w:val="1"/>
                <w:szCs w:val="1"/>
                <w:color w:val="auto"/>
              </w:rPr>
            </w:pPr>
          </w:p>
        </w:tc>
      </w:tr>
      <w:tr>
        <w:trPr>
          <w:trHeight w:val="18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Finance lease and operating lease obligations</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45,822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77,345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 Finance lease interest calculated using the implied interest rate; operating lease interest calculated using estimated corporate borrowing rate.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above does not include options to renew lease terms that are not reasonably certain of being exercised.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r>
      <w:tr>
        <w:trPr>
          <w:trHeight w:val="228"/>
        </w:trPr>
        <w:tc>
          <w:tcPr>
            <w:tcW w:w="7440" w:type="dxa"/>
            <w:vAlign w:val="bottom"/>
          </w:tcPr>
          <w:p>
            <w:pPr>
              <w:spacing w:after="0"/>
              <w:rPr>
                <w:sz w:val="20"/>
                <w:szCs w:val="20"/>
                <w:color w:val="auto"/>
              </w:rPr>
            </w:pPr>
            <w:r>
              <w:rPr>
                <w:rFonts w:ascii="Arial" w:cs="Arial" w:eastAsia="Arial" w:hAnsi="Arial"/>
                <w:sz w:val="16"/>
                <w:szCs w:val="16"/>
                <w:b w:val="1"/>
                <w:bCs w:val="1"/>
                <w:color w:val="auto"/>
              </w:rPr>
              <w:t>Lease term and discount rate</w:t>
            </w:r>
          </w:p>
        </w:tc>
        <w:tc>
          <w:tcPr>
            <w:tcW w:w="154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9"/>
                <w:szCs w:val="19"/>
                <w:color w:val="auto"/>
              </w:rPr>
            </w:pPr>
          </w:p>
        </w:tc>
      </w:tr>
      <w:tr>
        <w:trPr>
          <w:trHeight w:val="223"/>
        </w:trPr>
        <w:tc>
          <w:tcPr>
            <w:tcW w:w="7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Weighted-average remaining lease term (years):</w:t>
            </w:r>
          </w:p>
        </w:tc>
        <w:tc>
          <w:tcPr>
            <w:tcW w:w="2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1540" w:type="dxa"/>
            <w:vAlign w:val="bottom"/>
            <w:gridSpan w:val="2"/>
            <w:shd w:val="clear" w:color="auto" w:fill="CCEEFF"/>
          </w:tcPr>
          <w:p>
            <w:pPr>
              <w:jc w:val="center"/>
              <w:ind w:left="468"/>
              <w:spacing w:after="0"/>
              <w:rPr>
                <w:sz w:val="20"/>
                <w:szCs w:val="20"/>
                <w:color w:val="auto"/>
              </w:rPr>
            </w:pPr>
            <w:r>
              <w:rPr>
                <w:rFonts w:ascii="Arial" w:cs="Arial" w:eastAsia="Arial" w:hAnsi="Arial"/>
                <w:sz w:val="14"/>
                <w:szCs w:val="14"/>
                <w:color w:val="auto"/>
                <w:w w:val="87"/>
              </w:rPr>
              <w:t>11.7</w:t>
            </w:r>
          </w:p>
        </w:tc>
        <w:tc>
          <w:tcPr>
            <w:tcW w:w="140" w:type="dxa"/>
            <w:vAlign w:val="bottom"/>
            <w:shd w:val="clear" w:color="auto" w:fill="CCEEFF"/>
          </w:tcPr>
          <w:p>
            <w:pPr>
              <w:spacing w:after="0"/>
              <w:rPr>
                <w:sz w:val="21"/>
                <w:szCs w:val="2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4"/>
                <w:szCs w:val="14"/>
                <w:color w:val="auto"/>
              </w:rPr>
              <w:t>Finance leases</w:t>
            </w:r>
          </w:p>
        </w:tc>
        <w:tc>
          <w:tcPr>
            <w:tcW w:w="1540" w:type="dxa"/>
            <w:vAlign w:val="bottom"/>
            <w:gridSpan w:val="2"/>
          </w:tcPr>
          <w:p>
            <w:pPr>
              <w:jc w:val="center"/>
              <w:ind w:left="468"/>
              <w:spacing w:after="0"/>
              <w:rPr>
                <w:sz w:val="20"/>
                <w:szCs w:val="20"/>
                <w:color w:val="auto"/>
              </w:rPr>
            </w:pPr>
            <w:r>
              <w:rPr>
                <w:rFonts w:ascii="Arial" w:cs="Arial" w:eastAsia="Arial" w:hAnsi="Arial"/>
                <w:sz w:val="14"/>
                <w:szCs w:val="14"/>
                <w:color w:val="auto"/>
                <w:w w:val="87"/>
              </w:rPr>
              <w:t>13.6</w:t>
            </w:r>
          </w:p>
        </w:tc>
        <w:tc>
          <w:tcPr>
            <w:tcW w:w="140" w:type="dxa"/>
            <w:vAlign w:val="bottom"/>
          </w:tcPr>
          <w:p>
            <w:pPr>
              <w:spacing w:after="0"/>
              <w:rPr>
                <w:sz w:val="21"/>
                <w:szCs w:val="21"/>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4"/>
                <w:szCs w:val="14"/>
                <w:color w:val="auto"/>
              </w:rPr>
              <w:t>Operating leases</w:t>
            </w:r>
          </w:p>
        </w:tc>
        <w:tc>
          <w:tcPr>
            <w:tcW w:w="1540" w:type="dxa"/>
            <w:vAlign w:val="bottom"/>
            <w:gridSpan w:val="2"/>
          </w:tcPr>
          <w:p>
            <w:pPr>
              <w:jc w:val="center"/>
              <w:ind w:left="488"/>
              <w:spacing w:after="0"/>
              <w:rPr>
                <w:sz w:val="20"/>
                <w:szCs w:val="20"/>
                <w:color w:val="auto"/>
              </w:rPr>
            </w:pPr>
            <w:r>
              <w:rPr>
                <w:rFonts w:ascii="Arial" w:cs="Arial" w:eastAsia="Arial" w:hAnsi="Arial"/>
                <w:sz w:val="14"/>
                <w:szCs w:val="14"/>
                <w:color w:val="auto"/>
                <w:w w:val="93"/>
              </w:rPr>
              <w:t>5.4%</w:t>
            </w:r>
          </w:p>
        </w:tc>
        <w:tc>
          <w:tcPr>
            <w:tcW w:w="140" w:type="dxa"/>
            <w:vAlign w:val="bottom"/>
          </w:tcPr>
          <w:p>
            <w:pPr>
              <w:spacing w:after="0"/>
              <w:rPr>
                <w:sz w:val="21"/>
                <w:szCs w:val="21"/>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1540" w:type="dxa"/>
            <w:vAlign w:val="bottom"/>
            <w:gridSpan w:val="2"/>
            <w:shd w:val="clear" w:color="auto" w:fill="CCEEFF"/>
          </w:tcPr>
          <w:p>
            <w:pPr>
              <w:jc w:val="center"/>
              <w:ind w:left="468"/>
              <w:spacing w:after="0"/>
              <w:rPr>
                <w:sz w:val="20"/>
                <w:szCs w:val="20"/>
                <w:color w:val="auto"/>
              </w:rPr>
            </w:pPr>
            <w:r>
              <w:rPr>
                <w:rFonts w:ascii="Arial" w:cs="Arial" w:eastAsia="Arial" w:hAnsi="Arial"/>
                <w:sz w:val="14"/>
                <w:szCs w:val="14"/>
                <w:color w:val="auto"/>
                <w:w w:val="90"/>
              </w:rPr>
              <w:t>10.5%</w:t>
            </w:r>
          </w:p>
        </w:tc>
        <w:tc>
          <w:tcPr>
            <w:tcW w:w="14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six months ended June 30, 2023 and 2022, respectively: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223"/>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r>
      <w:tr>
        <w:trPr>
          <w:trHeight w:val="236"/>
        </w:trPr>
        <w:tc>
          <w:tcPr>
            <w:tcW w:w="6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outflows from operating leases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120" w:type="dxa"/>
            <w:vAlign w:val="bottom"/>
            <w:shd w:val="clear" w:color="auto" w:fill="CCEEFF"/>
          </w:tcPr>
          <w:p>
            <w:pPr>
              <w:spacing w:after="0"/>
              <w:rPr>
                <w:sz w:val="21"/>
                <w:szCs w:val="21"/>
                <w:color w:val="auto"/>
              </w:rPr>
            </w:pPr>
          </w:p>
        </w:tc>
      </w:tr>
      <w:tr>
        <w:trPr>
          <w:trHeight w:val="243"/>
        </w:trPr>
        <w:tc>
          <w:tcPr>
            <w:tcW w:w="6880" w:type="dxa"/>
            <w:vAlign w:val="bottom"/>
          </w:tcPr>
          <w:p>
            <w:pPr>
              <w:spacing w:after="0"/>
              <w:rPr>
                <w:sz w:val="20"/>
                <w:szCs w:val="20"/>
                <w:color w:val="auto"/>
              </w:rPr>
            </w:pPr>
            <w:r>
              <w:rPr>
                <w:rFonts w:ascii="Arial" w:cs="Arial" w:eastAsia="Arial" w:hAnsi="Arial"/>
                <w:sz w:val="14"/>
                <w:szCs w:val="14"/>
                <w:color w:val="auto"/>
              </w:rPr>
              <w:t>Operating cash outflows from finance leases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2,454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2,509</w:t>
            </w:r>
          </w:p>
        </w:tc>
        <w:tc>
          <w:tcPr>
            <w:tcW w:w="120" w:type="dxa"/>
            <w:vAlign w:val="bottom"/>
          </w:tcPr>
          <w:p>
            <w:pPr>
              <w:spacing w:after="0"/>
              <w:rPr>
                <w:sz w:val="21"/>
                <w:szCs w:val="21"/>
                <w:color w:val="auto"/>
              </w:rPr>
            </w:pP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4"/>
                <w:szCs w:val="14"/>
                <w:color w:val="auto"/>
              </w:rPr>
              <w:t>Financing cash outflows from finance leases</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spacing w:after="0"/>
              <w:rPr>
                <w:sz w:val="21"/>
                <w:szCs w:val="21"/>
                <w:color w:val="auto"/>
              </w:rPr>
            </w:pPr>
          </w:p>
        </w:tc>
      </w:tr>
      <w:tr>
        <w:trPr>
          <w:trHeight w:val="243"/>
        </w:trPr>
        <w:tc>
          <w:tcPr>
            <w:tcW w:w="6880" w:type="dxa"/>
            <w:vAlign w:val="bottom"/>
          </w:tcPr>
          <w:p>
            <w:pPr>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23,289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4,714</w:t>
            </w:r>
          </w:p>
        </w:tc>
        <w:tc>
          <w:tcPr>
            <w:tcW w:w="120" w:type="dxa"/>
            <w:vAlign w:val="bottom"/>
          </w:tcPr>
          <w:p>
            <w:pPr>
              <w:spacing w:after="0"/>
              <w:rPr>
                <w:sz w:val="21"/>
                <w:szCs w:val="21"/>
                <w:color w:val="auto"/>
              </w:rPr>
            </w:pP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assets obtained in exchange for new finance lease liabilities</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categories used by management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40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r>
      <w:tr>
        <w:trPr>
          <w:trHeight w:val="201"/>
        </w:trPr>
        <w:tc>
          <w:tcPr>
            <w:tcW w:w="2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2022</w:t>
            </w:r>
          </w:p>
        </w:tc>
      </w:tr>
      <w:tr>
        <w:trPr>
          <w:trHeight w:val="210"/>
        </w:trPr>
        <w:tc>
          <w:tcPr>
            <w:tcW w:w="2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4"/>
          </w:tcPr>
          <w:p>
            <w:pPr>
              <w:jc w:val="right"/>
              <w:ind w:right="644"/>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Systems</w:t>
            </w:r>
          </w:p>
        </w:tc>
        <w:tc>
          <w:tcPr>
            <w:tcW w:w="192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215,174</w:t>
            </w:r>
          </w:p>
        </w:tc>
        <w:tc>
          <w:tcPr>
            <w:tcW w:w="4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165,350</w:t>
            </w:r>
          </w:p>
        </w:tc>
        <w:tc>
          <w:tcPr>
            <w:tcW w:w="40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410,372</w:t>
            </w:r>
          </w:p>
        </w:tc>
        <w:tc>
          <w:tcPr>
            <w:tcW w:w="58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317,152</w:t>
            </w:r>
          </w:p>
        </w:tc>
      </w:tr>
      <w:tr>
        <w:trPr>
          <w:trHeight w:val="203"/>
        </w:trPr>
        <w:tc>
          <w:tcPr>
            <w:tcW w:w="2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Aftermarket</w:t>
            </w:r>
          </w:p>
        </w:tc>
        <w:tc>
          <w:tcPr>
            <w:tcW w:w="1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58,796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55,827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117,618</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107,620</w:t>
            </w:r>
          </w:p>
        </w:tc>
      </w:tr>
      <w:tr>
        <w:trPr>
          <w:trHeight w:val="196"/>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273,970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221,177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527,990</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424,772</w:t>
            </w:r>
          </w:p>
        </w:tc>
      </w:tr>
      <w:tr>
        <w:trPr>
          <w:trHeight w:val="20"/>
        </w:trPr>
        <w:tc>
          <w:tcPr>
            <w:tcW w:w="2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00"/>
          </w:cols>
          <w:pgMar w:left="1380" w:top="517" w:right="1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r>
      <w:tr>
        <w:trPr>
          <w:trHeight w:val="210"/>
        </w:trPr>
        <w:tc>
          <w:tcPr>
            <w:tcW w:w="4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37,918</w:t>
            </w:r>
          </w:p>
        </w:tc>
        <w:tc>
          <w:tcPr>
            <w:tcW w:w="4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34,683</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83,084</w:t>
            </w:r>
          </w:p>
        </w:tc>
        <w:tc>
          <w:tcPr>
            <w:tcW w:w="36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59,596</w:t>
            </w: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Asia Pacific</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205,941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168,705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397,044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317,945</w:t>
            </w: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30,111</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47,862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47,231</w:t>
            </w:r>
          </w:p>
        </w:tc>
      </w:tr>
      <w:tr>
        <w:trPr>
          <w:trHeight w:val="196"/>
        </w:trPr>
        <w:tc>
          <w:tcPr>
            <w:tcW w:w="4960" w:type="dxa"/>
            <w:vAlign w:val="bottom"/>
          </w:tcPr>
          <w:p>
            <w:pPr>
              <w:spacing w:after="0"/>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273,970</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221,177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527,990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424,772</w:t>
            </w: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26"/>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r>
      <w:tr>
        <w:trPr>
          <w:trHeight w:val="209"/>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785"/>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182,540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154,777</w:t>
            </w:r>
          </w:p>
        </w:tc>
      </w:tr>
    </w:tbl>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6"/>
                <w:szCs w:val="16"/>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74"/>
        </w:trPr>
        <w:tc>
          <w:tcPr>
            <w:tcW w:w="5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right"/>
              <w:ind w:right="56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44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June 30,</w:t>
            </w:r>
          </w:p>
        </w:tc>
      </w:tr>
      <w:tr>
        <w:trPr>
          <w:trHeight w:val="196"/>
        </w:trPr>
        <w:tc>
          <w:tcPr>
            <w:tcW w:w="58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2022</w:t>
            </w:r>
          </w:p>
        </w:tc>
      </w:tr>
      <w:tr>
        <w:trPr>
          <w:trHeight w:val="196"/>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3"/>
          </w:tcPr>
          <w:p>
            <w:pPr>
              <w:jc w:val="right"/>
              <w:ind w:right="383"/>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6"/>
              </w:rPr>
              <w:t>201,725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74,840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96"/>
              </w:rPr>
              <w:t>154,777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68,436</w:t>
            </w:r>
          </w:p>
        </w:tc>
      </w:tr>
      <w:tr>
        <w:trPr>
          <w:trHeight w:val="203"/>
        </w:trPr>
        <w:tc>
          <w:tcPr>
            <w:tcW w:w="5840" w:type="dxa"/>
            <w:vAlign w:val="bottom"/>
          </w:tcPr>
          <w:p>
            <w:pPr>
              <w:ind w:left="160"/>
              <w:spacing w:after="0"/>
              <w:rPr>
                <w:sz w:val="20"/>
                <w:szCs w:val="20"/>
                <w:color w:val="auto"/>
              </w:rPr>
            </w:pPr>
            <w:r>
              <w:rPr>
                <w:rFonts w:ascii="Arial" w:cs="Arial" w:eastAsia="Arial" w:hAnsi="Arial"/>
                <w:sz w:val="16"/>
                <w:szCs w:val="16"/>
                <w:color w:val="auto"/>
              </w:rPr>
              <w:t>Deferral of revenue</w:t>
            </w:r>
          </w:p>
        </w:tc>
        <w:tc>
          <w:tcPr>
            <w:tcW w:w="14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34,977</w:t>
            </w:r>
          </w:p>
        </w:tc>
        <w:tc>
          <w:tcPr>
            <w:tcW w:w="140" w:type="dxa"/>
            <w:vAlign w:val="bottom"/>
          </w:tcPr>
          <w:p>
            <w:pPr>
              <w:spacing w:after="0"/>
              <w:rPr>
                <w:sz w:val="17"/>
                <w:szCs w:val="17"/>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28,703</w:t>
            </w:r>
          </w:p>
        </w:tc>
        <w:tc>
          <w:tcPr>
            <w:tcW w:w="14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w w:val="96"/>
              </w:rPr>
              <w:t>107,556</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46,697</w:t>
            </w:r>
          </w:p>
        </w:tc>
      </w:tr>
      <w:tr>
        <w:trPr>
          <w:trHeight w:val="203"/>
        </w:trPr>
        <w:tc>
          <w:tcPr>
            <w:tcW w:w="5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Recognition of deferred revenue</w:t>
            </w: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(54,162)</w:t>
            </w: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(31,994)</w:t>
            </w: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(79,793)</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(43,584)</w:t>
            </w: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Balance, end of the period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w w:val="96"/>
              </w:rPr>
              <w:t>182,540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71,549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3"/>
              <w:spacing w:after="0"/>
              <w:rPr>
                <w:sz w:val="20"/>
                <w:szCs w:val="20"/>
                <w:color w:val="auto"/>
              </w:rPr>
            </w:pPr>
            <w:r>
              <w:rPr>
                <w:rFonts w:ascii="Arial" w:cs="Arial" w:eastAsia="Arial" w:hAnsi="Arial"/>
                <w:sz w:val="16"/>
                <w:szCs w:val="16"/>
                <w:color w:val="auto"/>
                <w:w w:val="96"/>
              </w:rPr>
              <w:t>182,540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71,549</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majority of our system transactions have either (1) payment terms of 90% due upon shipment of the system and 10% due upon acceptance or (2) a deposit with the remaining balance due at shipment and acceptance. Aftermarket transaction payment terms typically provide that payment is due either within 30 or 60 days after the service is provided or parts delivered.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 and Allowances for Credit Losses</w:t>
      </w:r>
    </w:p>
    <w:p>
      <w:pPr>
        <w:spacing w:after="0" w:line="1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trade receivables are reported on the consolidated balance sheets at their amortized cost adjusted for any write-offs and net of allowances for credit losses.</w:t>
      </w:r>
    </w:p>
    <w:p>
      <w:pPr>
        <w:spacing w:after="0" w:line="10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maintain an allowance for credit losses, which represent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experience, loss migration, delinquency trends, collection experience, current economic conditions, trade restrictions, estimates for supportable forecasts, when appropriate, and credit risk characteristics.</w:t>
      </w:r>
    </w:p>
    <w:p>
      <w:pPr>
        <w:spacing w:after="0" w:line="1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spacing w:after="0" w:line="11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did not incur any credit losses or recoveries for the three and six-month periods ended June 30, 2023 and 2022, respectively. As of June 30, 2023 and 2022, respectively, we had no provision for credit losses.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Computation of Net Earnings per Share</w:t>
      </w:r>
    </w:p>
    <w:p>
      <w:pPr>
        <w:spacing w:after="0" w:line="162"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exercise of stock options and vesting of RSUs had been issued, calculated using the treasury stock method.</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earnings per share are as follows:</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Net income available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-127000</wp:posOffset>
            </wp:positionV>
            <wp:extent cx="579501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46050"/>
                    </a:xfrm>
                    <a:prstGeom prst="rect">
                      <a:avLst/>
                    </a:prstGeom>
                    <a:noFill/>
                  </pic:spPr>
                </pic:pic>
              </a:graphicData>
            </a:graphic>
          </wp:anchor>
        </w:drawing>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Weighted average shares of common stock outstanding used in computing basic income per share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97"/>
              </w:rPr>
              <w:t>Three months ended</w:t>
            </w:r>
          </w:p>
        </w:tc>
        <w:tc>
          <w:tcPr>
            <w:tcW w:w="14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92"/>
              </w:rPr>
              <w:t>June 30,</w:t>
            </w:r>
          </w:p>
        </w:tc>
      </w:tr>
      <w:tr>
        <w:trPr>
          <w:trHeight w:val="149"/>
        </w:trPr>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2023</w:t>
            </w:r>
          </w:p>
        </w:tc>
        <w:tc>
          <w:tcPr>
            <w:tcW w:w="10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2023</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2065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ind w:left="380"/>
        <w:spacing w:after="0" w:line="237" w:lineRule="auto"/>
        <w:rPr>
          <w:sz w:val="20"/>
          <w:szCs w:val="20"/>
          <w:color w:val="auto"/>
        </w:rPr>
      </w:pPr>
      <w:r>
        <w:rPr>
          <w:rFonts w:ascii="Arial" w:cs="Arial" w:eastAsia="Arial" w:hAnsi="Arial"/>
          <w:sz w:val="14"/>
          <w:szCs w:val="14"/>
          <w:b w:val="1"/>
          <w:bCs w:val="1"/>
          <w:color w:val="auto"/>
        </w:rPr>
        <w:t>(in thousands, except per share amounts)</w:t>
      </w:r>
    </w:p>
    <w:p>
      <w:pPr>
        <w:ind w:left="180" w:hanging="171"/>
        <w:spacing w:after="0"/>
        <w:tabs>
          <w:tab w:leader="none" w:pos="180" w:val="left"/>
        </w:tabs>
        <w:numPr>
          <w:ilvl w:val="0"/>
          <w:numId w:val="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61,579   $  44,189   $ 109,276   $  85,804</w:t>
      </w:r>
    </w:p>
    <w:p>
      <w:pPr>
        <w:spacing w:after="0" w:line="234" w:lineRule="exact"/>
        <w:rPr>
          <w:rFonts w:ascii="Arial" w:cs="Arial" w:eastAsia="Arial" w:hAnsi="Arial"/>
          <w:sz w:val="16"/>
          <w:szCs w:val="16"/>
          <w:u w:val="single" w:color="auto"/>
          <w:color w:val="auto"/>
        </w:rPr>
      </w:pPr>
    </w:p>
    <w:p>
      <w:pPr>
        <w:ind w:left="180"/>
        <w:spacing w:after="0"/>
        <w:rPr>
          <w:rFonts w:ascii="Arial" w:cs="Arial" w:eastAsia="Arial" w:hAnsi="Arial"/>
          <w:sz w:val="16"/>
          <w:szCs w:val="16"/>
          <w:u w:val="single" w:color="auto"/>
          <w:color w:val="auto"/>
        </w:rPr>
      </w:pPr>
      <w:r>
        <w:rPr>
          <w:rFonts w:ascii="Arial" w:cs="Arial" w:eastAsia="Arial" w:hAnsi="Arial"/>
          <w:sz w:val="16"/>
          <w:szCs w:val="16"/>
          <w:color w:val="auto"/>
        </w:rPr>
        <w:t>32,77533,09632,759</w:t>
      </w:r>
      <w:r>
        <w:rPr>
          <w:rFonts w:ascii="Arial" w:cs="Arial" w:eastAsia="Arial" w:hAnsi="Arial"/>
          <w:sz w:val="14"/>
          <w:szCs w:val="14"/>
          <w:color w:val="auto"/>
        </w:rPr>
        <w:t>33,170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-238760</wp:posOffset>
            </wp:positionV>
            <wp:extent cx="20656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5180" w:space="540"/>
            <w:col w:w="3400"/>
          </w:cols>
          <w:pgMar w:left="1380" w:top="517" w:right="139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Incremental options and RSUs</w:t>
            </w: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20" w:type="dxa"/>
            <w:vAlign w:val="bottom"/>
          </w:tcPr>
          <w:p>
            <w:pPr>
              <w:spacing w:after="0"/>
              <w:rPr>
                <w:sz w:val="20"/>
                <w:szCs w:val="20"/>
                <w:color w:val="auto"/>
              </w:rPr>
            </w:pPr>
            <w:r>
              <w:rPr>
                <w:rFonts w:ascii="Arial" w:cs="Arial" w:eastAsia="Arial" w:hAnsi="Arial"/>
                <w:sz w:val="16"/>
                <w:szCs w:val="16"/>
                <w:color w:val="auto"/>
                <w:w w:val="94"/>
              </w:rPr>
              <w:t>Weighted average shares of common stock used in computing diluted net income per</w:t>
            </w:r>
          </w:p>
        </w:tc>
        <w:tc>
          <w:tcPr>
            <w:tcW w:w="14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w w:val="93"/>
              </w:rPr>
              <w:t>33,189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w w:val="98"/>
              </w:rPr>
              <w:t>33,562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33,237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w w:val="98"/>
              </w:rPr>
              <w:t>33,770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share</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3.34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Diluted weighted average shares of common stock outstanding does not include 770 and 15,796 common equivalent shares issuable with respect to outstanding equity awards for the three-month periods ended June 30, 2023 and 2022, respectively, or 387 and 8,255 common equivalent shares issuable with respect to outstanding equity awards for the six-month periods ended June 30, 2023 and 2022, respectively, as their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Accumulated Other Comprehensive Loss</w:t>
      </w:r>
    </w:p>
    <w:p>
      <w:pPr>
        <w:spacing w:after="0" w:line="16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loss, net of tax, by component, for the six months ended June 30,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Defined benefit</w:t>
            </w:r>
          </w:p>
        </w:tc>
        <w:tc>
          <w:tcPr>
            <w:tcW w:w="200" w:type="dxa"/>
            <w:vAlign w:val="bottom"/>
          </w:tcPr>
          <w:p>
            <w:pPr>
              <w:spacing w:after="0"/>
              <w:rPr>
                <w:sz w:val="14"/>
                <w:szCs w:val="14"/>
                <w:color w:val="auto"/>
              </w:rPr>
            </w:pPr>
          </w:p>
        </w:tc>
        <w:tc>
          <w:tcPr>
            <w:tcW w:w="76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87"/>
              </w:rPr>
              <w:t>pension plan</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(1,994)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20"/>
              <w:spacing w:after="0"/>
              <w:rPr>
                <w:sz w:val="20"/>
                <w:szCs w:val="20"/>
                <w:color w:val="auto"/>
              </w:rPr>
            </w:pPr>
            <w:r>
              <w:rPr>
                <w:rFonts w:ascii="Arial" w:cs="Arial" w:eastAsia="Arial" w:hAnsi="Arial"/>
                <w:sz w:val="16"/>
                <w:szCs w:val="16"/>
                <w:color w:val="auto"/>
              </w:rPr>
              <w:t>Other comprehensive loss and pension reclassification</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(961)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2023</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(2,955)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Cash, cash equivalents and restricted cash</w:t>
      </w:r>
    </w:p>
    <w:p>
      <w:pPr>
        <w:spacing w:after="0" w:line="16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484"/>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74"/>
              </w:rPr>
              <w:t>thousands)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132,504</w:t>
            </w:r>
          </w:p>
        </w:tc>
        <w:tc>
          <w:tcPr>
            <w:tcW w:w="580" w:type="dxa"/>
            <w:vAlign w:val="bottom"/>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185,595</w:t>
            </w:r>
          </w:p>
        </w:tc>
        <w:tc>
          <w:tcPr>
            <w:tcW w:w="100" w:type="dxa"/>
            <w:vAlign w:val="bottom"/>
            <w:shd w:val="clear" w:color="auto" w:fill="CCEEFF"/>
          </w:tcPr>
          <w:p>
            <w:pPr>
              <w:spacing w:after="0"/>
              <w:rPr>
                <w:sz w:val="18"/>
                <w:szCs w:val="18"/>
                <w:color w:val="auto"/>
              </w:rPr>
            </w:pPr>
          </w:p>
        </w:tc>
      </w:tr>
      <w:tr>
        <w:trPr>
          <w:trHeight w:val="213"/>
        </w:trPr>
        <w:tc>
          <w:tcPr>
            <w:tcW w:w="5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Long-term restricted cash</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6,652</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tcPr>
          <w:p>
            <w:pPr>
              <w:spacing w:after="0"/>
              <w:rPr>
                <w:sz w:val="18"/>
                <w:szCs w:val="18"/>
                <w:color w:val="auto"/>
              </w:rPr>
            </w:pPr>
          </w:p>
        </w:tc>
      </w:tr>
      <w:tr>
        <w:trPr>
          <w:trHeight w:val="199"/>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139,156</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186,347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June 30, 2023, we had $6.7 million in restricted cash representing the total of (i) a $5.9 million cash collateral relating to our lease for our headquarters in Beverly, Massachusetts, (ii) a $0.7 million letter of credit relating to workers’ compensation insurance and (iii) a $0.1 million deposit relating to customs activity. See Note 12 for further discussion on the $5.9 million cash collateral.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63"/>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03"/>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74"/>
              </w:rPr>
              <w:t>thousands)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213,535</w:t>
            </w:r>
          </w:p>
        </w:tc>
        <w:tc>
          <w:tcPr>
            <w:tcW w:w="54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187,313</w:t>
            </w:r>
          </w:p>
        </w:tc>
        <w:tc>
          <w:tcPr>
            <w:tcW w:w="20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Work in process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53,693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35,069</w:t>
            </w:r>
          </w:p>
        </w:tc>
        <w:tc>
          <w:tcPr>
            <w:tcW w:w="20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Finished goods (completed systems)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32,613</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20,024</w:t>
            </w:r>
          </w:p>
        </w:tc>
        <w:tc>
          <w:tcPr>
            <w:tcW w:w="200" w:type="dxa"/>
            <w:vAlign w:val="bottom"/>
            <w:shd w:val="clear" w:color="auto" w:fill="CCEEFF"/>
          </w:tcPr>
          <w:p>
            <w:pPr>
              <w:spacing w:after="0"/>
              <w:rPr>
                <w:sz w:val="17"/>
                <w:szCs w:val="17"/>
                <w:color w:val="auto"/>
              </w:rPr>
            </w:pPr>
          </w:p>
        </w:tc>
      </w:tr>
      <w:tr>
        <w:trPr>
          <w:trHeight w:val="196"/>
        </w:trPr>
        <w:tc>
          <w:tcPr>
            <w:tcW w:w="6740" w:type="dxa"/>
            <w:vAlign w:val="bottom"/>
          </w:tcPr>
          <w:p>
            <w:pPr>
              <w:spacing w:after="0"/>
              <w:rPr>
                <w:sz w:val="20"/>
                <w:szCs w:val="20"/>
                <w:color w:val="auto"/>
              </w:rPr>
            </w:pPr>
            <w:r>
              <w:rPr>
                <w:rFonts w:ascii="Arial" w:cs="Arial" w:eastAsia="Arial" w:hAnsi="Arial"/>
                <w:sz w:val="16"/>
                <w:szCs w:val="16"/>
                <w:color w:val="auto"/>
              </w:rPr>
              <w:t>Inventories, net</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299,841</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242,406</w:t>
            </w:r>
          </w:p>
        </w:tc>
        <w:tc>
          <w:tcPr>
            <w:tcW w:w="20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w:t>
      </w:r>
    </w:p>
    <w:p>
      <w:pPr>
        <w:spacing w:after="0" w:line="162"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our standard product warranty liability are as follows:</w:t>
      </w:r>
    </w:p>
    <w:p>
      <w:pPr>
        <w:spacing w:after="0" w:line="230"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Six months ended</w:t>
      </w:r>
    </w:p>
    <w:p>
      <w:pPr>
        <w:jc w:val="center"/>
        <w:ind w:left="70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71"/>
              </w:rPr>
              <w:t>thousands)</w:t>
            </w:r>
          </w:p>
        </w:tc>
        <w:tc>
          <w:tcPr>
            <w:tcW w:w="200" w:type="dxa"/>
            <w:vAlign w:val="bottom"/>
          </w:tcPr>
          <w:p>
            <w:pPr>
              <w:spacing w:after="0"/>
              <w:rPr>
                <w:sz w:val="12"/>
                <w:szCs w:val="12"/>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(beginning of year)</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6,924</w:t>
            </w:r>
          </w:p>
        </w:tc>
        <w:tc>
          <w:tcPr>
            <w:tcW w:w="200" w:type="dxa"/>
            <w:vAlign w:val="bottom"/>
            <w:shd w:val="clear" w:color="auto" w:fill="CCEEFF"/>
          </w:tcPr>
          <w:p>
            <w:pPr>
              <w:spacing w:after="0"/>
              <w:rPr>
                <w:sz w:val="18"/>
                <w:szCs w:val="18"/>
                <w:color w:val="auto"/>
              </w:rPr>
            </w:pPr>
          </w:p>
        </w:tc>
      </w:tr>
      <w:tr>
        <w:trPr>
          <w:trHeight w:val="213"/>
        </w:trPr>
        <w:tc>
          <w:tcPr>
            <w:tcW w:w="7280" w:type="dxa"/>
            <w:vAlign w:val="bottom"/>
          </w:tcPr>
          <w:p>
            <w:pPr>
              <w:ind w:left="220"/>
              <w:spacing w:after="0"/>
              <w:rPr>
                <w:sz w:val="20"/>
                <w:szCs w:val="20"/>
                <w:color w:val="auto"/>
              </w:rPr>
            </w:pPr>
            <w:r>
              <w:rPr>
                <w:rFonts w:ascii="Arial" w:cs="Arial" w:eastAsia="Arial" w:hAnsi="Arial"/>
                <w:sz w:val="16"/>
                <w:szCs w:val="16"/>
                <w:color w:val="auto"/>
              </w:rPr>
              <w:t>Warranties issued during the period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4,902</w:t>
            </w:r>
          </w:p>
        </w:tc>
        <w:tc>
          <w:tcPr>
            <w:tcW w:w="200" w:type="dxa"/>
            <w:vAlign w:val="bottom"/>
          </w:tcPr>
          <w:p>
            <w:pPr>
              <w:spacing w:after="0"/>
              <w:rPr>
                <w:sz w:val="18"/>
                <w:szCs w:val="18"/>
                <w:color w:val="auto"/>
              </w:rPr>
            </w:pP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 made during the period</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(4,834)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200" w:type="dxa"/>
            <w:vAlign w:val="bottom"/>
            <w:shd w:val="clear" w:color="auto" w:fill="CCEEFF"/>
          </w:tcPr>
          <w:p>
            <w:pPr>
              <w:spacing w:after="0"/>
              <w:rPr>
                <w:sz w:val="19"/>
                <w:szCs w:val="19"/>
                <w:color w:val="auto"/>
              </w:rPr>
            </w:pPr>
          </w:p>
        </w:tc>
      </w:tr>
      <w:tr>
        <w:trPr>
          <w:trHeight w:val="213"/>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Changes in estimate of liability for pre-existing warranties during the period</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CCEEFF"/>
            </w:tcBorders>
          </w:tcPr>
          <w:p>
            <w:pPr>
              <w:spacing w:after="0"/>
              <w:rPr>
                <w:sz w:val="18"/>
                <w:szCs w:val="18"/>
                <w:color w:val="auto"/>
              </w:rPr>
            </w:pPr>
          </w:p>
        </w:tc>
      </w:tr>
      <w:tr>
        <w:trPr>
          <w:trHeight w:val="199"/>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(end of period)</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12,821</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9,019</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 classified as current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8,348</w:t>
            </w:r>
          </w:p>
        </w:tc>
        <w:tc>
          <w:tcPr>
            <w:tcW w:w="200" w:type="dxa"/>
            <w:vAlign w:val="bottom"/>
            <w:shd w:val="clear" w:color="auto" w:fill="CCEEFF"/>
          </w:tcPr>
          <w:p>
            <w:pPr>
              <w:spacing w:after="0"/>
              <w:rPr>
                <w:sz w:val="18"/>
                <w:szCs w:val="18"/>
                <w:color w:val="auto"/>
              </w:rPr>
            </w:pPr>
          </w:p>
        </w:tc>
      </w:tr>
      <w:tr>
        <w:trPr>
          <w:trHeight w:val="203"/>
        </w:trPr>
        <w:tc>
          <w:tcPr>
            <w:tcW w:w="7280" w:type="dxa"/>
            <w:vAlign w:val="bottom"/>
          </w:tcPr>
          <w:p>
            <w:pPr>
              <w:ind w:left="220"/>
              <w:spacing w:after="0"/>
              <w:rPr>
                <w:sz w:val="20"/>
                <w:szCs w:val="20"/>
                <w:color w:val="auto"/>
              </w:rPr>
            </w:pPr>
            <w:r>
              <w:rPr>
                <w:rFonts w:ascii="Arial" w:cs="Arial" w:eastAsia="Arial" w:hAnsi="Arial"/>
                <w:sz w:val="16"/>
                <w:szCs w:val="16"/>
                <w:color w:val="auto"/>
              </w:rPr>
              <w:t>Amount classified as long-term (within other long-term liabilities)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200" w:type="dxa"/>
            <w:vAlign w:val="bottom"/>
          </w:tcPr>
          <w:p>
            <w:pPr>
              <w:spacing w:after="0"/>
              <w:rPr>
                <w:sz w:val="17"/>
                <w:szCs w:val="17"/>
                <w:color w:val="auto"/>
              </w:rPr>
            </w:pPr>
          </w:p>
        </w:tc>
      </w:tr>
      <w:tr>
        <w:trPr>
          <w:trHeight w:val="236"/>
        </w:trPr>
        <w:tc>
          <w:tcPr>
            <w:tcW w:w="7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warranty liability</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9,019</w:t>
            </w:r>
          </w:p>
        </w:tc>
        <w:tc>
          <w:tcPr>
            <w:tcW w:w="200" w:type="dxa"/>
            <w:vAlign w:val="bottom"/>
            <w:tcBorders>
              <w:bottom w:val="single" w:sz="8" w:color="CCEEFF"/>
            </w:tcBorders>
            <w:shd w:val="clear" w:color="auto" w:fill="CCEEFF"/>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6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Fair Value Hierarchy</w:t>
      </w:r>
    </w:p>
    <w:p>
      <w:pPr>
        <w:spacing w:after="0" w:line="16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applies to assets or liabilities for which there are quoted prices in active markets for identical assets or liabilities.</w:t>
      </w:r>
    </w:p>
    <w:p>
      <w:pPr>
        <w:spacing w:after="0" w:line="16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Fair Value Measurements</w:t>
      </w:r>
    </w:p>
    <w:p>
      <w:pPr>
        <w:spacing w:after="0" w:line="162"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assets by level within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2"/>
              </w:rPr>
              <w:t>June 30, 2023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5"/>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 equivalents and other short-term investments: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and Agency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88,903</w:t>
            </w:r>
          </w:p>
        </w:tc>
        <w:tc>
          <w:tcPr>
            <w:tcW w:w="120" w:type="dxa"/>
            <w:vAlign w:val="bottom"/>
            <w:shd w:val="clear" w:color="auto" w:fill="CCEEFF"/>
          </w:tcPr>
          <w:p>
            <w:pPr>
              <w:spacing w:after="0"/>
              <w:rPr>
                <w:sz w:val="20"/>
                <w:szCs w:val="20"/>
                <w:color w:val="auto"/>
              </w:rPr>
            </w:pPr>
          </w:p>
        </w:tc>
      </w:tr>
      <w:tr>
        <w:trPr>
          <w:trHeight w:val="202"/>
        </w:trPr>
        <w:tc>
          <w:tcPr>
            <w:tcW w:w="5160" w:type="dxa"/>
            <w:vAlign w:val="bottom"/>
          </w:tcPr>
          <w:p>
            <w:pPr>
              <w:ind w:left="220"/>
              <w:spacing w:after="0" w:line="201" w:lineRule="exact"/>
              <w:rPr>
                <w:sz w:val="20"/>
                <w:szCs w:val="20"/>
                <w:color w:val="auto"/>
              </w:rPr>
            </w:pPr>
            <w:r>
              <w:rPr>
                <w:rFonts w:ascii="Arial" w:cs="Arial" w:eastAsia="Arial" w:hAnsi="Arial"/>
                <w:sz w:val="18"/>
                <w:szCs w:val="18"/>
                <w:color w:val="auto"/>
                <w:w w:val="94"/>
              </w:rPr>
              <w:t>Short-term investments (U.S. Government Securities and Agency</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319,587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319,587</w:t>
            </w:r>
          </w:p>
        </w:tc>
        <w:tc>
          <w:tcPr>
            <w:tcW w:w="120" w:type="dxa"/>
            <w:vAlign w:val="bottom"/>
            <w:tcBorders>
              <w:bottom w:val="single" w:sz="8" w:color="CCEEFF"/>
            </w:tcBorders>
          </w:tcPr>
          <w:p>
            <w:pPr>
              <w:spacing w:after="0"/>
              <w:rPr>
                <w:sz w:val="20"/>
                <w:szCs w:val="20"/>
                <w:color w:val="auto"/>
              </w:rPr>
            </w:pPr>
          </w:p>
        </w:tc>
      </w:tr>
      <w:tr>
        <w:trPr>
          <w:trHeight w:val="209"/>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408,490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408,490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579501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and other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79501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274320"/>
                    </a:xfrm>
                    <a:prstGeom prst="rect">
                      <a:avLst/>
                    </a:prstGeom>
                    <a:noFill/>
                  </pic:spPr>
                </pic:pic>
              </a:graphicData>
            </a:graphic>
          </wp:anchor>
        </w:drawing>
      </w:r>
    </w:p>
    <w:p>
      <w:pPr>
        <w:ind w:left="220" w:right="540"/>
        <w:spacing w:after="0" w:line="250" w:lineRule="auto"/>
        <w:rPr>
          <w:sz w:val="20"/>
          <w:szCs w:val="20"/>
          <w:color w:val="auto"/>
        </w:rPr>
      </w:pPr>
      <w:r>
        <w:rPr>
          <w:rFonts w:ascii="Arial" w:cs="Arial" w:eastAsia="Arial" w:hAnsi="Arial"/>
          <w:sz w:val="18"/>
          <w:szCs w:val="18"/>
          <w:color w:val="auto"/>
        </w:rPr>
        <w:t>Cash equivalents (money market funds, U.S. Government Securities and Agency Investments)</w:t>
      </w:r>
    </w:p>
    <w:p>
      <w:pPr>
        <w:spacing w:after="0" w:line="1" w:lineRule="exact"/>
        <w:rPr>
          <w:sz w:val="20"/>
          <w:szCs w:val="20"/>
          <w:color w:val="auto"/>
        </w:rPr>
      </w:pPr>
    </w:p>
    <w:p>
      <w:pPr>
        <w:ind w:left="220"/>
        <w:spacing w:after="0" w:line="257" w:lineRule="auto"/>
        <w:rPr>
          <w:sz w:val="20"/>
          <w:szCs w:val="20"/>
          <w:color w:val="auto"/>
        </w:rPr>
      </w:pPr>
      <w:r>
        <w:rPr>
          <w:rFonts w:ascii="Arial" w:cs="Arial" w:eastAsia="Arial" w:hAnsi="Arial"/>
          <w:sz w:val="18"/>
          <w:szCs w:val="18"/>
          <w:color w:val="auto"/>
        </w:rPr>
        <w:t>Short-term investments (U.S. Government Securities and Agency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579501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5430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Total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Financial Instruments</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4"/>
          <w:szCs w:val="14"/>
          <w:b w:val="1"/>
          <w:bCs w:val="1"/>
          <w:color w:val="auto"/>
        </w:rPr>
        <w:t>December 31, 2022</w:t>
      </w:r>
    </w:p>
    <w:p>
      <w:pPr>
        <w:jc w:val="center"/>
        <w:ind w:right="100"/>
        <w:spacing w:after="0" w:line="236" w:lineRule="auto"/>
        <w:rPr>
          <w:sz w:val="20"/>
          <w:szCs w:val="20"/>
          <w:color w:val="auto"/>
        </w:rPr>
      </w:pPr>
      <w:r>
        <w:rPr>
          <w:rFonts w:ascii="Arial" w:cs="Arial" w:eastAsia="Arial" w:hAnsi="Arial"/>
          <w:sz w:val="14"/>
          <w:szCs w:val="14"/>
          <w:b w:val="1"/>
          <w:bCs w:val="1"/>
          <w:color w:val="auto"/>
        </w:rPr>
        <w:t>Fair Value Measurements</w:t>
      </w:r>
    </w:p>
    <w:tbl>
      <w:tblPr>
        <w:tblLayout w:type="fixed"/>
        <w:tblInd w:w="0" w:type="dxa"/>
        <w:tblCellMar>
          <w:top w:w="0" w:type="dxa"/>
          <w:left w:w="0" w:type="dxa"/>
          <w:bottom w:w="0" w:type="dxa"/>
          <w:right w:w="0" w:type="dxa"/>
        </w:tblCellMar>
      </w:tblP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r>
      <w:tr>
        <w:trPr>
          <w:trHeight w:val="180"/>
        </w:trPr>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ind w:left="3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82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111,771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136,771</w:t>
            </w:r>
          </w:p>
        </w:tc>
      </w:tr>
      <w:tr>
        <w:trPr>
          <w:trHeight w:val="418"/>
        </w:trPr>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245,247</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245,247</w:t>
            </w:r>
          </w:p>
        </w:tc>
      </w:tr>
      <w:tr>
        <w:trPr>
          <w:trHeight w:val="20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357,018</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382,018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566" w:lineRule="exact"/>
        <w:rPr>
          <w:sz w:val="20"/>
          <w:szCs w:val="20"/>
          <w:color w:val="auto"/>
        </w:rPr>
      </w:pPr>
    </w:p>
    <w:p>
      <w:pPr>
        <w:sectPr>
          <w:pgSz w:w="11900" w:h="16838" w:orient="portrait"/>
          <w:cols w:equalWidth="0" w:num="2">
            <w:col w:w="4920" w:space="240"/>
            <w:col w:w="3960"/>
          </w:cols>
          <w:pgMar w:left="1380" w:top="517" w:right="1399" w:bottom="1440" w:gutter="0" w:footer="0" w:header="0"/>
          <w:type w:val="continuous"/>
        </w:sectPr>
      </w:pPr>
    </w:p>
    <w:p>
      <w:pPr>
        <w:ind w:right="40" w:firstLine="648"/>
        <w:spacing w:after="0" w:line="263" w:lineRule="auto"/>
        <w:rPr>
          <w:sz w:val="20"/>
          <w:szCs w:val="20"/>
          <w:color w:val="auto"/>
        </w:rPr>
      </w:pPr>
      <w:r>
        <w:rPr>
          <w:rFonts w:ascii="Arial" w:cs="Arial" w:eastAsia="Arial" w:hAnsi="Arial"/>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Financing Arrangements</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$45.8 million as of June 30, 2023. The associated lease payments include both an interest component and payment of principal, with the remaining liability being extinguished at the end of the original lease term. As of June 30, 2023, we have a security deposit of $5.9 million related to this lease.</w:t>
      </w:r>
    </w:p>
    <w:p>
      <w:pPr>
        <w:spacing w:after="0" w:line="1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April 5, 2023 we terminated the Senior Secured Credit Facilities Credit Agreement, as amended (the “Credit Agreement”), with Silicon Valley Bank that we entered into on July 31, 2020. The Credit Agreement provided for a revolving credit facility covering borrowings and letters of credit in an aggregate principal amount not to exceed $40.0 million. Our obligations under the Credit Agreement were secured by a security interest, senior to any current and future debts and to any security interest, in all of our rights, title, and interest in, to and under substantially all of our assets, subject to limited exceptions, including permitted liens. Upon termination, these liens and all other obligations under the credit agreement, were released. A letter of credit remains at Silicon Valley Bank, a division of First Citizens Bank &amp; Trust Company (successor by purchase to the Federal Deposit Insurance Corporation as Receiver for Silicon Valley Bridge Bank, N.A.) as successor to Silicon Valley Bank, in the amount of $5.9 million, securing our lease on our corporate headquarters. This letter of credit was transitioned to a cash collateral arrangment on March 30, 2023, and is classified as long-term restricted cash on our balance sheet at June 30, 2023.</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35" w:lineRule="exact"/>
        <w:rPr>
          <w:sz w:val="20"/>
          <w:szCs w:val="20"/>
          <w:color w:val="auto"/>
        </w:rPr>
      </w:pPr>
    </w:p>
    <w:p>
      <w:pPr>
        <w:ind w:right="139" w:firstLine="648"/>
        <w:spacing w:after="0" w:line="301" w:lineRule="auto"/>
        <w:rPr>
          <w:sz w:val="20"/>
          <w:szCs w:val="20"/>
          <w:color w:val="auto"/>
        </w:rPr>
      </w:pPr>
      <w:r>
        <w:rPr>
          <w:rFonts w:ascii="Arial" w:cs="Arial" w:eastAsia="Arial" w:hAnsi="Arial"/>
          <w:sz w:val="16"/>
          <w:szCs w:val="16"/>
          <w:color w:val="auto"/>
        </w:rPr>
        <w:t>Income tax expense was $3.0 million for the three months ended June 30, 2023, compared to $4.0 million for the three months ended June 30, 2022. The $1.0 million decrease was primarily due to a higher stock compensation deduction driven by an increase in stock price offset partially by an increase in pre-tax financial reporting income. Income tax expense was $8.2 million for the six months ended June 30, 2023, compared to $8.3 million for the six months ended June 30, 2022.</w:t>
      </w:r>
    </w:p>
    <w:p>
      <w:pPr>
        <w:spacing w:after="0" w:line="63" w:lineRule="exact"/>
        <w:rPr>
          <w:sz w:val="20"/>
          <w:szCs w:val="20"/>
          <w:color w:val="auto"/>
        </w:rPr>
      </w:pPr>
    </w:p>
    <w:p>
      <w:pPr>
        <w:ind w:right="139" w:firstLine="648"/>
        <w:spacing w:after="0" w:line="286" w:lineRule="auto"/>
        <w:rPr>
          <w:sz w:val="20"/>
          <w:szCs w:val="20"/>
          <w:color w:val="auto"/>
        </w:rPr>
      </w:pPr>
      <w:r>
        <w:rPr>
          <w:rFonts w:ascii="Arial" w:cs="Arial" w:eastAsia="Arial" w:hAnsi="Arial"/>
          <w:sz w:val="17"/>
          <w:szCs w:val="17"/>
          <w:color w:val="auto"/>
        </w:rPr>
        <w:t>The effective tax rate for the three and six months ended June 30, 2023 was less than the U.S. statutory rate of 21% due to a forecasted Foreign Derived Intangible Income deduction, Federal research and development tax credits and a favorable discrete item related to equity compensation that reduces the annual tax rate.</w:t>
      </w:r>
    </w:p>
    <w:p>
      <w:pPr>
        <w:spacing w:after="0" w:line="71"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The deferred income taxes of $38.9 million and $31.7 million as of June 30, 2023 and December 31, 2022, respectively, reflect the net tax effect of temporary differences between the carrying amount of assets and liabilities for financial reporting purposes and the amounts used for income tax purposes, as well as the tax effect of carryforwards. As of June 30, 2023, we have recorded a $10.6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 of Risk</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June 30, 2023, no individual customer accounted for greater than ten percent of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2022, two customers accounted for 19.3% and 11.6% of total revenue, respectively.</w:t>
      </w:r>
    </w:p>
    <w:p>
      <w:pPr>
        <w:spacing w:after="0" w:line="139" w:lineRule="exact"/>
        <w:rPr>
          <w:sz w:val="20"/>
          <w:szCs w:val="20"/>
          <w:color w:val="auto"/>
        </w:rPr>
      </w:pPr>
    </w:p>
    <w:p>
      <w:pPr>
        <w:ind w:right="559" w:firstLine="648"/>
        <w:spacing w:after="0" w:line="263" w:lineRule="auto"/>
        <w:rPr>
          <w:sz w:val="20"/>
          <w:szCs w:val="20"/>
          <w:color w:val="auto"/>
        </w:rPr>
      </w:pPr>
      <w:r>
        <w:rPr>
          <w:rFonts w:ascii="Arial" w:cs="Arial" w:eastAsia="Arial" w:hAnsi="Arial"/>
          <w:sz w:val="18"/>
          <w:szCs w:val="18"/>
          <w:color w:val="auto"/>
        </w:rPr>
        <w:t>For the six months ended June 30, 2023, two customers accounted for 11.6% and 11.1% of total revenue, respectively. For the six months ended June 30, 2022, three customers accounted for 15.3%, 10.7% and 10.3% of total revenue, respectively.</w:t>
      </w:r>
    </w:p>
    <w:p>
      <w:pPr>
        <w:spacing w:after="0" w:line="89" w:lineRule="exact"/>
        <w:rPr>
          <w:sz w:val="20"/>
          <w:szCs w:val="20"/>
          <w:color w:val="auto"/>
        </w:rPr>
      </w:pPr>
    </w:p>
    <w:p>
      <w:pPr>
        <w:ind w:right="79" w:firstLine="648"/>
        <w:spacing w:after="0" w:line="277" w:lineRule="auto"/>
        <w:rPr>
          <w:sz w:val="20"/>
          <w:szCs w:val="20"/>
          <w:color w:val="auto"/>
        </w:rPr>
      </w:pPr>
      <w:r>
        <w:rPr>
          <w:rFonts w:ascii="Arial" w:cs="Arial" w:eastAsia="Arial" w:hAnsi="Arial"/>
          <w:sz w:val="18"/>
          <w:szCs w:val="18"/>
          <w:color w:val="auto"/>
        </w:rPr>
        <w:t>At June 30, 2023, two customers accounted for 12.5% and 11.5% of accounts receivable, respectively. At December 31, 2022, two customers accounted for 19.4% and 11.5% of accounts receivable,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 Repurchase</w:t>
      </w:r>
    </w:p>
    <w:p>
      <w:pPr>
        <w:spacing w:after="0" w:line="135" w:lineRule="exact"/>
        <w:rPr>
          <w:sz w:val="20"/>
          <w:szCs w:val="20"/>
          <w:color w:val="auto"/>
        </w:rPr>
      </w:pPr>
    </w:p>
    <w:p>
      <w:pPr>
        <w:ind w:right="179" w:firstLine="648"/>
        <w:spacing w:after="0" w:line="301" w:lineRule="auto"/>
        <w:rPr>
          <w:sz w:val="20"/>
          <w:szCs w:val="20"/>
          <w:color w:val="auto"/>
        </w:rPr>
      </w:pPr>
      <w:r>
        <w:rPr>
          <w:rFonts w:ascii="Arial" w:cs="Arial" w:eastAsia="Arial" w:hAnsi="Arial"/>
          <w:sz w:val="16"/>
          <w:szCs w:val="16"/>
          <w:color w:val="auto"/>
        </w:rPr>
        <w:t>In February 2022, our Board of Directors approved stock repurchases of up to $100 million of our common stock. During the six months ended June 30, 2023, we repurchased 0.2 million shares at an average cost of $123.80 per share. The timing and actual number of any additional shares to be repurchased under this program will depend on various factors including price, corporate and regulatory requirements, alternative investment opportunities and other market conditions.</w:t>
      </w:r>
    </w:p>
    <w:p>
      <w:pPr>
        <w:spacing w:after="0" w:line="63" w:lineRule="exact"/>
        <w:rPr>
          <w:sz w:val="20"/>
          <w:szCs w:val="20"/>
          <w:color w:val="auto"/>
        </w:rPr>
      </w:pPr>
    </w:p>
    <w:p>
      <w:pPr>
        <w:ind w:right="239" w:firstLine="648"/>
        <w:spacing w:after="0" w:line="301" w:lineRule="auto"/>
        <w:rPr>
          <w:sz w:val="20"/>
          <w:szCs w:val="20"/>
          <w:color w:val="auto"/>
        </w:rPr>
      </w:pPr>
      <w:r>
        <w:rPr>
          <w:rFonts w:ascii="Arial" w:cs="Arial" w:eastAsia="Arial" w:hAnsi="Arial"/>
          <w:sz w:val="16"/>
          <w:szCs w:val="16"/>
          <w:color w:val="auto"/>
        </w:rPr>
        <w:t>Repurchased shares are accounted for when the transaction is settled and returned to the status of authorized but unissued shares. Accordingly, the repurchases are deducted from common stock for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Litigation</w:t>
      </w:r>
    </w:p>
    <w:p>
      <w:pPr>
        <w:spacing w:after="0" w:line="135" w:lineRule="exact"/>
        <w:rPr>
          <w:sz w:val="20"/>
          <w:szCs w:val="20"/>
          <w:color w:val="auto"/>
        </w:rPr>
      </w:pPr>
    </w:p>
    <w:p>
      <w:pPr>
        <w:ind w:right="119"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Indemnifications</w:t>
      </w:r>
    </w:p>
    <w:p>
      <w:pPr>
        <w:spacing w:after="0" w:line="202" w:lineRule="exact"/>
        <w:rPr>
          <w:sz w:val="20"/>
          <w:szCs w:val="20"/>
          <w:color w:val="auto"/>
        </w:rPr>
      </w:pPr>
    </w:p>
    <w:p>
      <w:pPr>
        <w:ind w:right="19" w:firstLine="648"/>
        <w:spacing w:after="0" w:line="257" w:lineRule="auto"/>
        <w:rPr>
          <w:sz w:val="20"/>
          <w:szCs w:val="20"/>
          <w:color w:val="auto"/>
        </w:rPr>
      </w:pPr>
      <w:r>
        <w:rPr>
          <w:rFonts w:ascii="Arial" w:cs="Arial" w:eastAsia="Arial" w:hAnsi="Arial"/>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9"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34">
        <w:r>
          <w:rPr>
            <w:rFonts w:ascii="Arial" w:cs="Arial" w:eastAsia="Arial" w:hAnsi="Arial"/>
            <w:sz w:val="17"/>
            <w:szCs w:val="17"/>
            <w:i w:val="1"/>
            <w:iCs w:val="1"/>
            <w:color w:val="auto"/>
          </w:rPr>
          <w:t xml:space="preserve">Resources" below and under “Risk Factors” in Part I, Item 1A to our </w:t>
        </w:r>
        <w:r>
          <w:rPr>
            <w:rFonts w:ascii="Arial" w:cs="Arial" w:eastAsia="Arial" w:hAnsi="Arial"/>
            <w:sz w:val="17"/>
            <w:szCs w:val="17"/>
            <w:i w:val="1"/>
            <w:iCs w:val="1"/>
            <w:u w:val="single" w:color="auto"/>
            <w:color w:val="0000EE"/>
          </w:rPr>
          <w:t>Annual Report on Form 10-K for the year ended</w:t>
        </w:r>
      </w:hyperlink>
      <w:r>
        <w:rPr>
          <w:rFonts w:ascii="Arial" w:cs="Arial" w:eastAsia="Arial" w:hAnsi="Arial"/>
          <w:sz w:val="17"/>
          <w:szCs w:val="17"/>
          <w:i w:val="1"/>
          <w:iCs w:val="1"/>
          <w:color w:val="auto"/>
        </w:rPr>
        <w:t xml:space="preserve"> </w:t>
      </w:r>
      <w:hyperlink r:id="rId34">
        <w:r>
          <w:rPr>
            <w:rFonts w:ascii="Arial" w:cs="Arial" w:eastAsia="Arial" w:hAnsi="Arial"/>
            <w:sz w:val="17"/>
            <w:szCs w:val="17"/>
            <w:i w:val="1"/>
            <w:iCs w:val="1"/>
            <w:u w:val="single" w:color="auto"/>
            <w:color w:val="0000EE"/>
          </w:rPr>
          <w:t>December 31, 2022</w:t>
        </w:r>
        <w:r>
          <w:rPr>
            <w:rFonts w:ascii="Arial" w:cs="Arial" w:eastAsia="Arial" w:hAnsi="Arial"/>
            <w:sz w:val="17"/>
            <w:szCs w:val="17"/>
            <w:i w:val="1"/>
            <w:iCs w:val="1"/>
            <w:color w:val="000000"/>
          </w:rPr>
          <w:t xml:space="preserve">, which discussion is incorporated herein by reference. Readers are cautioned not to place undue </w:t>
        </w:r>
      </w:hyperlink>
      <w:r>
        <w:rPr>
          <w:rFonts w:ascii="Arial" w:cs="Arial" w:eastAsia="Arial" w:hAnsi="Arial"/>
          <w:sz w:val="17"/>
          <w:szCs w:val="17"/>
          <w:i w:val="1"/>
          <w:iCs w:val="1"/>
          <w:color w:val="0000EE"/>
        </w:rPr>
        <w:t xml:space="preserve">reliance </w:t>
      </w:r>
      <w:r>
        <w:rPr>
          <w:rFonts w:ascii="Arial" w:cs="Arial" w:eastAsia="Arial" w:hAnsi="Arial"/>
          <w:sz w:val="17"/>
          <w:szCs w:val="17"/>
          <w:i w:val="1"/>
          <w:iCs w:val="1"/>
          <w:color w:val="000000"/>
        </w:rPr>
        <w:t>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57.6% of total revenue for the six months ended June 30, 2023.</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first half of 2023 exhibited continued strong demand for our capital equipment, despite a downturn in the memory segment of our industry that is causing other semiconductor equipment makers to experience lower revenues than the same period in the prior year. Supply chain performance improved, but has not completely recovered from the challenges seen in prior periods. Axcelis’ strong results in the first half of 2023 demonstrate our ability to meet demand and manage supply chain difficulties. Our performance is closely related to the growing mature process technology market, with 93% of shipments during the first half of 2023 going to mature foundry/logic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Management’s discussion and analysis of our financial condition and results of operations included herein and in our Annual Report on Form 10-K for the year ended December 31, 2022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Annual Report on Form 10-K for the year ended December 31, 2022.</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0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20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506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2022</w:t>
            </w:r>
          </w:p>
        </w:tc>
        <w:tc>
          <w:tcPr>
            <w:tcW w:w="460" w:type="dxa"/>
            <w:vAlign w:val="bottom"/>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2022</w:t>
            </w:r>
          </w:p>
        </w:tc>
        <w:tc>
          <w:tcPr>
            <w:tcW w:w="380" w:type="dxa"/>
            <w:vAlign w:val="bottom"/>
          </w:tcPr>
          <w:p>
            <w:pPr>
              <w:spacing w:after="0"/>
              <w:rPr>
                <w:sz w:val="12"/>
                <w:szCs w:val="12"/>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Product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97.0 %</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96.7 %</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96.9 %</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96.6 %</w:t>
            </w:r>
          </w:p>
        </w:tc>
      </w:tr>
      <w:tr>
        <w:trPr>
          <w:trHeight w:val="205"/>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207"/>
        </w:trPr>
        <w:tc>
          <w:tcPr>
            <w:tcW w:w="506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w:t>
            </w:r>
          </w:p>
        </w:tc>
        <w:tc>
          <w:tcPr>
            <w:tcW w:w="380" w:type="dxa"/>
            <w:vAlign w:val="bottom"/>
          </w:tcPr>
          <w:p>
            <w:pPr>
              <w:spacing w:after="0"/>
              <w:rPr>
                <w:sz w:val="17"/>
                <w:szCs w:val="17"/>
                <w:color w:val="auto"/>
              </w:rPr>
            </w:pPr>
          </w:p>
        </w:tc>
      </w:tr>
      <w:tr>
        <w:trPr>
          <w:trHeight w:val="219"/>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Product</w:t>
            </w:r>
          </w:p>
        </w:tc>
        <w:tc>
          <w:tcPr>
            <w:tcW w:w="680" w:type="dxa"/>
            <w:vAlign w:val="bottom"/>
          </w:tcPr>
          <w:p>
            <w:pPr>
              <w:jc w:val="right"/>
              <w:spacing w:after="0"/>
              <w:rPr>
                <w:sz w:val="20"/>
                <w:szCs w:val="20"/>
                <w:color w:val="auto"/>
              </w:rPr>
            </w:pPr>
            <w:r>
              <w:rPr>
                <w:rFonts w:ascii="Arial" w:cs="Arial" w:eastAsia="Arial" w:hAnsi="Arial"/>
                <w:sz w:val="16"/>
                <w:szCs w:val="16"/>
                <w:color w:val="auto"/>
              </w:rPr>
              <w:t>53.6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52.4</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52.6</w:t>
            </w:r>
          </w:p>
        </w:tc>
        <w:tc>
          <w:tcPr>
            <w:tcW w:w="380" w:type="dxa"/>
            <w:vAlign w:val="bottom"/>
          </w:tcPr>
          <w:p>
            <w:pPr>
              <w:spacing w:after="0"/>
              <w:rPr>
                <w:sz w:val="18"/>
                <w:szCs w:val="18"/>
                <w:color w:val="auto"/>
              </w:rPr>
            </w:pPr>
          </w:p>
        </w:tc>
      </w:tr>
      <w:tr>
        <w:trPr>
          <w:trHeight w:val="205"/>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207"/>
        </w:trPr>
        <w:tc>
          <w:tcPr>
            <w:tcW w:w="5060" w:type="dxa"/>
            <w:vAlign w:val="bottom"/>
          </w:tcPr>
          <w:p>
            <w:pPr>
              <w:ind w:left="320"/>
              <w:spacing w:after="0"/>
              <w:rPr>
                <w:sz w:val="20"/>
                <w:szCs w:val="20"/>
                <w:color w:val="auto"/>
              </w:rPr>
            </w:pPr>
            <w:r>
              <w:rPr>
                <w:rFonts w:ascii="Arial" w:cs="Arial" w:eastAsia="Arial" w:hAnsi="Arial"/>
                <w:sz w:val="16"/>
                <w:szCs w:val="16"/>
                <w:color w:val="auto"/>
              </w:rPr>
              <w:t>Total cost of 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56.3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55.2</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55.5</w:t>
            </w:r>
          </w:p>
        </w:tc>
        <w:tc>
          <w:tcPr>
            <w:tcW w:w="380" w:type="dxa"/>
            <w:vAlign w:val="bottom"/>
          </w:tcPr>
          <w:p>
            <w:pPr>
              <w:spacing w:after="0"/>
              <w:rPr>
                <w:sz w:val="17"/>
                <w:szCs w:val="17"/>
                <w:color w:val="auto"/>
              </w:rPr>
            </w:pPr>
          </w:p>
        </w:tc>
      </w:tr>
      <w:tr>
        <w:trPr>
          <w:trHeight w:val="219"/>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380" w:type="dxa"/>
            <w:vAlign w:val="bottom"/>
            <w:shd w:val="clear" w:color="auto" w:fill="CCEEFF"/>
          </w:tcPr>
          <w:p>
            <w:pPr>
              <w:spacing w:after="0"/>
              <w:rPr>
                <w:sz w:val="19"/>
                <w:szCs w:val="19"/>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Operating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38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68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5.6</w:t>
            </w:r>
          </w:p>
        </w:tc>
        <w:tc>
          <w:tcPr>
            <w:tcW w:w="380" w:type="dxa"/>
            <w:vAlign w:val="bottom"/>
          </w:tcPr>
          <w:p>
            <w:pPr>
              <w:spacing w:after="0"/>
              <w:rPr>
                <w:sz w:val="18"/>
                <w:szCs w:val="18"/>
                <w:color w:val="auto"/>
              </w:rPr>
            </w:pPr>
          </w:p>
        </w:tc>
      </w:tr>
      <w:tr>
        <w:trPr>
          <w:trHeight w:val="205"/>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96"/>
        </w:trPr>
        <w:tc>
          <w:tcPr>
            <w:tcW w:w="506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4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380" w:type="dxa"/>
            <w:vAlign w:val="bottom"/>
          </w:tcPr>
          <w:p>
            <w:pPr>
              <w:spacing w:after="0"/>
              <w:rPr>
                <w:sz w:val="17"/>
                <w:szCs w:val="17"/>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380" w:type="dxa"/>
            <w:vAlign w:val="bottom"/>
            <w:shd w:val="clear" w:color="auto" w:fill="CCEEFF"/>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Other income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68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(0.6)</w:t>
            </w:r>
          </w:p>
        </w:tc>
        <w:tc>
          <w:tcPr>
            <w:tcW w:w="70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(0.7)</w:t>
            </w:r>
          </w:p>
        </w:tc>
      </w:tr>
      <w:tr>
        <w:trPr>
          <w:trHeight w:val="205"/>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96"/>
        </w:trPr>
        <w:tc>
          <w:tcPr>
            <w:tcW w:w="5060" w:type="dxa"/>
            <w:vAlign w:val="bottom"/>
          </w:tcPr>
          <w:p>
            <w:pPr>
              <w:ind w:left="320"/>
              <w:spacing w:after="0"/>
              <w:rPr>
                <w:sz w:val="20"/>
                <w:szCs w:val="20"/>
                <w:color w:val="auto"/>
              </w:rPr>
            </w:pPr>
            <w:r>
              <w:rPr>
                <w:rFonts w:ascii="Arial" w:cs="Arial" w:eastAsia="Arial" w:hAnsi="Arial"/>
                <w:sz w:val="16"/>
                <w:szCs w:val="16"/>
                <w:color w:val="auto"/>
              </w:rPr>
              <w:t>Total other income (expense)</w:t>
            </w:r>
          </w:p>
        </w:tc>
        <w:tc>
          <w:tcPr>
            <w:tcW w:w="6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(2.7)</w:t>
            </w:r>
          </w:p>
        </w:tc>
        <w:tc>
          <w:tcPr>
            <w:tcW w:w="70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(2.2)</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380" w:type="dxa"/>
            <w:vAlign w:val="bottom"/>
            <w:shd w:val="clear" w:color="auto" w:fill="CCEEFF"/>
          </w:tcPr>
          <w:p>
            <w:pPr>
              <w:spacing w:after="0"/>
              <w:rPr>
                <w:sz w:val="18"/>
                <w:szCs w:val="18"/>
                <w:color w:val="auto"/>
              </w:rPr>
            </w:pPr>
          </w:p>
        </w:tc>
      </w:t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Income tax provision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4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7"/>
                <w:szCs w:val="17"/>
                <w:color w:val="auto"/>
              </w:rPr>
            </w:pPr>
          </w:p>
        </w:tc>
      </w:tr>
      <w:tr>
        <w:trPr>
          <w:trHeight w:val="216"/>
        </w:trPr>
        <w:tc>
          <w:tcPr>
            <w:tcW w:w="5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22.5 %</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20.0 %</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20.7 %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20.2 %</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 and services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8"/>
              </w:rPr>
              <w:t>Three months ended</w:t>
            </w:r>
          </w:p>
        </w:tc>
        <w:tc>
          <w:tcPr>
            <w:tcW w:w="1400" w:type="dxa"/>
            <w:vAlign w:val="bottom"/>
            <w:gridSpan w:val="5"/>
          </w:tcPr>
          <w:p>
            <w:pPr>
              <w:jc w:val="center"/>
              <w:ind w:right="158"/>
              <w:spacing w:after="0"/>
              <w:rPr>
                <w:sz w:val="20"/>
                <w:szCs w:val="20"/>
                <w:color w:val="auto"/>
              </w:rPr>
            </w:pPr>
            <w:r>
              <w:rPr>
                <w:rFonts w:ascii="Arial" w:cs="Arial" w:eastAsia="Arial" w:hAnsi="Arial"/>
                <w:sz w:val="14"/>
                <w:szCs w:val="14"/>
                <w:b w:val="1"/>
                <w:bCs w:val="1"/>
                <w:color w:val="auto"/>
                <w:w w:val="92"/>
              </w:rPr>
              <w:t>Period-to-Period</w:t>
            </w:r>
          </w:p>
        </w:tc>
        <w:tc>
          <w:tcPr>
            <w:tcW w:w="18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3"/>
          </w:tcPr>
          <w:p>
            <w:pPr>
              <w:jc w:val="center"/>
              <w:ind w:left="264"/>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w w:val="74"/>
              </w:rPr>
              <w:t>in</w:t>
            </w: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(dollars</w:t>
            </w:r>
          </w:p>
        </w:tc>
        <w:tc>
          <w:tcPr>
            <w:tcW w:w="220" w:type="dxa"/>
            <w:vAlign w:val="bottom"/>
            <w:vMerge w:val="continue"/>
          </w:tcPr>
          <w:p>
            <w:pPr>
              <w:spacing w:after="0"/>
              <w:rPr>
                <w:sz w:val="12"/>
                <w:szCs w:val="12"/>
                <w:color w:val="auto"/>
              </w:rPr>
            </w:pPr>
          </w:p>
        </w:tc>
        <w:tc>
          <w:tcPr>
            <w:tcW w:w="72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w w:val="74"/>
              </w:rPr>
              <w:t>thousands)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20"/>
              <w:spacing w:after="0"/>
              <w:rPr>
                <w:sz w:val="20"/>
                <w:szCs w:val="20"/>
                <w:color w:val="auto"/>
              </w:rPr>
            </w:pPr>
            <w:r>
              <w:rPr>
                <w:rFonts w:ascii="Arial" w:cs="Arial" w:eastAsia="Arial" w:hAnsi="Arial"/>
                <w:sz w:val="16"/>
                <w:szCs w:val="16"/>
                <w:color w:val="auto"/>
              </w:rPr>
              <w:t>Product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89"/>
              </w:rPr>
              <w:t>$ 265,673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$ 213,926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9"/>
              </w:rPr>
              <w:t xml:space="preserve">$ </w:t>
            </w:r>
            <w:r>
              <w:rPr>
                <w:rFonts w:ascii="Arial" w:cs="Arial" w:eastAsia="Arial" w:hAnsi="Arial"/>
                <w:sz w:val="16"/>
                <w:szCs w:val="16"/>
                <w:i w:val="1"/>
                <w:iCs w:val="1"/>
                <w:color w:val="auto"/>
                <w:w w:val="89"/>
              </w:rPr>
              <w:t>51,747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i w:val="1"/>
                <w:iCs w:val="1"/>
                <w:color w:val="auto"/>
                <w:w w:val="95"/>
              </w:rPr>
              <w:t xml:space="preserve">24.2 % </w:t>
            </w:r>
            <w:r>
              <w:rPr>
                <w:rFonts w:ascii="Arial" w:cs="Arial" w:eastAsia="Arial" w:hAnsi="Arial"/>
                <w:sz w:val="16"/>
                <w:szCs w:val="16"/>
                <w:color w:val="auto"/>
                <w:w w:val="95"/>
              </w:rPr>
              <w:t>$ 511,680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89"/>
              </w:rPr>
              <w:t>$ 410,458</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$ 101,222</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i w:val="1"/>
                <w:iCs w:val="1"/>
                <w:color w:val="auto"/>
              </w:rPr>
              <w:t>24.7 %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97.0 %</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96.7 %</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96.9 %</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96.6 %</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20"/>
              <w:spacing w:after="0"/>
              <w:rPr>
                <w:sz w:val="20"/>
                <w:szCs w:val="20"/>
                <w:color w:val="auto"/>
              </w:rPr>
            </w:pPr>
            <w:r>
              <w:rPr>
                <w:rFonts w:ascii="Arial" w:cs="Arial" w:eastAsia="Arial" w:hAnsi="Arial"/>
                <w:sz w:val="16"/>
                <w:szCs w:val="16"/>
                <w:color w:val="auto"/>
              </w:rPr>
              <w:t>Services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8,297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7,251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1,046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6"/>
                <w:szCs w:val="16"/>
                <w:i w:val="1"/>
                <w:iCs w:val="1"/>
                <w:color w:val="auto"/>
                <w:w w:val="92"/>
              </w:rPr>
              <w:t>14.4 %</w:t>
            </w:r>
          </w:p>
        </w:tc>
        <w:tc>
          <w:tcPr>
            <w:tcW w:w="720" w:type="dxa"/>
            <w:vAlign w:val="bottom"/>
          </w:tcPr>
          <w:p>
            <w:pPr>
              <w:jc w:val="right"/>
              <w:spacing w:after="0"/>
              <w:rPr>
                <w:sz w:val="20"/>
                <w:szCs w:val="20"/>
                <w:color w:val="auto"/>
              </w:rPr>
            </w:pPr>
            <w:r>
              <w:rPr>
                <w:rFonts w:ascii="Arial" w:cs="Arial" w:eastAsia="Arial" w:hAnsi="Arial"/>
                <w:sz w:val="16"/>
                <w:szCs w:val="16"/>
                <w:color w:val="auto"/>
              </w:rPr>
              <w:t>16,310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14,314</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1,996</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i w:val="1"/>
                <w:iCs w:val="1"/>
                <w:color w:val="auto"/>
              </w:rPr>
              <w:t>13.9 %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3.0 %</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3.3 %</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3.1 %</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3.4 %</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56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$ 273,970</w:t>
            </w:r>
          </w:p>
        </w:tc>
        <w:tc>
          <w:tcPr>
            <w:tcW w:w="2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$ 221,177</w:t>
            </w:r>
          </w:p>
        </w:tc>
        <w:tc>
          <w:tcPr>
            <w:tcW w:w="2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$ 52,793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18"/>
              <w:spacing w:after="0"/>
              <w:rPr>
                <w:sz w:val="20"/>
                <w:szCs w:val="20"/>
                <w:color w:val="auto"/>
              </w:rPr>
            </w:pPr>
            <w:r>
              <w:rPr>
                <w:rFonts w:ascii="Arial" w:cs="Arial" w:eastAsia="Arial" w:hAnsi="Arial"/>
                <w:sz w:val="16"/>
                <w:szCs w:val="16"/>
                <w:i w:val="1"/>
                <w:iCs w:val="1"/>
                <w:color w:val="auto"/>
                <w:w w:val="92"/>
              </w:rPr>
              <w:t>23.9 %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$ 527,990</w:t>
            </w:r>
          </w:p>
        </w:tc>
        <w:tc>
          <w:tcPr>
            <w:tcW w:w="2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$ 424,772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$ 103,218</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i w:val="1"/>
                <w:iCs w:val="1"/>
                <w:color w:val="auto"/>
              </w:rPr>
              <w:t xml:space="preserve">24.3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Compared with Three months ended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revenue, which includes systems sales, sales of spare parts, product upgrades and used systems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$265.7 million, or 97.0% of revenue, during the three months ended June 30, 2023, compared with $213.9 million, or 96.7%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revenue, for the three months ended June 30, 2022. The $51.7 million increase in product revenue for the three-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month period ended June 30, 2023, in comparison to the same period in 2022, was primarily driven by an increase in the number of systems sold.</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Deferred revenue includes payments received in advance of system sales as well as deferral of revenue from systems sales for installation and other future performance obligations. The total amount of deferred revenue at June 30, 2023 and December 31, 2022 was $182.5 million and $154.7 million, respectively. The increase in deferred revenue was primarily due to payments received in advance of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Services revenue, which includes the labor component of maintenance and service contracts and fees for service hours provided by on-site service personnel, was $8.3 million, or 3.0% of revenue, for the three months ended June 30, 2023, compared with $7.3 million, or 3.3% of revenue, for the three months ended June 30, 2022.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Compared with Six months ended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Product revenue was $511.7 million, or 96.9% of revenue, during the six months ended June 30, 2023, compared with $410.5 million, or 96.6% of revenue, for the six months ended June 30, 2022. The $101.2 million increase in product revenue for the six-month period ended June 30, 2023, in comparison to the same period in 2022, was primarily driven by an increase in the number of systems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Services revenue was $16.3 million, or 3.1% of revenue, for the six months ended June 30, 2023, compared with $14.3 million, or 3.4% of revenue, for the six months ended June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Categories used by Management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line item revenue categories discussed above, management also regularly disaggregates revenue in the following categories, which it finds relevant and useful:</w:t>
      </w:r>
    </w:p>
    <w:p>
      <w:pPr>
        <w:spacing w:after="0" w:line="170" w:lineRule="exact"/>
        <w:rPr>
          <w:sz w:val="20"/>
          <w:szCs w:val="20"/>
          <w:color w:val="auto"/>
        </w:rPr>
      </w:pPr>
    </w:p>
    <w:p>
      <w:pPr>
        <w:ind w:left="1320" w:hanging="316"/>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Systems and Aftermarket revenues, in which “Aftermarket” is:</w:t>
      </w:r>
    </w:p>
    <w:p>
      <w:pPr>
        <w:spacing w:after="0" w:line="23" w:lineRule="exact"/>
        <w:rPr>
          <w:rFonts w:ascii="Arial" w:cs="Arial" w:eastAsia="Arial" w:hAnsi="Arial"/>
          <w:sz w:val="18"/>
          <w:szCs w:val="18"/>
          <w:color w:val="auto"/>
        </w:rPr>
      </w:pPr>
    </w:p>
    <w:p>
      <w:pPr>
        <w:ind w:left="1980" w:right="400" w:hanging="328"/>
        <w:spacing w:after="0" w:line="250"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Services revenue, which is the labor component of Aftermarket revenues</w:t>
      </w:r>
    </w:p>
    <w:p>
      <w:pPr>
        <w:spacing w:after="0" w:line="211" w:lineRule="exact"/>
        <w:rPr>
          <w:sz w:val="20"/>
          <w:szCs w:val="20"/>
          <w:color w:val="auto"/>
        </w:rPr>
      </w:pPr>
    </w:p>
    <w:p>
      <w:pPr>
        <w:ind w:left="1300" w:right="60"/>
        <w:spacing w:after="0" w:line="277" w:lineRule="auto"/>
        <w:rPr>
          <w:sz w:val="20"/>
          <w:szCs w:val="20"/>
          <w:color w:val="auto"/>
        </w:rPr>
      </w:pPr>
      <w:r>
        <w:rPr>
          <w:rFonts w:ascii="Arial" w:cs="Arial" w:eastAsia="Arial" w:hAnsi="Arial"/>
          <w:sz w:val="18"/>
          <w:szCs w:val="18"/>
          <w:color w:val="auto"/>
        </w:rPr>
        <w:t>(Aftermarket purchases reflect current fab utilization as opposed to Systems purchases which reflect capital investment decisions by our customers, which have differing economic drivers);</w:t>
      </w:r>
    </w:p>
    <w:p>
      <w:pPr>
        <w:spacing w:after="0" w:line="170" w:lineRule="exact"/>
        <w:rPr>
          <w:sz w:val="20"/>
          <w:szCs w:val="20"/>
          <w:color w:val="auto"/>
        </w:rPr>
      </w:pPr>
    </w:p>
    <w:p>
      <w:pPr>
        <w:ind w:left="1320" w:right="20" w:hanging="316"/>
        <w:spacing w:after="0" w:line="277"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by geographic regions, since economic factors impacting customer purchasing decisions may vary by geographic region; and</w:t>
      </w:r>
    </w:p>
    <w:p>
      <w:pPr>
        <w:spacing w:after="0" w:line="170" w:lineRule="exact"/>
        <w:rPr>
          <w:rFonts w:ascii="Arial" w:cs="Arial" w:eastAsia="Arial" w:hAnsi="Arial"/>
          <w:sz w:val="18"/>
          <w:szCs w:val="18"/>
          <w:color w:val="auto"/>
        </w:rPr>
      </w:pPr>
    </w:p>
    <w:p>
      <w:pPr>
        <w:ind w:left="1320" w:right="300" w:hanging="316"/>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leading edge foundry and logic.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 and Systems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Compared with Three months ended June 30, 2022</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Included in total revenue of $274.0 million during the three months ended June 30, 2023 is revenue from our Aftermarket business of $58.8 million, compared with $55.8 million of Aftermarket revenue for the three months ended June 30, 2022.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$215.2 million of revenue for the three months ended June 30, 2023 was from system sales, compared with $165.4 million of systems revenue for the three months ended June 30, 2022. Systems revenue fluctuates from period to period based on our customers’ capital spending.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Compared with Six months ended June 30, 2022</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Included in total revenue of $528.0 million during the six months ended June 30, 2023 is revenue from our Aftermarket business of $117.6 million, compared with $107.6 million of Aftermarket revenue for the six months ended June 30, 2022. The remaining $410.4 million of revenue for the six months ended June 30, 2023 was from system sales, compared with $317.2 million of systems revenue for the six months ended June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gross profit /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444"/>
              <w:spacing w:after="0"/>
              <w:rPr>
                <w:sz w:val="20"/>
                <w:szCs w:val="20"/>
                <w:color w:val="auto"/>
              </w:rPr>
            </w:pPr>
            <w:r>
              <w:rPr>
                <w:rFonts w:ascii="Arial" w:cs="Arial" w:eastAsia="Arial" w:hAnsi="Arial"/>
                <w:sz w:val="14"/>
                <w:szCs w:val="14"/>
                <w:b w:val="1"/>
                <w:bCs w:val="1"/>
                <w:color w:val="auto"/>
                <w:w w:val="97"/>
              </w:rPr>
              <w:t>Three months ended</w:t>
            </w:r>
          </w:p>
        </w:tc>
        <w:tc>
          <w:tcPr>
            <w:tcW w:w="1520" w:type="dxa"/>
            <w:vAlign w:val="bottom"/>
            <w:gridSpan w:val="5"/>
          </w:tcPr>
          <w:p>
            <w:pPr>
              <w:jc w:val="center"/>
              <w:ind w:right="168"/>
              <w:spacing w:after="0"/>
              <w:rPr>
                <w:sz w:val="20"/>
                <w:szCs w:val="20"/>
                <w:color w:val="auto"/>
              </w:rPr>
            </w:pPr>
            <w:r>
              <w:rPr>
                <w:rFonts w:ascii="Arial" w:cs="Arial" w:eastAsia="Arial" w:hAnsi="Arial"/>
                <w:sz w:val="14"/>
                <w:szCs w:val="14"/>
                <w:b w:val="1"/>
                <w:bCs w:val="1"/>
                <w:color w:val="auto"/>
                <w:w w:val="94"/>
              </w:rPr>
              <w:t>Period-to-Period</w:t>
            </w:r>
          </w:p>
        </w:tc>
        <w:tc>
          <w:tcPr>
            <w:tcW w:w="80" w:type="dxa"/>
            <w:vAlign w:val="bottom"/>
          </w:tcPr>
          <w:p>
            <w:pPr>
              <w:spacing w:after="0"/>
              <w:rPr>
                <w:sz w:val="14"/>
                <w:szCs w:val="14"/>
                <w:color w:val="auto"/>
              </w:rPr>
            </w:pPr>
          </w:p>
        </w:tc>
        <w:tc>
          <w:tcPr>
            <w:tcW w:w="1780" w:type="dxa"/>
            <w:vAlign w:val="bottom"/>
            <w:gridSpan w:val="5"/>
          </w:tcPr>
          <w:p>
            <w:pPr>
              <w:jc w:val="right"/>
              <w:ind w:right="419"/>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6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699"/>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60" w:type="dxa"/>
            <w:vAlign w:val="bottom"/>
            <w:gridSpan w:val="3"/>
          </w:tcPr>
          <w:p>
            <w:pPr>
              <w:jc w:val="center"/>
              <w:ind w:left="224"/>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(dollars</w:t>
            </w:r>
          </w:p>
        </w:tc>
        <w:tc>
          <w:tcPr>
            <w:tcW w:w="3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3"/>
                <w:szCs w:val="13"/>
                <w:b w:val="1"/>
                <w:bCs w:val="1"/>
                <w:color w:val="auto"/>
                <w:w w:val="74"/>
              </w:rPr>
              <w:t>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tcPr>
          <w:p>
            <w:pPr>
              <w:ind w:left="220"/>
              <w:spacing w:after="0"/>
              <w:rPr>
                <w:sz w:val="20"/>
                <w:szCs w:val="20"/>
                <w:color w:val="auto"/>
              </w:rPr>
            </w:pPr>
            <w:r>
              <w:rPr>
                <w:rFonts w:ascii="Arial" w:cs="Arial" w:eastAsia="Arial" w:hAnsi="Arial"/>
                <w:sz w:val="16"/>
                <w:szCs w:val="16"/>
                <w:color w:val="auto"/>
              </w:rPr>
              <w:t>Product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118,932</w:t>
            </w:r>
          </w:p>
        </w:tc>
        <w:tc>
          <w:tcPr>
            <w:tcW w:w="2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98,172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$ 20,760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i w:val="1"/>
                <w:iCs w:val="1"/>
                <w:color w:val="auto"/>
              </w:rPr>
              <w:t xml:space="preserve">21.1 % </w:t>
            </w:r>
            <w:r>
              <w:rPr>
                <w:rFonts w:ascii="Arial" w:cs="Arial" w:eastAsia="Arial" w:hAnsi="Arial"/>
                <w:sz w:val="16"/>
                <w:szCs w:val="16"/>
                <w:color w:val="auto"/>
              </w:rPr>
              <w:t>$ 222,168</w:t>
            </w: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$ 187,063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35,105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i w:val="1"/>
                <w:iCs w:val="1"/>
                <w:color w:val="auto"/>
              </w:rPr>
              <w:t xml:space="preserve">18.8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w w:val="99"/>
              </w:rPr>
              <w:t>Product gross margin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44.8 %</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i w:val="1"/>
                <w:iCs w:val="1"/>
                <w:color w:val="auto"/>
              </w:rPr>
              <w:t>45.9 %</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i w:val="1"/>
                <w:iCs w:val="1"/>
                <w:color w:val="auto"/>
              </w:rPr>
              <w:t>43.4 %</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45.6 %</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i w:val="1"/>
                <w:iCs w:val="1"/>
                <w:color w:val="auto"/>
                <w:w w:val="92"/>
              </w:rPr>
              <w:t>(23.6)%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i w:val="1"/>
                <w:iCs w:val="1"/>
                <w:color w:val="auto"/>
                <w:w w:val="99"/>
              </w:rPr>
              <w:t>(17.6)</w:t>
            </w: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860" w:type="dxa"/>
            <w:vAlign w:val="bottom"/>
          </w:tcPr>
          <w:p>
            <w:pPr>
              <w:ind w:left="320"/>
              <w:spacing w:after="0"/>
              <w:rPr>
                <w:sz w:val="20"/>
                <w:szCs w:val="20"/>
                <w:color w:val="auto"/>
              </w:rPr>
            </w:pPr>
            <w:r>
              <w:rPr>
                <w:rFonts w:ascii="Arial" w:cs="Arial" w:eastAsia="Arial" w:hAnsi="Arial"/>
                <w:sz w:val="16"/>
                <w:szCs w:val="16"/>
                <w:i w:val="1"/>
                <w:iCs w:val="1"/>
                <w:color w:val="auto"/>
                <w:w w:val="96"/>
              </w:rPr>
              <w:t>Services gross margin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i w:val="1"/>
                <w:iCs w:val="1"/>
                <w:color w:val="auto"/>
              </w:rPr>
              <w:t>9.3 %</w:t>
            </w:r>
          </w:p>
        </w:tc>
        <w:tc>
          <w:tcPr>
            <w:tcW w:w="220" w:type="dxa"/>
            <w:vAlign w:val="bottom"/>
          </w:tcPr>
          <w:p>
            <w:pPr>
              <w:spacing w:after="0"/>
              <w:rPr>
                <w:sz w:val="18"/>
                <w:szCs w:val="18"/>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6"/>
                <w:szCs w:val="16"/>
                <w:i w:val="1"/>
                <w:iCs w:val="1"/>
                <w:color w:val="auto"/>
              </w:rPr>
              <w:t>13.9 %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ind w:right="4"/>
              <w:spacing w:after="0"/>
              <w:rPr>
                <w:sz w:val="20"/>
                <w:szCs w:val="20"/>
                <w:color w:val="auto"/>
              </w:rPr>
            </w:pPr>
            <w:r>
              <w:rPr>
                <w:rFonts w:ascii="Arial" w:cs="Arial" w:eastAsia="Arial" w:hAnsi="Arial"/>
                <w:sz w:val="16"/>
                <w:szCs w:val="16"/>
                <w:i w:val="1"/>
                <w:iCs w:val="1"/>
                <w:color w:val="auto"/>
              </w:rPr>
              <w:t>9.5 %</w:t>
            </w:r>
          </w:p>
        </w:tc>
        <w:tc>
          <w:tcPr>
            <w:tcW w:w="940" w:type="dxa"/>
            <w:vAlign w:val="bottom"/>
            <w:gridSpan w:val="3"/>
          </w:tcPr>
          <w:p>
            <w:pPr>
              <w:jc w:val="right"/>
              <w:spacing w:after="0"/>
              <w:rPr>
                <w:sz w:val="20"/>
                <w:szCs w:val="20"/>
                <w:color w:val="auto"/>
              </w:rPr>
            </w:pPr>
            <w:r>
              <w:rPr>
                <w:rFonts w:ascii="Arial" w:cs="Arial" w:eastAsia="Arial" w:hAnsi="Arial"/>
                <w:sz w:val="16"/>
                <w:szCs w:val="16"/>
                <w:i w:val="1"/>
                <w:iCs w:val="1"/>
                <w:color w:val="auto"/>
              </w:rPr>
              <w:t>13.2 %</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8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119,703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99,181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$ 20,522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i w:val="1"/>
                <w:iCs w:val="1"/>
                <w:color w:val="auto"/>
              </w:rPr>
              <w:t>20.7 %</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$ 223,722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$ 188,948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34,774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i w:val="1"/>
                <w:iCs w:val="1"/>
                <w:color w:val="auto"/>
              </w:rPr>
              <w:t xml:space="preserve">18.4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Gross margin</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43.7</w:t>
            </w:r>
          </w:p>
        </w:tc>
        <w:tc>
          <w:tcPr>
            <w:tcW w:w="22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44.8</w:t>
            </w:r>
          </w:p>
        </w:tc>
        <w:tc>
          <w:tcPr>
            <w:tcW w:w="220" w:type="dxa"/>
            <w:vAlign w:val="bottom"/>
          </w:tcPr>
          <w:p>
            <w:pPr>
              <w:jc w:val="right"/>
              <w:ind w:right="24"/>
              <w:spacing w:after="0"/>
              <w:rPr>
                <w:sz w:val="20"/>
                <w:szCs w:val="20"/>
                <w:color w:val="auto"/>
              </w:rPr>
            </w:pPr>
            <w:r>
              <w:rPr>
                <w:rFonts w:ascii="Arial" w:cs="Arial" w:eastAsia="Arial" w:hAnsi="Arial"/>
                <w:sz w:val="15"/>
                <w:szCs w:val="15"/>
                <w:i w:val="1"/>
                <w:iCs w:val="1"/>
                <w:color w:val="auto"/>
                <w:w w:val="74"/>
              </w:rPr>
              <w:t>%</w:t>
            </w: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42.4</w:t>
            </w:r>
          </w:p>
        </w:tc>
        <w:tc>
          <w:tcPr>
            <w:tcW w:w="200" w:type="dxa"/>
            <w:vAlign w:val="bottom"/>
          </w:tcPr>
          <w:p>
            <w:pPr>
              <w:jc w:val="right"/>
              <w:ind w:right="4"/>
              <w:spacing w:after="0"/>
              <w:rPr>
                <w:sz w:val="20"/>
                <w:szCs w:val="20"/>
                <w:color w:val="auto"/>
              </w:rPr>
            </w:pPr>
            <w:r>
              <w:rPr>
                <w:rFonts w:ascii="Arial" w:cs="Arial" w:eastAsia="Arial" w:hAnsi="Arial"/>
                <w:sz w:val="15"/>
                <w:szCs w:val="15"/>
                <w:i w:val="1"/>
                <w:iCs w:val="1"/>
                <w:color w:val="auto"/>
                <w:w w:val="74"/>
              </w:rPr>
              <w:t>%</w:t>
            </w:r>
          </w:p>
        </w:tc>
        <w:tc>
          <w:tcPr>
            <w:tcW w:w="7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i w:val="1"/>
                <w:iCs w:val="1"/>
                <w:color w:val="auto"/>
              </w:rPr>
              <w:t>44.5</w:t>
            </w:r>
          </w:p>
        </w:tc>
        <w:tc>
          <w:tcPr>
            <w:tcW w:w="22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Compared with Three months ended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Gross margin from product revenue was 44.8% for the three months ended June 30, 2023, compared to 45.9% for the three months ended June 30, 2022. The decrease in gross margin primarily resulted from a less favorable mix of system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Gross margin from services revenue was 9.3% for the three months ended June 30, 2023, compared to 13.9% for the three months ended June 30, 2022. The decrease in gross margin is attributable to changes in the mix of service contracts.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Compared with Six months ended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Gross margin from product revenue was 43.4% for the six months ended June 30, 2023, compared to 45.6% for the six months ended June 30, 2022. The decrease in gross margin primarily resulted from a less favorable mix of system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Gross margin from services revenue was 9.5% for the six months ended June 30, 2023, compared to 13.2% for the six months ended June 30, 2022. The decrease in gross margin is attributable to changes in the mix of service contracts.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268"/>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580" w:type="dxa"/>
            <w:vAlign w:val="bottom"/>
            <w:gridSpan w:val="6"/>
          </w:tcPr>
          <w:p>
            <w:pPr>
              <w:jc w:val="center"/>
              <w:ind w:right="368"/>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gridSpan w:val="6"/>
          </w:tcPr>
          <w:p>
            <w:pPr>
              <w:jc w:val="right"/>
              <w:ind w:right="328"/>
              <w:spacing w:after="0"/>
              <w:rPr>
                <w:sz w:val="20"/>
                <w:szCs w:val="20"/>
                <w:color w:val="auto"/>
              </w:rPr>
            </w:pPr>
            <w:r>
              <w:rPr>
                <w:rFonts w:ascii="Arial" w:cs="Arial" w:eastAsia="Arial" w:hAnsi="Arial"/>
                <w:sz w:val="14"/>
                <w:szCs w:val="14"/>
                <w:b w:val="1"/>
                <w:bCs w:val="1"/>
                <w:color w:val="auto"/>
                <w:w w:val="96"/>
              </w:rPr>
              <w:t>Six months ended</w:t>
            </w:r>
          </w:p>
        </w:tc>
        <w:tc>
          <w:tcPr>
            <w:tcW w:w="140" w:type="dxa"/>
            <w:vAlign w:val="bottom"/>
          </w:tcPr>
          <w:p>
            <w:pPr>
              <w:spacing w:after="0"/>
              <w:rPr>
                <w:sz w:val="14"/>
                <w:szCs w:val="14"/>
                <w:color w:val="auto"/>
              </w:rPr>
            </w:pPr>
          </w:p>
        </w:tc>
        <w:tc>
          <w:tcPr>
            <w:tcW w:w="17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83"/>
              </w:rPr>
              <w:t>2022</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79"/>
              </w:rPr>
              <w:t>in</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9"/>
              </w:rPr>
              <w:t>(dollars</w:t>
            </w:r>
          </w:p>
        </w:tc>
        <w:tc>
          <w:tcPr>
            <w:tcW w:w="200" w:type="dxa"/>
            <w:vAlign w:val="bottom"/>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24,130</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18,731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 xml:space="preserve">28.8 </w:t>
            </w:r>
            <w:r>
              <w:rPr>
                <w:rFonts w:ascii="Arial" w:cs="Arial" w:eastAsia="Arial" w:hAnsi="Arial"/>
                <w:sz w:val="14"/>
                <w:szCs w:val="14"/>
                <w:color w:val="auto"/>
              </w:rPr>
              <w:t>% $</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47,903</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35,704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34.2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0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8.8 %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8.5 %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9.1 %</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8.4 %</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15,537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12,703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 xml:space="preserve">22.3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29,681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23,994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23.7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0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5.7 %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5.7 %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5.6 %</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5.6 %</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16,328</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13,602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 xml:space="preserve">20.0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31,073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26,180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18.7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0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6.0 %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6.1 %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5.9 %</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6.2 %</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55,995</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45,036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10,959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ind w:left="160"/>
              <w:spacing w:after="0" w:line="129" w:lineRule="exact"/>
              <w:rPr>
                <w:sz w:val="20"/>
                <w:szCs w:val="20"/>
                <w:color w:val="auto"/>
              </w:rPr>
            </w:pPr>
            <w:r>
              <w:rPr>
                <w:rFonts w:ascii="Arial" w:cs="Arial" w:eastAsia="Arial" w:hAnsi="Arial"/>
                <w:sz w:val="9"/>
                <w:szCs w:val="9"/>
                <w:i w:val="1"/>
                <w:iCs w:val="1"/>
                <w:color w:val="auto"/>
              </w:rPr>
              <w:t xml:space="preserve">24.3 </w:t>
            </w:r>
            <w:r>
              <w:rPr>
                <w:rFonts w:ascii="Arial" w:cs="Arial" w:eastAsia="Arial" w:hAnsi="Arial"/>
                <w:sz w:val="9"/>
                <w:szCs w:val="9"/>
                <w:color w:val="auto"/>
              </w:rPr>
              <w:t>%</w:t>
            </w:r>
            <w:r>
              <w:rPr>
                <w:rFonts w:ascii="Arial" w:cs="Arial" w:eastAsia="Arial" w:hAnsi="Arial"/>
                <w:sz w:val="9"/>
                <w:szCs w:val="9"/>
                <w:i w:val="1"/>
                <w:iCs w:val="1"/>
                <w:color w:val="auto"/>
              </w:rPr>
              <w:t xml:space="preserve"> </w:t>
            </w:r>
            <w:r>
              <w:rPr>
                <w:rFonts w:ascii="Arial" w:cs="Arial" w:eastAsia="Arial" w:hAnsi="Arial"/>
                <w:sz w:val="14"/>
                <w:szCs w:val="14"/>
                <w:color w:val="auto"/>
                <w:vertAlign w:val="superscript"/>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108,657</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7"/>
              </w:rPr>
              <w:t>85,878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22,779</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i w:val="1"/>
                <w:iCs w:val="1"/>
                <w:color w:val="auto"/>
              </w:rPr>
              <w:t xml:space="preserve">26.5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300" w:type="dxa"/>
            <w:vAlign w:val="bottom"/>
            <w:tcBorders>
              <w:top w:val="single" w:sz="8" w:color="CCEEFF"/>
            </w:tcBorders>
          </w:tcPr>
          <w:p>
            <w:pPr>
              <w:ind w:left="320"/>
              <w:spacing w:after="0"/>
              <w:rPr>
                <w:sz w:val="20"/>
                <w:szCs w:val="20"/>
                <w:color w:val="auto"/>
              </w:rPr>
            </w:pPr>
            <w:r>
              <w:rPr>
                <w:rFonts w:ascii="Arial" w:cs="Arial" w:eastAsia="Arial" w:hAnsi="Arial"/>
                <w:sz w:val="14"/>
                <w:szCs w:val="14"/>
                <w:i w:val="1"/>
                <w:iCs w:val="1"/>
                <w:color w:val="auto"/>
              </w:rPr>
              <w:t>Percentage of revenue</w:t>
            </w: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20.5</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2"/>
                <w:szCs w:val="12"/>
                <w:i w:val="1"/>
                <w:iCs w:val="1"/>
                <w:color w:val="auto"/>
                <w:w w:val="74"/>
              </w:rPr>
              <w:t>%</w:t>
            </w: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20.3</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i w:val="1"/>
                <w:iCs w:val="1"/>
                <w:color w:val="auto"/>
                <w:w w:val="96"/>
              </w:rPr>
              <w:t>%</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20.6</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2"/>
                <w:szCs w:val="12"/>
                <w:i w:val="1"/>
                <w:iCs w:val="1"/>
                <w:color w:val="auto"/>
                <w:w w:val="74"/>
              </w:rPr>
              <w:t>%</w:t>
            </w: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20.2</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i w:val="1"/>
                <w:iCs w:val="1"/>
                <w:color w:val="auto"/>
                <w:w w:val="96"/>
              </w:rPr>
              <w:t>%</w:t>
            </w: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Our operating expenses consist primarily of personnel costs, including salaries,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4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Personnel costs are our largest expense, representing $33.8 million, or 60.4%, of our total operating expenses for the three months ended June 30, 2023, compared to $27.4 million, or 60.9%, of our total operating expenses for the three months ended June 30, 2022. Personnel costs were $64.5 million, or 59.3% of our total operating expenses for the six months ended June 30, 2023, compared to $51.6 million, or 60.1% of our total operating expenses for the six months ended June 30, 2022. The higher personnel costs for the three and six months ended June 30, 2023 are primarily due to increases in personnel-related expenses to support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5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13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Period-to-Period</w:t>
            </w:r>
          </w:p>
        </w:tc>
        <w:tc>
          <w:tcPr>
            <w:tcW w:w="80" w:type="dxa"/>
            <w:vAlign w:val="bottom"/>
          </w:tcPr>
          <w:p>
            <w:pPr>
              <w:spacing w:after="0"/>
              <w:rPr>
                <w:sz w:val="14"/>
                <w:szCs w:val="14"/>
                <w:color w:val="auto"/>
              </w:rPr>
            </w:pPr>
          </w:p>
        </w:tc>
        <w:tc>
          <w:tcPr>
            <w:tcW w:w="17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Six months ended</w:t>
            </w:r>
          </w:p>
        </w:tc>
        <w:tc>
          <w:tcPr>
            <w:tcW w:w="160" w:type="dxa"/>
            <w:vAlign w:val="bottom"/>
          </w:tcPr>
          <w:p>
            <w:pPr>
              <w:spacing w:after="0"/>
              <w:rPr>
                <w:sz w:val="14"/>
                <w:szCs w:val="14"/>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Period-to-Period</w:t>
            </w:r>
          </w:p>
        </w:tc>
      </w:tr>
      <w:tr>
        <w:trPr>
          <w:trHeight w:val="171"/>
        </w:trPr>
        <w:tc>
          <w:tcPr>
            <w:tcW w:w="264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8"/>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gridSpan w:val="4"/>
          </w:tcPr>
          <w:p>
            <w:pPr>
              <w:jc w:val="center"/>
              <w:ind w:left="408"/>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210"/>
        </w:trPr>
        <w:tc>
          <w:tcPr>
            <w:tcW w:w="264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r>
      <w:tr>
        <w:trPr>
          <w:trHeight w:val="142"/>
        </w:trPr>
        <w:tc>
          <w:tcPr>
            <w:tcW w:w="2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$ 24,130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$ 18,731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$ 5,399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i w:val="1"/>
                <w:iCs w:val="1"/>
                <w:color w:val="auto"/>
              </w:rPr>
              <w:t xml:space="preserve">28.8 </w:t>
            </w: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$ 47,903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35,704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 xml:space="preserve">34.2 </w:t>
            </w:r>
            <w:r>
              <w:rPr>
                <w:rFonts w:ascii="Arial" w:cs="Arial" w:eastAsia="Arial" w:hAnsi="Arial"/>
                <w:sz w:val="16"/>
                <w:szCs w:val="16"/>
                <w:color w:val="auto"/>
              </w:rPr>
              <w:t>%</w:t>
            </w:r>
          </w:p>
        </w:tc>
      </w:tr>
      <w:tr>
        <w:trPr>
          <w:trHeight w:val="210"/>
        </w:trPr>
        <w:tc>
          <w:tcPr>
            <w:tcW w:w="264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8.8 %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8.5 %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rPr>
              <w:t>9.1 %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8.4 %</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solve customers’ high value, high impact, ion implantation challenges.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Compared with Three months ended June 30, 2022</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Research and development expense was $24.1 million during the three months ended June 30, 2023, an increase of $5.4 million, or 28.8%, compared with $18.7 million during the three months ended June 30, 2022. The increase is primarily due to higher personnel expenses as well as an increase in the cost of project materials and related services for ongoing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Compared with Six months ended June 30, 2022</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Research and development expense was $47.9 million during the six months ended June 30, 2023, an increase of $12.2 million, or 34.2%, compared with $35.7 million during the six months ended June 30, 2022. The increase is primarily due to higher personnel expenses as well as an increase in the cost of project materials and related services for ongoing projects.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44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4"/>
              </w:rPr>
              <w:t>Period-to-Period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5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44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3"/>
          </w:tcPr>
          <w:p>
            <w:pPr>
              <w:jc w:val="center"/>
              <w:ind w:left="266"/>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62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top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(dollars</w:t>
            </w:r>
          </w:p>
        </w:tc>
        <w:tc>
          <w:tcPr>
            <w:tcW w:w="200" w:type="dxa"/>
            <w:vAlign w:val="bottom"/>
            <w:vMerge w:val="continue"/>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$ 15,537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$ 12,703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$ 2,834</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6"/>
                <w:szCs w:val="16"/>
                <w:i w:val="1"/>
                <w:iCs w:val="1"/>
                <w:color w:val="auto"/>
              </w:rPr>
              <w:t xml:space="preserve">22.3 </w:t>
            </w: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$ 29,681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$ 23,994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$ 5,687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 xml:space="preserve">23.7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98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5.7 %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5.7 %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5.6 %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5.6 %</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sales and marketing expenses result primarily from the sale of our equipment and services through our direct sales 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Compared with Three months ended June 30, 2022</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Sales and marketing expense was $15.5 million during the three months ended June 30, 2023, an increase of $2.8 million, or 22.3%, compared with $12.7 million during the three months ended June 30, 2022. The increase is primarily due to higher personnel expenses and travel-related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Compared with Six months ended June 30, 2022</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Sales and marketing expense was $29.7 million during the six months ended June 30, 2023, an increase of $5.7 million, or 23.7%, compared with $24.0 million during the six months ended June 30, 2022. The increase is primarily due to higher personnel expenses and travel-related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Three months ended</w:t>
            </w:r>
          </w:p>
        </w:tc>
        <w:tc>
          <w:tcPr>
            <w:tcW w:w="148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4"/>
              </w:rPr>
              <w:t>Period-to-Period</w:t>
            </w:r>
          </w:p>
        </w:tc>
        <w:tc>
          <w:tcPr>
            <w:tcW w:w="16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5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Change</w:t>
            </w:r>
          </w:p>
        </w:tc>
        <w:tc>
          <w:tcPr>
            <w:tcW w:w="1620" w:type="dxa"/>
            <w:vAlign w:val="bottom"/>
            <w:gridSpan w:val="5"/>
          </w:tcPr>
          <w:p>
            <w:pPr>
              <w:ind w:left="48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66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(dollars</w:t>
            </w:r>
          </w:p>
        </w:tc>
        <w:tc>
          <w:tcPr>
            <w:tcW w:w="220" w:type="dxa"/>
            <w:vAlign w:val="bottom"/>
            <w:vMerge w:val="continue"/>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$ 16,328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$ 13,602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$ 2,726</w:t>
            </w: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6"/>
                <w:szCs w:val="16"/>
                <w:i w:val="1"/>
                <w:iCs w:val="1"/>
                <w:color w:val="auto"/>
              </w:rPr>
              <w:t xml:space="preserve">20.0 </w:t>
            </w: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$ 31,073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$ 26,180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$ 4,893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18.7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6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6.0 %</w:t>
            </w:r>
          </w:p>
        </w:tc>
        <w:tc>
          <w:tcPr>
            <w:tcW w:w="80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rPr>
              <w:t>6.1 %</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5.9 %</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rPr>
              <w:t>6.2 %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general and administrative expenses result primarily from the costs associated with our executive, finance, information technology, legal and human resource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Compared with Three months ended June 30, 2022</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General and administrative expense was $16.3 million during the three months ended June 30, 2023, an increase of $2.7 million, or 20.0%, compared with $13.6 million during the three months ended June 30, 2022. The increase is primarily due to an increase in personnel expenses and consulting fees.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Compared with Six months ended June 30, 2022</w:t>
      </w:r>
    </w:p>
    <w:p>
      <w:pPr>
        <w:spacing w:after="0" w:line="225"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General and administrative expense was $31.1 million during the six months ended June 30, 2023, an increase of $4.9 million, or 18.7%, compared with $26.2 million during the six months ended June 30, 2022. The increase is primarily due to an increase in personnel expenses and to a lesser extent, consulting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600" w:type="dxa"/>
            <w:vAlign w:val="bottom"/>
            <w:gridSpan w:val="5"/>
          </w:tcPr>
          <w:p>
            <w:pPr>
              <w:jc w:val="center"/>
              <w:ind w:right="428"/>
              <w:spacing w:after="0"/>
              <w:rPr>
                <w:sz w:val="20"/>
                <w:szCs w:val="20"/>
                <w:color w:val="auto"/>
              </w:rPr>
            </w:pPr>
            <w:r>
              <w:rPr>
                <w:rFonts w:ascii="Arial" w:cs="Arial" w:eastAsia="Arial" w:hAnsi="Arial"/>
                <w:sz w:val="14"/>
                <w:szCs w:val="14"/>
                <w:b w:val="1"/>
                <w:bCs w:val="1"/>
                <w:color w:val="auto"/>
                <w:w w:val="93"/>
              </w:rPr>
              <w:t>Period-to-period</w:t>
            </w:r>
          </w:p>
        </w:tc>
        <w:tc>
          <w:tcPr>
            <w:tcW w:w="14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Six months ended</w:t>
            </w: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Period-to-period</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ind w:left="304"/>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428"/>
              <w:spacing w:after="0"/>
              <w:rPr>
                <w:sz w:val="20"/>
                <w:szCs w:val="20"/>
                <w:color w:val="auto"/>
              </w:rPr>
            </w:pPr>
            <w:r>
              <w:rPr>
                <w:rFonts w:ascii="Arial" w:cs="Arial" w:eastAsia="Arial" w:hAnsi="Arial"/>
                <w:sz w:val="14"/>
                <w:szCs w:val="14"/>
                <w:b w:val="1"/>
                <w:bCs w:val="1"/>
                <w:color w:val="auto"/>
                <w:w w:val="85"/>
              </w:rPr>
              <w:t>change</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left="366"/>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83"/>
              </w:rPr>
              <w:t>2022</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240" w:type="dxa"/>
            <w:vAlign w:val="bottom"/>
            <w:vMerge w:val="continue"/>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(5,949)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(6,857)</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6"/>
                <w:szCs w:val="16"/>
                <w:i w:val="1"/>
                <w:iCs w:val="1"/>
                <w:color w:val="auto"/>
              </w:rPr>
              <w:t xml:space="preserve">115.3 </w:t>
            </w:r>
            <w:r>
              <w:rPr>
                <w:rFonts w:ascii="Arial" w:cs="Arial" w:eastAsia="Arial" w:hAnsi="Arial"/>
                <w:sz w:val="16"/>
                <w:szCs w:val="16"/>
                <w:color w:val="auto"/>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(8,990)</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 (11,443)</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i w:val="1"/>
                <w:iCs w:val="1"/>
                <w:color w:val="auto"/>
                <w:w w:val="95"/>
              </w:rPr>
              <w:t xml:space="preserve">127.3 </w:t>
            </w: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7"/>
        </w:trPr>
        <w:tc>
          <w:tcPr>
            <w:tcW w:w="214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i w:val="1"/>
                <w:iCs w:val="1"/>
                <w:color w:val="auto"/>
              </w:rPr>
              <w:t>0.4 %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i w:val="1"/>
                <w:iCs w:val="1"/>
                <w:color w:val="auto"/>
              </w:rPr>
              <w:t>(2.7)%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i w:val="1"/>
                <w:iCs w:val="1"/>
                <w:color w:val="auto"/>
              </w:rPr>
              <w:t>0.5 %</w:t>
            </w: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i w:val="1"/>
                <w:iCs w:val="1"/>
                <w:color w:val="auto"/>
              </w:rPr>
              <w:t>(2.2)%</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fluctuations of the U.S. dollar against local currencies of the countries in which we operate.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was $0.9 million for the three months ended June 30, 2023, compared with other expense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$5.9 million for the three months ended June 30, 2022. The $6.9 million change in other income (expense)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prior year period was primarily due to an increase in interest income of $4.0 million and a decrease in exchange loss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$2.9 million. Other income was $2.5 million for the six months ended June 30, 2023, compared with other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 million for the six months ended June 30, 2022. The $11.4 million change in other income (expense)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prior year period was primarily due to an increase in interest income of $7.8 million and a decrease in exchange loss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$3.2 million.</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six-month periods ended June 30, 2023 and 2022, we had no significant off-balance sheet risk such as exchange contracts, option contracts or other hedging arrangements.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328"/>
              <w:spacing w:after="0"/>
              <w:rPr>
                <w:sz w:val="20"/>
                <w:szCs w:val="20"/>
                <w:color w:val="auto"/>
              </w:rPr>
            </w:pPr>
            <w:r>
              <w:rPr>
                <w:rFonts w:ascii="Arial" w:cs="Arial" w:eastAsia="Arial" w:hAnsi="Arial"/>
                <w:sz w:val="14"/>
                <w:szCs w:val="14"/>
                <w:b w:val="1"/>
                <w:bCs w:val="1"/>
                <w:color w:val="auto"/>
                <w:w w:val="95"/>
              </w:rPr>
              <w:t>Period-to-period</w:t>
            </w:r>
          </w:p>
        </w:tc>
        <w:tc>
          <w:tcPr>
            <w:tcW w:w="16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6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Period-to-period</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left="246"/>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20" w:type="dxa"/>
            <w:vAlign w:val="bottom"/>
            <w:gridSpan w:val="3"/>
          </w:tcPr>
          <w:p>
            <w:pPr>
              <w:jc w:val="center"/>
              <w:ind w:left="246"/>
              <w:spacing w:after="0"/>
              <w:rPr>
                <w:sz w:val="20"/>
                <w:szCs w:val="20"/>
                <w:color w:val="auto"/>
              </w:rPr>
            </w:pPr>
            <w:r>
              <w:rPr>
                <w:rFonts w:ascii="Arial" w:cs="Arial" w:eastAsia="Arial" w:hAnsi="Arial"/>
                <w:sz w:val="14"/>
                <w:szCs w:val="14"/>
                <w:b w:val="1"/>
                <w:bCs w:val="1"/>
                <w:color w:val="auto"/>
                <w:w w:val="85"/>
              </w:rPr>
              <w:t>change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71"/>
              </w:rPr>
              <w:t>(dollars</w:t>
            </w:r>
          </w:p>
        </w:tc>
        <w:tc>
          <w:tcPr>
            <w:tcW w:w="30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3,037</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4,007</w:t>
            </w:r>
          </w:p>
        </w:tc>
        <w:tc>
          <w:tcPr>
            <w:tcW w:w="1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(970)</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(24.2)</w:t>
            </w: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8,242</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8,276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i w:val="1"/>
                <w:iCs w:val="1"/>
                <w:color w:val="auto"/>
              </w:rPr>
              <w:t>(0.4)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40" w:type="dxa"/>
            <w:vAlign w:val="bottom"/>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rPr>
              <w:t>1.1 %</w:t>
            </w:r>
          </w:p>
        </w:tc>
        <w:tc>
          <w:tcPr>
            <w:tcW w:w="840" w:type="dxa"/>
            <w:vAlign w:val="bottom"/>
            <w:gridSpan w:val="2"/>
          </w:tcPr>
          <w:p>
            <w:pPr>
              <w:jc w:val="right"/>
              <w:spacing w:after="0"/>
              <w:rPr>
                <w:sz w:val="20"/>
                <w:szCs w:val="20"/>
                <w:color w:val="auto"/>
              </w:rPr>
            </w:pPr>
            <w:r>
              <w:rPr>
                <w:rFonts w:ascii="Arial" w:cs="Arial" w:eastAsia="Arial" w:hAnsi="Arial"/>
                <w:sz w:val="16"/>
                <w:szCs w:val="16"/>
                <w:i w:val="1"/>
                <w:iCs w:val="1"/>
                <w:color w:val="auto"/>
              </w:rPr>
              <w:t>1.8 %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i w:val="1"/>
                <w:i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i w:val="1"/>
                <w:iCs w:val="1"/>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Income tax expense was $3.0 million for the three months ended June 30, 2023, compared to $4.0 million for the three months ended June 30, 2022. The $1.0 million decrease was primarily due to a higher stock compensation deduction driven by an increase in stock price offset partially by an increase in pre-tax financial reporting income. Income tax expense was $8.2 million for the six months ended June 30, 2023, compared to $8.3 million for the six months ended June 30, 2022.</w:t>
      </w:r>
    </w:p>
    <w:p>
      <w:pPr>
        <w:spacing w:after="0" w:line="15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effective tax rate for the three and six months ended June 30, 2023 was less than the U.S. statutory rate of 21% due to a forecasted Foreign Derived Intangible Income deduction, Federal research and development tax credits and a favorable discrete item related to equity compensation that reduces the annual tax rate.</w:t>
      </w:r>
    </w:p>
    <w:p>
      <w:pPr>
        <w:spacing w:after="0" w:line="165"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The deferred income taxes of $38.9 million and $31.7 million as of June 30, 2023 and December 31, 2022, respectively, reflect the net tax effect of temporary differences between the carrying amount of assets and liabilities for financial reporting purposes and the amounts used for income tax purposes, as well as the tax effect of carryforwards. As of June 30, 2023, we have recorded a $10.6 million valuation allowance in the U.S. against certain tax credits and state net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At June 30, 2023, we had $132.5 million in unrestricted cash and cash equivalents and $320.4 million in short-term investments, in addition to $6.7 million in restricted cash. Management believes that maintaining a strong cash balance is necessary to fund a continuing ramp in our business which can require significant cash investment to meet sudden demand. Additionally, we are using cash to repurchase shares as part of our stock repurchase program and are considering both organic and inorganic opportunities to drive future growth, for which cash resources will be necessary.</w:t>
      </w:r>
    </w:p>
    <w:p>
      <w:pPr>
        <w:spacing w:after="0" w:line="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liquidity is affected by many factors. Some of these relate specifically to the operations of our business, for example, the rate of sales of our products, and others relate to the uncertainties of global economic conditions, including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spacing w:after="0" w:line="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six months ended June 30, 2023 and 2022, we generated $67.3 million and $29.2 million, respectively, of cash related to operating activities.</w:t>
      </w:r>
    </w:p>
    <w:p>
      <w:pPr>
        <w:spacing w:after="0" w:line="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Investing activities for the six months ended June 30, 2023 resulted in cash outflows of $73.2 million, $5.2 million of which was used for capital expenditures and $188.9 million of which was used to purchase short-term investments, offset by $120.9 million related to maturities of short-term investments. Investing activities for the six months ended June 30, 2022 resulted in cash outflows of $3.4 million used for capital expenditures.</w:t>
      </w:r>
    </w:p>
    <w:p>
      <w:pPr>
        <w:spacing w:after="0" w:line="9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Financing activities for the six months ended June 30, 2023 resulted in a cash usage of $40.1 million. During the first six months of 2023, $25.0 million in cash was used to repurchase our common stock and $15.5 million was used for payments to government tax authorities for income tax withholding on employee compensation arising from the vesting of RSUs, where units are withheld by the Company to cover taxes, as well as $0.6 million relating to the reduction of the liability under the finance lease of our corporate headquarters. These amounts were partially offset by $1.0 million of proceeds related to the purchase of shares under our 2020 ESPP and exercise of stock options during the first six months of 2023. In comparison, financing activities for the six months ended June 30, 2022 resulted in cash usage of $40.7 million, $32.5 million of which related to the repurchase of our common stock and $9.2 million of which related to payments made to government tax authorities for income tax withholding on employee compensation arising from the vesting of RSUs, as well as $0.5 million relating to the reduction of our financing lease liability. These amounts were partially offset by $1.5 million of proceeds related to the purchase of shares under our ESPP and exercise of stock options during the first six months of 2022.</w:t>
      </w:r>
    </w:p>
    <w:p>
      <w:pPr>
        <w:spacing w:after="0" w:line="17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April 5, 2023, we terminated the Senior Secured Credit Facilities Credit Agreement, as amended (the “Credit Agreement”), with Silicon Valley Bank that we entered into on July 31, 2020. The Credit Agreement provided for a revolving credit facility covering borrowings and letters of credit in an aggregate principal amount not to exceed $40.0 million. Our obligations under the Credit Agreement were secured by a security interest, senior to any current and future debts and to any security interest, in all of our rights, title, and interest in, to and under substantially all of our assets, subject to limited exceptions, including permitted liens. Upon termination, these liens and all other obligations under the credit agreement, were released. A letter of credit remains at Silicon Valley Bank, a division of First Citizens Bank &amp; Trust Company (successor by purchase to the Federal Deposit Insurance Corporation as Receiver for Silicon Valley Bridge Bank, N.A.) as successor to Silicon Valley Bank, in the amount of $5.9 million, securing our lease on our corporate headquarters. This letter of credit was transitioned to a cash collateral arrangment on March 30, 2023, and is classified as long-term restricted cash on our balance sheet at June 30, 2023.</w:t>
      </w:r>
    </w:p>
    <w:p>
      <w:pPr>
        <w:spacing w:after="0" w:line="182"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We believe that based on our current market, revenue, expense and cash flow forecasts, our existing cash and cash equivalents will be sufficient to satisfy our anticipated cash requirements for the short- and long-term.</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Significant commitments and contingencies at June 30, 2023 are consistent with those discussed in Item 7, “Management’s Discussion and Analysis of Financial Condition and Results of Operations,” and Note 16 to the consolidated financial statements included in our Annual Report on Form 10-K for the fiscal year ended December 31,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June 30, 2023, there have been no material changes to the quantitative information about market risk disclosed in Item 7A, “Quantitative and Qualitative Disclosures about Market Risk” included in our Annual Report on Form 10-K for the year ended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the evaluation of our internal control that occurred during the three months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June 30, 2023, there have been no material changes to the risk factors described in Item 1A, “Risk Factors” included in our Annual Report on Form 10-K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February 2022, our Board of Directors authorized a share repurchase program for up to $100 million of the Company's common stock.</w:t>
      </w:r>
    </w:p>
    <w:p>
      <w:pPr>
        <w:spacing w:after="0" w:line="1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table summarizes the stock repurchase activity, based upon settlement date, for the three months ended June 30, 2023 as well as the approximate dollar value of shares that may yet be purchased pursuant to our stock repurchase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w:t>
            </w:r>
          </w:p>
        </w:tc>
        <w:tc>
          <w:tcPr>
            <w:tcW w:w="18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Shares Purchased</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18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except per share amounts)</w:t>
            </w: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April 1 through April 30</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80" w:type="dxa"/>
            <w:vAlign w:val="bottom"/>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$126.06</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26,665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May 1 through May 31</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128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0"/>
              </w:rPr>
              <w:t>$126.51</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2"/>
                <w:szCs w:val="12"/>
                <w:color w:val="auto"/>
              </w:rPr>
            </w:pPr>
          </w:p>
        </w:tc>
        <w:tc>
          <w:tcPr>
            <w:tcW w:w="164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19,581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June 1 through June 30</w:t>
            </w:r>
          </w:p>
        </w:tc>
        <w:tc>
          <w:tcPr>
            <w:tcW w:w="1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80" w:type="dxa"/>
            <w:vAlign w:val="bottom"/>
            <w:tcBorders>
              <w:bottom w:val="single" w:sz="8" w:color="CCEEFF"/>
            </w:tcBorders>
            <w:gridSpan w:val="2"/>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0"/>
              </w:rPr>
              <w:t>$161.88</w:t>
            </w:r>
          </w:p>
        </w:tc>
        <w:tc>
          <w:tcPr>
            <w:tcW w:w="1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17,506</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ind w:left="1260"/>
              <w:spacing w:after="0" w:line="142" w:lineRule="exact"/>
              <w:rPr>
                <w:sz w:val="20"/>
                <w:szCs w:val="20"/>
                <w:color w:val="auto"/>
              </w:rPr>
            </w:pPr>
            <w:r>
              <w:rPr>
                <w:rFonts w:ascii="Arial" w:cs="Arial" w:eastAsia="Arial" w:hAnsi="Arial"/>
                <w:sz w:val="14"/>
                <w:szCs w:val="14"/>
                <w:b w:val="1"/>
                <w:bCs w:val="1"/>
                <w:color w:val="auto"/>
              </w:rPr>
              <w:t>Total</w:t>
            </w:r>
          </w:p>
        </w:tc>
        <w:tc>
          <w:tcPr>
            <w:tcW w:w="15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w:t>
            </w: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During the quarter ended June 30, 2023, no director or officer adopted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13"/>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60" w:type="dxa"/>
            <w:vAlign w:val="bottom"/>
          </w:tcPr>
          <w:p>
            <w:pPr>
              <w:spacing w:after="0"/>
              <w:rPr>
                <w:sz w:val="24"/>
                <w:szCs w:val="24"/>
                <w:color w:val="auto"/>
              </w:rPr>
            </w:pPr>
          </w:p>
        </w:tc>
        <w:tc>
          <w:tcPr>
            <w:tcW w:w="7780" w:type="dxa"/>
            <w:vAlign w:val="bottom"/>
            <w:tcBorders>
              <w:bottom w:val="single" w:sz="8" w:color="0000EE"/>
            </w:tcBorders>
            <w:gridSpan w:val="12"/>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Restated Certificate of Incorporation of the Company filed November 2, 2017. Incorporated by reference to</w:t>
              </w:r>
            </w:hyperlink>
          </w:p>
        </w:tc>
        <w:tc>
          <w:tcPr>
            <w:tcW w:w="16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gridSpan w:val="14"/>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Exhibit 3.1 of the Company’s Form 10-Q filed with the Commission on November 3, 2017.</w:t>
              </w:r>
            </w:hyperlink>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60" w:type="dxa"/>
            <w:vAlign w:val="bottom"/>
          </w:tcPr>
          <w:p>
            <w:pPr>
              <w:spacing w:after="0"/>
              <w:rPr>
                <w:sz w:val="24"/>
                <w:szCs w:val="24"/>
                <w:color w:val="auto"/>
              </w:rPr>
            </w:pPr>
          </w:p>
        </w:tc>
        <w:tc>
          <w:tcPr>
            <w:tcW w:w="7940" w:type="dxa"/>
            <w:vAlign w:val="bottom"/>
            <w:gridSpan w:val="14"/>
          </w:tcPr>
          <w:p>
            <w:pP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Bylaws of the Company, as amended as of May 11, 2022. Incorporated by reference to Exhibit 3.2 of the</w:t>
              </w:r>
            </w:hyperlink>
          </w:p>
        </w:tc>
      </w:tr>
      <w:tr>
        <w:trPr>
          <w:trHeight w:val="196"/>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Company’s Form 8-K filed with the SEC on May 11, 2022.</w:t>
              </w:r>
            </w:hyperlink>
          </w:p>
        </w:tc>
        <w:tc>
          <w:tcPr>
            <w:tcW w:w="40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60" w:type="dxa"/>
            <w:vAlign w:val="bottom"/>
          </w:tcPr>
          <w:p>
            <w:pPr>
              <w:spacing w:after="0"/>
              <w:rPr>
                <w:sz w:val="24"/>
                <w:szCs w:val="24"/>
                <w:color w:val="auto"/>
              </w:rPr>
            </w:pPr>
          </w:p>
        </w:tc>
        <w:tc>
          <w:tcPr>
            <w:tcW w:w="7700" w:type="dxa"/>
            <w:vAlign w:val="bottom"/>
            <w:tcBorders>
              <w:bottom w:val="single" w:sz="8" w:color="0000EE"/>
            </w:tcBorders>
            <w:gridSpan w:val="9"/>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Employment Agreement between Axcelis Technologies, Inc. and Russell J. Low dated as of May 11, 2023.</w:t>
              </w:r>
            </w:hyperlink>
          </w:p>
        </w:tc>
        <w:tc>
          <w:tcPr>
            <w:tcW w:w="24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gridSpan w:val="14"/>
          </w:tcPr>
          <w:p>
            <w:pPr>
              <w:spacing w:after="0" w:line="19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Incorporated by reference to Exhibit 10.1 of the Company’s Form 8-K filed with the SEC on May 12, 2023</w:t>
              </w:r>
            </w:hyperlink>
            <w:r>
              <w:rPr>
                <w:rFonts w:ascii="Arial" w:cs="Arial" w:eastAsia="Arial" w:hAnsi="Arial"/>
                <w:sz w:val="18"/>
                <w:szCs w:val="18"/>
                <w:color w:val="000000"/>
                <w:w w:val="94"/>
              </w:rPr>
              <w:t>.</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60" w:type="dxa"/>
            <w:vAlign w:val="bottom"/>
          </w:tcPr>
          <w:p>
            <w:pPr>
              <w:spacing w:after="0"/>
              <w:rPr>
                <w:sz w:val="24"/>
                <w:szCs w:val="24"/>
                <w:color w:val="auto"/>
              </w:rPr>
            </w:pPr>
          </w:p>
        </w:tc>
        <w:tc>
          <w:tcPr>
            <w:tcW w:w="77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Certification of the Principal Executive Officer under Exchange Act Rule 13a-14(a)/15d-14(a) (Section 302</w:t>
            </w:r>
          </w:p>
        </w:tc>
        <w:tc>
          <w:tcPr>
            <w:tcW w:w="18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of the Sarbanes-Oxley Act), dated August 3, 2023.</w:t>
            </w:r>
          </w:p>
        </w:tc>
        <w:tc>
          <w:tcPr>
            <w:tcW w:w="4300" w:type="dxa"/>
            <w:vAlign w:val="bottom"/>
            <w:gridSpan w:val="12"/>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60" w:type="dxa"/>
            <w:vAlign w:val="bottom"/>
          </w:tcPr>
          <w:p>
            <w:pPr>
              <w:spacing w:after="0"/>
              <w:rPr>
                <w:sz w:val="24"/>
                <w:szCs w:val="24"/>
                <w:color w:val="auto"/>
              </w:rPr>
            </w:pPr>
          </w:p>
        </w:tc>
        <w:tc>
          <w:tcPr>
            <w:tcW w:w="79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Certification of the Principal Financial Officer under Exchange Act Rule 13a-14(a)/15d-14(a) (Section 302 of</w:t>
            </w:r>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gridSpan w:val="14"/>
          </w:tcPr>
          <w:p>
            <w:pPr>
              <w:spacing w:after="0" w:line="196" w:lineRule="exact"/>
              <w:rPr>
                <w:sz w:val="20"/>
                <w:szCs w:val="20"/>
                <w:color w:val="auto"/>
              </w:rPr>
            </w:pPr>
            <w:r>
              <w:rPr>
                <w:rFonts w:ascii="Arial" w:cs="Arial" w:eastAsia="Arial" w:hAnsi="Arial"/>
                <w:sz w:val="18"/>
                <w:szCs w:val="18"/>
                <w:color w:val="0000EE"/>
              </w:rPr>
              <w:t>the Sarbanes-Oxley Act), dated August 3, 2023.</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60" w:type="dxa"/>
            <w:vAlign w:val="bottom"/>
          </w:tcPr>
          <w:p>
            <w:pPr>
              <w:spacing w:after="0"/>
              <w:rPr>
                <w:sz w:val="24"/>
                <w:szCs w:val="24"/>
                <w:color w:val="auto"/>
              </w:rPr>
            </w:pPr>
          </w:p>
        </w:tc>
        <w:tc>
          <w:tcPr>
            <w:tcW w:w="74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Certification of the Principal Executive Officer pursuant to Section 1350 of Chapter 63 of title 18 of the</w:t>
            </w:r>
          </w:p>
        </w:tc>
        <w:tc>
          <w:tcPr>
            <w:tcW w:w="46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United States Code (Section 906 of the Sarbanes-Oxley Act), dated August 3, 2023.</w:t>
            </w:r>
          </w:p>
        </w:tc>
        <w:tc>
          <w:tcPr>
            <w:tcW w:w="1900" w:type="dxa"/>
            <w:vAlign w:val="bottom"/>
            <w:gridSpan w:val="10"/>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260" w:type="dxa"/>
            <w:vAlign w:val="bottom"/>
          </w:tcPr>
          <w:p>
            <w:pPr>
              <w:spacing w:after="0"/>
              <w:rPr>
                <w:sz w:val="24"/>
                <w:szCs w:val="24"/>
                <w:color w:val="auto"/>
              </w:rPr>
            </w:pPr>
          </w:p>
        </w:tc>
        <w:tc>
          <w:tcPr>
            <w:tcW w:w="7940" w:type="dxa"/>
            <w:vAlign w:val="bottom"/>
            <w:gridSpan w:val="14"/>
          </w:tcPr>
          <w:p>
            <w:pPr>
              <w:spacing w:after="0"/>
              <w:rPr>
                <w:sz w:val="20"/>
                <w:szCs w:val="20"/>
                <w:color w:val="auto"/>
              </w:rPr>
            </w:pPr>
            <w:r>
              <w:rPr>
                <w:rFonts w:ascii="Arial" w:cs="Arial" w:eastAsia="Arial" w:hAnsi="Arial"/>
                <w:sz w:val="18"/>
                <w:szCs w:val="18"/>
                <w:color w:val="0000EE"/>
                <w:w w:val="98"/>
              </w:rPr>
              <w:t>Certification of the Principal Financial Officer pursuant to Section 1350 of Chapter 63 of title 18 of the</w:t>
            </w:r>
          </w:p>
        </w:tc>
      </w:tr>
      <w:tr>
        <w:trPr>
          <w:trHeight w:val="196"/>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United States Code (Section 906 of the Sarbanes-Oxley Act), dated August 3, 2023.</w:t>
            </w:r>
          </w:p>
        </w:tc>
        <w:tc>
          <w:tcPr>
            <w:tcW w:w="1380" w:type="dxa"/>
            <w:vAlign w:val="bottom"/>
            <w:tcBorders>
              <w:top w:val="single" w:sz="8" w:color="0000EE"/>
            </w:tcBorders>
            <w:gridSpan w:val="2"/>
          </w:tcPr>
          <w:p>
            <w:pPr>
              <w:spacing w:after="0"/>
              <w:rPr>
                <w:sz w:val="17"/>
                <w:szCs w:val="17"/>
                <w:color w:val="auto"/>
              </w:rPr>
            </w:pPr>
          </w:p>
        </w:tc>
        <w:tc>
          <w:tcPr>
            <w:tcW w:w="520" w:type="dxa"/>
            <w:vAlign w:val="bottom"/>
            <w:gridSpan w:val="8"/>
          </w:tcPr>
          <w:p>
            <w:pPr>
              <w:spacing w:after="0"/>
              <w:rPr>
                <w:sz w:val="17"/>
                <w:szCs w:val="17"/>
                <w:color w:val="auto"/>
              </w:rPr>
            </w:pPr>
          </w:p>
        </w:tc>
      </w:tr>
    </w:tbl>
    <w:p>
      <w:pPr>
        <w:spacing w:after="0" w:line="229" w:lineRule="exact"/>
        <w:rPr>
          <w:sz w:val="20"/>
          <w:szCs w:val="20"/>
          <w:color w:val="auto"/>
        </w:rPr>
      </w:pPr>
    </w:p>
    <w:p>
      <w:pPr>
        <w:ind w:left="1180" w:right="260" w:hanging="899"/>
        <w:spacing w:after="0" w:line="291" w:lineRule="auto"/>
        <w:tabs>
          <w:tab w:leader="none" w:pos="11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Form 10-Q for the quarter ended June 30, 2023, formatted in inline eXtensible Business Reporting Language (iXBRL): (i) Consolidated Statements of Operations,</w:t>
      </w:r>
    </w:p>
    <w:p>
      <w:pPr>
        <w:ind w:left="1180" w:right="100" w:firstLine="9"/>
        <w:spacing w:after="0" w:line="323" w:lineRule="auto"/>
        <w:tabs>
          <w:tab w:leader="none" w:pos="144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Consolidated Statements of Comprehensive Income, (iii) Consolidated Balance Sheets, (iv) Consolidated Statements of Cash Flows and (v) Notes to Consolidated Financial Statements (Unaudited). Filed herewith.</w:t>
      </w:r>
    </w:p>
    <w:p>
      <w:pPr>
        <w:spacing w:after="0" w:line="138"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iXBRL and contained in 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right="480" w:firstLine="5"/>
        <w:spacing w:after="0" w:line="260" w:lineRule="auto"/>
        <w:tabs>
          <w:tab w:leader="none" w:pos="22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DATED: August 3, 2023</w:t>
      </w:r>
      <w:r>
        <w:rPr>
          <w:sz w:val="20"/>
          <w:szCs w:val="20"/>
          <w:color w:val="auto"/>
        </w:rPr>
        <w:tab/>
      </w:r>
      <w:r>
        <w:rPr>
          <w:rFonts w:ascii="Arial" w:cs="Arial" w:eastAsia="Arial" w:hAnsi="Arial"/>
          <w:sz w:val="17"/>
          <w:szCs w:val="17"/>
          <w:color w:val="auto"/>
        </w:rPr>
        <w:t>By:  /s/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31750</wp:posOffset>
            </wp:positionV>
            <wp:extent cx="26485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8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Kevin J. Brewer</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48"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29" w:name="page30"/>
    <w:bookmarkEnd w:id="2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CERTIFICATION</w:t>
      </w:r>
    </w:p>
    <w:p>
      <w:pPr>
        <w:spacing w:after="0" w:line="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of the Principal Executive Officer</w:t>
      </w:r>
    </w:p>
    <w:p>
      <w:pPr>
        <w:ind w:left="980"/>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Russell J. Low, certify that:</w:t>
      </w:r>
    </w:p>
    <w:p>
      <w:pPr>
        <w:spacing w:after="0" w:line="225" w:lineRule="exact"/>
        <w:rPr>
          <w:sz w:val="20"/>
          <w:szCs w:val="20"/>
          <w:color w:val="auto"/>
        </w:rPr>
      </w:pPr>
    </w:p>
    <w:p>
      <w:pPr>
        <w:ind w:left="540" w:hanging="490"/>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225" w:lineRule="exact"/>
        <w:rPr>
          <w:rFonts w:ascii="Arial" w:cs="Arial" w:eastAsia="Arial" w:hAnsi="Arial"/>
          <w:sz w:val="18"/>
          <w:szCs w:val="18"/>
          <w:color w:val="auto"/>
        </w:rPr>
      </w:pPr>
    </w:p>
    <w:p>
      <w:pPr>
        <w:ind w:left="540" w:right="459" w:hanging="490"/>
        <w:spacing w:after="0" w:line="256"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540" w:right="339" w:hanging="490"/>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179" w:hanging="490"/>
        <w:spacing w:after="0" w:line="286"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060" w:right="179" w:hanging="495"/>
        <w:spacing w:after="0" w:line="254"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1060" w:right="279" w:hanging="495"/>
        <w:spacing w:after="0" w:line="259" w:lineRule="auto"/>
        <w:tabs>
          <w:tab w:leader="none" w:pos="106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060" w:right="159" w:hanging="495"/>
        <w:spacing w:after="0" w:line="256"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8"/>
          <w:szCs w:val="18"/>
          <w:color w:val="auto"/>
        </w:rPr>
      </w:pPr>
    </w:p>
    <w:p>
      <w:pPr>
        <w:ind w:left="1060" w:right="79" w:hanging="495"/>
        <w:spacing w:after="0" w:line="259" w:lineRule="auto"/>
        <w:tabs>
          <w:tab w:leader="none" w:pos="106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540" w:right="499" w:hanging="490"/>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60" w:right="239" w:hanging="495"/>
        <w:spacing w:after="0" w:line="256" w:lineRule="auto"/>
        <w:tabs>
          <w:tab w:leader="none" w:pos="1057"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1060" w:right="379" w:hanging="495"/>
        <w:spacing w:after="0" w:line="277" w:lineRule="auto"/>
        <w:tabs>
          <w:tab w:leader="none" w:pos="106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6"/>
          <w:szCs w:val="16"/>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Russell J. Low,</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0" w:name="page31"/>
    <w:bookmarkEnd w:id="3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Financial Officer</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J. Brewer, certify that:</w:t>
      </w:r>
    </w:p>
    <w:p>
      <w:pPr>
        <w:spacing w:after="0" w:line="225" w:lineRule="exact"/>
        <w:rPr>
          <w:sz w:val="20"/>
          <w:szCs w:val="20"/>
          <w:color w:val="auto"/>
        </w:rPr>
      </w:pPr>
    </w:p>
    <w:p>
      <w:pPr>
        <w:ind w:left="540" w:hanging="49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211" w:lineRule="exact"/>
        <w:rPr>
          <w:rFonts w:ascii="Arial" w:cs="Arial" w:eastAsia="Arial" w:hAnsi="Arial"/>
          <w:sz w:val="18"/>
          <w:szCs w:val="18"/>
          <w:color w:val="auto"/>
        </w:rPr>
      </w:pPr>
    </w:p>
    <w:p>
      <w:pPr>
        <w:ind w:left="540" w:right="459" w:hanging="490"/>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40" w:right="339" w:hanging="490"/>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179" w:hanging="490"/>
        <w:spacing w:after="0" w:line="28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060" w:right="179" w:hanging="495"/>
        <w:spacing w:after="0" w:line="254"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1060" w:right="279" w:hanging="495"/>
        <w:spacing w:after="0" w:line="259" w:lineRule="auto"/>
        <w:tabs>
          <w:tab w:leader="none" w:pos="10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1060" w:right="159" w:hanging="495"/>
        <w:spacing w:after="0" w:line="263"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60" w:right="79" w:hanging="495"/>
        <w:spacing w:after="0" w:line="254" w:lineRule="auto"/>
        <w:tabs>
          <w:tab w:leader="none" w:pos="10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jc w:val="both"/>
        <w:ind w:left="540" w:right="499" w:hanging="490"/>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60" w:right="239" w:hanging="495"/>
        <w:spacing w:after="0" w:line="256"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1060" w:right="379" w:hanging="495"/>
        <w:spacing w:after="0" w:line="277" w:lineRule="auto"/>
        <w:tabs>
          <w:tab w:leader="none" w:pos="10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7"/>
          <w:szCs w:val="17"/>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1" w:name="page32"/>
    <w:bookmarkEnd w:id="31"/>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211" w:lineRule="exact"/>
        <w:rPr>
          <w:sz w:val="20"/>
          <w:szCs w:val="20"/>
          <w:color w:val="auto"/>
        </w:rPr>
      </w:pPr>
    </w:p>
    <w:p>
      <w:pPr>
        <w:ind w:left="40" w:right="79" w:firstLine="495"/>
        <w:spacing w:after="0" w:line="263" w:lineRule="auto"/>
        <w:rPr>
          <w:sz w:val="20"/>
          <w:szCs w:val="20"/>
          <w:color w:val="auto"/>
        </w:rPr>
      </w:pPr>
      <w:r>
        <w:rPr>
          <w:rFonts w:ascii="Arial" w:cs="Arial" w:eastAsia="Arial" w:hAnsi="Arial"/>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70" w:lineRule="exact"/>
        <w:rPr>
          <w:sz w:val="20"/>
          <w:szCs w:val="20"/>
          <w:color w:val="auto"/>
        </w:rPr>
      </w:pPr>
    </w:p>
    <w:p>
      <w:pPr>
        <w:ind w:left="40" w:right="439" w:firstLine="495"/>
        <w:spacing w:after="0" w:line="263"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August 3, 2023.</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Russell J. Low</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 of Axcelis</w:t>
      </w:r>
    </w:p>
    <w:p>
      <w:pPr>
        <w:ind w:left="4500"/>
        <w:spacing w:after="0"/>
        <w:rPr>
          <w:sz w:val="20"/>
          <w:szCs w:val="20"/>
          <w:color w:val="auto"/>
        </w:rPr>
      </w:pPr>
      <w:r>
        <w:rPr>
          <w:rFonts w:ascii="Arial" w:cs="Arial" w:eastAsia="Arial" w:hAnsi="Arial"/>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2" w:name="page33"/>
    <w:bookmarkEnd w:id="32"/>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211" w:lineRule="exact"/>
        <w:rPr>
          <w:sz w:val="20"/>
          <w:szCs w:val="20"/>
          <w:color w:val="auto"/>
        </w:rPr>
      </w:pPr>
    </w:p>
    <w:p>
      <w:pPr>
        <w:ind w:left="40" w:right="139" w:firstLine="495"/>
        <w:spacing w:after="0" w:line="263" w:lineRule="auto"/>
        <w:rPr>
          <w:sz w:val="20"/>
          <w:szCs w:val="20"/>
          <w:color w:val="auto"/>
        </w:rPr>
      </w:pPr>
      <w:r>
        <w:rPr>
          <w:rFonts w:ascii="Arial" w:cs="Arial" w:eastAsia="Arial" w:hAnsi="Arial"/>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70" w:lineRule="exact"/>
        <w:rPr>
          <w:sz w:val="20"/>
          <w:szCs w:val="20"/>
          <w:color w:val="auto"/>
        </w:rPr>
      </w:pPr>
    </w:p>
    <w:p>
      <w:pPr>
        <w:ind w:left="40" w:right="439" w:firstLine="495"/>
        <w:spacing w:after="0" w:line="263"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August 3, 2023.</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 of</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upp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34" Type="http://schemas.openxmlformats.org/officeDocument/2006/relationships/hyperlink" Target="https://www.sec.gov/ix?doc=/Archives/edgar/data/1113232/000155837023002006/acls-20221231x10k.htm" TargetMode="External"/><Relationship Id="rId45" Type="http://schemas.openxmlformats.org/officeDocument/2006/relationships/hyperlink" Target="http://www.sec.gov/Archives/edgar/data/1113232/000155837017008078/acls-20170930ex31a83feb6.htm" TargetMode="External"/><Relationship Id="rId46" Type="http://schemas.openxmlformats.org/officeDocument/2006/relationships/hyperlink" Target="https://www.sec.gov/Archives/edgar/data/1113232/000110465922058781/tm2213765d1_ex3-2.htm" TargetMode="External"/><Relationship Id="rId47" Type="http://schemas.openxmlformats.org/officeDocument/2006/relationships/hyperlink" Target="https://www.sec.gov/Archives/edgar/data/1113232/000110465923059495/tm231479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2023-08-03T12:12:25Z</dcterms:created>
  <dcterms:modified xsi:type="dcterms:W3CDTF">2023-08-03T12:12:25Z</dcterms:modified>
</cp:coreProperties>
</file>